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7F1D3" w14:textId="77777777" w:rsidR="00160C60" w:rsidRPr="00FD0709" w:rsidRDefault="00160C60" w:rsidP="00160C60">
      <w:pPr>
        <w:rPr>
          <w:sz w:val="18"/>
          <w:szCs w:val="18"/>
        </w:rPr>
      </w:pPr>
      <w:proofErr w:type="gramStart"/>
      <w:r w:rsidRPr="00FD0709">
        <w:rPr>
          <w:b/>
          <w:sz w:val="18"/>
          <w:szCs w:val="18"/>
        </w:rPr>
        <w:t>S.35(</w:t>
      </w:r>
      <w:proofErr w:type="gramEnd"/>
      <w:r w:rsidRPr="00FD0709">
        <w:rPr>
          <w:b/>
          <w:sz w:val="18"/>
          <w:szCs w:val="18"/>
        </w:rPr>
        <w:t>1):</w:t>
      </w:r>
      <w:r w:rsidRPr="00FD0709">
        <w:rPr>
          <w:sz w:val="18"/>
          <w:szCs w:val="18"/>
        </w:rPr>
        <w:t xml:space="preserve"> the existing aboriginal and treaty rights of the aboriginal peoples of Canada are hereby recognized and affirmed.</w:t>
      </w:r>
    </w:p>
    <w:p w14:paraId="1E5510CF" w14:textId="77777777" w:rsidR="00160C60" w:rsidRPr="00FD0709" w:rsidRDefault="00276332" w:rsidP="004F3CE7">
      <w:pPr>
        <w:pStyle w:val="ListParagraph"/>
        <w:numPr>
          <w:ilvl w:val="0"/>
          <w:numId w:val="31"/>
        </w:numPr>
        <w:rPr>
          <w:sz w:val="18"/>
          <w:szCs w:val="18"/>
        </w:rPr>
      </w:pPr>
      <w:r w:rsidRPr="00FD0709">
        <w:rPr>
          <w:sz w:val="18"/>
          <w:szCs w:val="18"/>
        </w:rPr>
        <w:t>“Existing</w:t>
      </w:r>
      <w:proofErr w:type="gramStart"/>
      <w:r w:rsidRPr="00FD0709">
        <w:rPr>
          <w:sz w:val="18"/>
          <w:szCs w:val="18"/>
        </w:rPr>
        <w:t>”</w:t>
      </w:r>
      <w:proofErr w:type="gramEnd"/>
      <w:r w:rsidRPr="00FD0709">
        <w:rPr>
          <w:sz w:val="18"/>
          <w:szCs w:val="18"/>
        </w:rPr>
        <w:t xml:space="preserve"> means it applies to rights in existence in 1982, not those previously extinguished.  But it’s flexible, rights should be allowed to evolve over time (</w:t>
      </w:r>
      <w:r w:rsidRPr="00FD0709">
        <w:rPr>
          <w:i/>
          <w:sz w:val="18"/>
          <w:szCs w:val="18"/>
        </w:rPr>
        <w:t>Sparrow</w:t>
      </w:r>
      <w:r w:rsidRPr="00FD0709">
        <w:rPr>
          <w:sz w:val="18"/>
          <w:szCs w:val="18"/>
        </w:rPr>
        <w:t>)</w:t>
      </w:r>
    </w:p>
    <w:p w14:paraId="40729111" w14:textId="77777777" w:rsidR="00276332" w:rsidRPr="00FD0709" w:rsidRDefault="00276332" w:rsidP="004F3CE7">
      <w:pPr>
        <w:pStyle w:val="ListParagraph"/>
        <w:numPr>
          <w:ilvl w:val="0"/>
          <w:numId w:val="31"/>
        </w:numPr>
        <w:rPr>
          <w:sz w:val="18"/>
          <w:szCs w:val="18"/>
        </w:rPr>
      </w:pPr>
      <w:r w:rsidRPr="00FD0709">
        <w:rPr>
          <w:sz w:val="18"/>
          <w:szCs w:val="18"/>
        </w:rPr>
        <w:t>“Recognized and affirmed” incorporates the fiduciary relationship, restrains the exercise of sovereign power (</w:t>
      </w:r>
      <w:r w:rsidRPr="00FD0709">
        <w:rPr>
          <w:i/>
          <w:sz w:val="18"/>
          <w:szCs w:val="18"/>
        </w:rPr>
        <w:t>Sparrow</w:t>
      </w:r>
      <w:r w:rsidRPr="00FD0709">
        <w:rPr>
          <w:sz w:val="18"/>
          <w:szCs w:val="18"/>
        </w:rPr>
        <w:t>)</w:t>
      </w:r>
    </w:p>
    <w:p w14:paraId="0634180A" w14:textId="2BF4E00C" w:rsidR="00160C60" w:rsidRDefault="00294197" w:rsidP="00160C60">
      <w:pPr>
        <w:rPr>
          <w:b/>
          <w:sz w:val="18"/>
          <w:szCs w:val="18"/>
        </w:rPr>
      </w:pPr>
      <w:r w:rsidRPr="00294197">
        <w:rPr>
          <w:b/>
          <w:sz w:val="18"/>
          <w:szCs w:val="18"/>
        </w:rPr>
        <w:t>“</w:t>
      </w:r>
      <w:r w:rsidRPr="00294197">
        <w:rPr>
          <w:b/>
          <w:color w:val="008000"/>
          <w:sz w:val="18"/>
          <w:szCs w:val="18"/>
        </w:rPr>
        <w:t>Considerations</w:t>
      </w:r>
      <w:r w:rsidRPr="00294197">
        <w:rPr>
          <w:b/>
          <w:sz w:val="18"/>
          <w:szCs w:val="18"/>
        </w:rPr>
        <w:t>”</w:t>
      </w:r>
      <w:r w:rsidRPr="00294197">
        <w:rPr>
          <w:sz w:val="18"/>
          <w:szCs w:val="18"/>
        </w:rPr>
        <w:t xml:space="preserve">, </w:t>
      </w:r>
      <w:r w:rsidRPr="00294197">
        <w:rPr>
          <w:b/>
          <w:sz w:val="18"/>
          <w:szCs w:val="18"/>
        </w:rPr>
        <w:t>“</w:t>
      </w:r>
      <w:r w:rsidRPr="00294197">
        <w:rPr>
          <w:b/>
          <w:color w:val="C0504D" w:themeColor="accent2"/>
          <w:sz w:val="18"/>
          <w:szCs w:val="18"/>
        </w:rPr>
        <w:t>Requirements</w:t>
      </w:r>
      <w:r w:rsidRPr="00294197">
        <w:rPr>
          <w:b/>
          <w:sz w:val="18"/>
          <w:szCs w:val="18"/>
        </w:rPr>
        <w:t>”</w:t>
      </w:r>
    </w:p>
    <w:p w14:paraId="6C43F842" w14:textId="77777777" w:rsidR="00294197" w:rsidRPr="00FD0709" w:rsidRDefault="00294197" w:rsidP="00160C60">
      <w:pPr>
        <w:rPr>
          <w:sz w:val="18"/>
          <w:szCs w:val="18"/>
        </w:rPr>
      </w:pPr>
    </w:p>
    <w:p w14:paraId="178AE977" w14:textId="77777777" w:rsidR="00276332" w:rsidRPr="00FD0709" w:rsidRDefault="002D351C" w:rsidP="00A33164">
      <w:pPr>
        <w:jc w:val="center"/>
        <w:rPr>
          <w:sz w:val="21"/>
          <w:szCs w:val="21"/>
        </w:rPr>
      </w:pPr>
      <w:r>
        <w:rPr>
          <w:b/>
          <w:sz w:val="21"/>
          <w:szCs w:val="21"/>
          <w:u w:val="single"/>
        </w:rPr>
        <w:t>1</w:t>
      </w:r>
      <w:r w:rsidR="00276332" w:rsidRPr="00FD0709">
        <w:rPr>
          <w:b/>
          <w:sz w:val="21"/>
          <w:szCs w:val="21"/>
          <w:u w:val="single"/>
        </w:rPr>
        <w:t xml:space="preserve">. Is there an existing aboriginal right being claimed? </w:t>
      </w:r>
      <w:r w:rsidR="00276332" w:rsidRPr="00FD0709">
        <w:rPr>
          <w:sz w:val="21"/>
          <w:szCs w:val="21"/>
        </w:rPr>
        <w:t xml:space="preserve"> (</w:t>
      </w:r>
      <w:proofErr w:type="gramStart"/>
      <w:r w:rsidR="00276332" w:rsidRPr="00FD0709">
        <w:rPr>
          <w:sz w:val="21"/>
          <w:szCs w:val="21"/>
        </w:rPr>
        <w:t>onus</w:t>
      </w:r>
      <w:proofErr w:type="gramEnd"/>
      <w:r w:rsidR="00276332" w:rsidRPr="00FD0709">
        <w:rPr>
          <w:sz w:val="21"/>
          <w:szCs w:val="21"/>
        </w:rPr>
        <w:t xml:space="preserve"> on aboriginal community to prove)</w:t>
      </w:r>
    </w:p>
    <w:p w14:paraId="472B25B0" w14:textId="77777777" w:rsidR="00276332" w:rsidRPr="00FD0709" w:rsidRDefault="00276332" w:rsidP="00160C60">
      <w:pPr>
        <w:rPr>
          <w:sz w:val="18"/>
          <w:szCs w:val="18"/>
        </w:rPr>
      </w:pPr>
    </w:p>
    <w:p w14:paraId="5D51B843" w14:textId="77777777" w:rsidR="00A33164" w:rsidRPr="00FD0709" w:rsidRDefault="00A33164" w:rsidP="00A33164">
      <w:pPr>
        <w:rPr>
          <w:sz w:val="18"/>
          <w:szCs w:val="18"/>
        </w:rPr>
      </w:pPr>
      <w:r w:rsidRPr="00FD0709">
        <w:rPr>
          <w:b/>
          <w:sz w:val="18"/>
          <w:szCs w:val="18"/>
          <w:u w:val="single"/>
        </w:rPr>
        <w:t>How to Characterize Aboriginal Rights (</w:t>
      </w:r>
      <w:r w:rsidRPr="00FD0709">
        <w:rPr>
          <w:b/>
          <w:i/>
          <w:sz w:val="18"/>
          <w:szCs w:val="18"/>
          <w:u w:val="single"/>
        </w:rPr>
        <w:t xml:space="preserve">Van der </w:t>
      </w:r>
      <w:proofErr w:type="spellStart"/>
      <w:r w:rsidRPr="00FD0709">
        <w:rPr>
          <w:b/>
          <w:i/>
          <w:sz w:val="18"/>
          <w:szCs w:val="18"/>
          <w:u w:val="single"/>
        </w:rPr>
        <w:t>Peet</w:t>
      </w:r>
      <w:proofErr w:type="spellEnd"/>
      <w:r w:rsidRPr="00FD0709">
        <w:rPr>
          <w:b/>
          <w:sz w:val="18"/>
          <w:szCs w:val="18"/>
          <w:u w:val="single"/>
        </w:rPr>
        <w:t>)</w:t>
      </w:r>
    </w:p>
    <w:p w14:paraId="2316CEB0" w14:textId="77777777" w:rsidR="00A33164" w:rsidRPr="00FD0709" w:rsidRDefault="00A33164" w:rsidP="00A33164">
      <w:pPr>
        <w:rPr>
          <w:sz w:val="18"/>
          <w:szCs w:val="18"/>
        </w:rPr>
      </w:pPr>
      <w:r w:rsidRPr="00FD0709">
        <w:rPr>
          <w:b/>
          <w:sz w:val="18"/>
          <w:szCs w:val="18"/>
        </w:rPr>
        <w:t>Test:</w:t>
      </w:r>
      <w:r w:rsidRPr="00FD0709">
        <w:rPr>
          <w:sz w:val="18"/>
          <w:szCs w:val="18"/>
        </w:rPr>
        <w:t xml:space="preserve"> “</w:t>
      </w:r>
      <w:r w:rsidRPr="00FD0709">
        <w:rPr>
          <w:i/>
          <w:color w:val="C0504D" w:themeColor="accent2"/>
          <w:sz w:val="18"/>
          <w:szCs w:val="18"/>
        </w:rPr>
        <w:t xml:space="preserve">In order to be an aboriginal right an activity must be an element of a practice, custom or tradition (PCT) </w:t>
      </w:r>
      <w:r w:rsidRPr="00FD0709">
        <w:rPr>
          <w:b/>
          <w:i/>
          <w:color w:val="C0504D" w:themeColor="accent2"/>
          <w:sz w:val="18"/>
          <w:szCs w:val="18"/>
          <w:u w:val="single"/>
        </w:rPr>
        <w:t>integral to the distinctive culture</w:t>
      </w:r>
      <w:r w:rsidRPr="00FD0709">
        <w:rPr>
          <w:i/>
          <w:color w:val="C0504D" w:themeColor="accent2"/>
          <w:sz w:val="18"/>
          <w:szCs w:val="18"/>
        </w:rPr>
        <w:t xml:space="preserve"> of the aboriginal group claiming the right</w:t>
      </w:r>
      <w:r w:rsidRPr="00FD0709">
        <w:rPr>
          <w:sz w:val="18"/>
          <w:szCs w:val="18"/>
        </w:rPr>
        <w:t>.”  Ten factors that should be considered in applying this test:</w:t>
      </w:r>
    </w:p>
    <w:p w14:paraId="3D040271" w14:textId="77777777" w:rsidR="00A33164" w:rsidRPr="00FD0709" w:rsidRDefault="00A33164" w:rsidP="004F3CE7">
      <w:pPr>
        <w:pStyle w:val="ListParagraph"/>
        <w:numPr>
          <w:ilvl w:val="0"/>
          <w:numId w:val="1"/>
        </w:numPr>
        <w:rPr>
          <w:color w:val="008000"/>
          <w:sz w:val="18"/>
          <w:szCs w:val="18"/>
        </w:rPr>
      </w:pPr>
      <w:r w:rsidRPr="00FD0709">
        <w:rPr>
          <w:i/>
          <w:color w:val="008000"/>
          <w:sz w:val="18"/>
          <w:szCs w:val="18"/>
        </w:rPr>
        <w:t xml:space="preserve">Courts must take into account the </w:t>
      </w:r>
      <w:r w:rsidRPr="00FD0709">
        <w:rPr>
          <w:b/>
          <w:i/>
          <w:color w:val="008000"/>
          <w:sz w:val="18"/>
          <w:szCs w:val="18"/>
        </w:rPr>
        <w:t>perspective</w:t>
      </w:r>
      <w:r w:rsidRPr="00FD0709">
        <w:rPr>
          <w:i/>
          <w:color w:val="008000"/>
          <w:sz w:val="18"/>
          <w:szCs w:val="18"/>
        </w:rPr>
        <w:t xml:space="preserve"> of aboriginal peoples themselves</w:t>
      </w:r>
    </w:p>
    <w:p w14:paraId="5DDE6DFC" w14:textId="77777777" w:rsidR="00A33164" w:rsidRPr="00FD0709" w:rsidRDefault="00A33164" w:rsidP="004F3CE7">
      <w:pPr>
        <w:pStyle w:val="ListParagraph"/>
        <w:numPr>
          <w:ilvl w:val="0"/>
          <w:numId w:val="1"/>
        </w:numPr>
        <w:rPr>
          <w:color w:val="C0504D" w:themeColor="accent2"/>
          <w:sz w:val="18"/>
          <w:szCs w:val="18"/>
        </w:rPr>
      </w:pPr>
      <w:r w:rsidRPr="00FD0709">
        <w:rPr>
          <w:i/>
          <w:color w:val="C0504D" w:themeColor="accent2"/>
          <w:sz w:val="18"/>
          <w:szCs w:val="18"/>
        </w:rPr>
        <w:t xml:space="preserve">Courts must identify precisely the </w:t>
      </w:r>
      <w:r w:rsidRPr="00FD0709">
        <w:rPr>
          <w:b/>
          <w:i/>
          <w:color w:val="C0504D" w:themeColor="accent2"/>
          <w:sz w:val="18"/>
          <w:szCs w:val="18"/>
        </w:rPr>
        <w:t>nature of the claim</w:t>
      </w:r>
      <w:r w:rsidRPr="00FD0709">
        <w:rPr>
          <w:i/>
          <w:color w:val="C0504D" w:themeColor="accent2"/>
          <w:sz w:val="18"/>
          <w:szCs w:val="18"/>
        </w:rPr>
        <w:t xml:space="preserve"> being made in determining whether an aboriginal claimant has demonstrated the existence of an aboriginal right</w:t>
      </w:r>
    </w:p>
    <w:p w14:paraId="392E3A95" w14:textId="77777777" w:rsidR="00A33164" w:rsidRPr="00FD0709" w:rsidRDefault="00A33164" w:rsidP="004F3CE7">
      <w:pPr>
        <w:pStyle w:val="ListParagraph"/>
        <w:numPr>
          <w:ilvl w:val="0"/>
          <w:numId w:val="2"/>
        </w:numPr>
        <w:rPr>
          <w:sz w:val="18"/>
          <w:szCs w:val="18"/>
        </w:rPr>
      </w:pPr>
      <w:r w:rsidRPr="00FD0709">
        <w:rPr>
          <w:sz w:val="18"/>
          <w:szCs w:val="18"/>
        </w:rPr>
        <w:t>The court must first correctly determine what the right is that is being claimed.  To characterize an applicant’s claim correctly, a court should consider such factors as:</w:t>
      </w:r>
    </w:p>
    <w:p w14:paraId="3D8A3E65" w14:textId="77777777" w:rsidR="00A33164" w:rsidRPr="008B49C7" w:rsidRDefault="00A33164" w:rsidP="004F3CE7">
      <w:pPr>
        <w:pStyle w:val="ListParagraph"/>
        <w:numPr>
          <w:ilvl w:val="0"/>
          <w:numId w:val="3"/>
        </w:numPr>
        <w:rPr>
          <w:color w:val="008000"/>
          <w:sz w:val="18"/>
          <w:szCs w:val="18"/>
        </w:rPr>
      </w:pPr>
      <w:r w:rsidRPr="008B49C7">
        <w:rPr>
          <w:color w:val="008000"/>
          <w:sz w:val="18"/>
          <w:szCs w:val="18"/>
        </w:rPr>
        <w:t>The nature of the action (which the applicant is claiming was done pursuant to an aboriginal right)</w:t>
      </w:r>
    </w:p>
    <w:p w14:paraId="7B88817A" w14:textId="77777777" w:rsidR="00A33164" w:rsidRPr="008B49C7" w:rsidRDefault="00A33164" w:rsidP="004F3CE7">
      <w:pPr>
        <w:pStyle w:val="ListParagraph"/>
        <w:numPr>
          <w:ilvl w:val="0"/>
          <w:numId w:val="3"/>
        </w:numPr>
        <w:rPr>
          <w:color w:val="008000"/>
          <w:sz w:val="18"/>
          <w:szCs w:val="18"/>
        </w:rPr>
      </w:pPr>
      <w:r w:rsidRPr="008B49C7">
        <w:rPr>
          <w:color w:val="008000"/>
          <w:sz w:val="18"/>
          <w:szCs w:val="18"/>
        </w:rPr>
        <w:t>The nature of the governmental regulation</w:t>
      </w:r>
    </w:p>
    <w:p w14:paraId="3EDC2EE4" w14:textId="77777777" w:rsidR="00A33164" w:rsidRPr="008B49C7" w:rsidRDefault="00A33164" w:rsidP="004F3CE7">
      <w:pPr>
        <w:pStyle w:val="ListParagraph"/>
        <w:numPr>
          <w:ilvl w:val="0"/>
          <w:numId w:val="3"/>
        </w:numPr>
        <w:rPr>
          <w:color w:val="008000"/>
          <w:sz w:val="18"/>
          <w:szCs w:val="18"/>
        </w:rPr>
      </w:pPr>
      <w:r w:rsidRPr="008B49C7">
        <w:rPr>
          <w:color w:val="008000"/>
          <w:sz w:val="18"/>
          <w:szCs w:val="18"/>
        </w:rPr>
        <w:t>The PCT being relied on to establish the right</w:t>
      </w:r>
    </w:p>
    <w:p w14:paraId="1FFFA730" w14:textId="77777777" w:rsidR="00A33164" w:rsidRPr="00FD0709" w:rsidRDefault="00A33164" w:rsidP="004F3CE7">
      <w:pPr>
        <w:pStyle w:val="ListParagraph"/>
        <w:numPr>
          <w:ilvl w:val="0"/>
          <w:numId w:val="1"/>
        </w:numPr>
        <w:rPr>
          <w:color w:val="C0504D" w:themeColor="accent2"/>
          <w:sz w:val="18"/>
          <w:szCs w:val="18"/>
        </w:rPr>
      </w:pPr>
      <w:r w:rsidRPr="00FD0709">
        <w:rPr>
          <w:i/>
          <w:color w:val="C0504D" w:themeColor="accent2"/>
          <w:sz w:val="18"/>
          <w:szCs w:val="18"/>
        </w:rPr>
        <w:t xml:space="preserve">In order to be integral, a PCT must be of </w:t>
      </w:r>
      <w:r w:rsidRPr="00FD0709">
        <w:rPr>
          <w:b/>
          <w:i/>
          <w:color w:val="C0504D" w:themeColor="accent2"/>
          <w:sz w:val="18"/>
          <w:szCs w:val="18"/>
        </w:rPr>
        <w:t>central significance</w:t>
      </w:r>
      <w:r w:rsidRPr="00FD0709">
        <w:rPr>
          <w:i/>
          <w:color w:val="C0504D" w:themeColor="accent2"/>
          <w:sz w:val="18"/>
          <w:szCs w:val="18"/>
        </w:rPr>
        <w:t xml:space="preserve"> to the aboriginal society in question</w:t>
      </w:r>
    </w:p>
    <w:p w14:paraId="2DBDA56B" w14:textId="77777777" w:rsidR="00A33164" w:rsidRPr="00FD0709" w:rsidRDefault="00A33164" w:rsidP="004F3CE7">
      <w:pPr>
        <w:pStyle w:val="ListParagraph"/>
        <w:numPr>
          <w:ilvl w:val="0"/>
          <w:numId w:val="4"/>
        </w:numPr>
        <w:rPr>
          <w:sz w:val="18"/>
          <w:szCs w:val="18"/>
        </w:rPr>
      </w:pPr>
      <w:r w:rsidRPr="00FD0709">
        <w:rPr>
          <w:sz w:val="18"/>
          <w:szCs w:val="18"/>
        </w:rPr>
        <w:t>The applicant must demonstrate that the practice didn’t just take place in their society</w:t>
      </w:r>
    </w:p>
    <w:p w14:paraId="5F7FD090" w14:textId="77777777" w:rsidR="00A33164" w:rsidRPr="00FD0709" w:rsidRDefault="00A33164" w:rsidP="004F3CE7">
      <w:pPr>
        <w:pStyle w:val="ListParagraph"/>
        <w:numPr>
          <w:ilvl w:val="0"/>
          <w:numId w:val="4"/>
        </w:numPr>
        <w:rPr>
          <w:sz w:val="18"/>
          <w:szCs w:val="18"/>
        </w:rPr>
      </w:pPr>
      <w:r w:rsidRPr="00FD0709">
        <w:rPr>
          <w:sz w:val="18"/>
          <w:szCs w:val="18"/>
        </w:rPr>
        <w:t>It was a central and significant part of the society’s distinctive culture.  It was one of the things which made the culture of the society distinctive – that it was one of the things that truly made the society what it was</w:t>
      </w:r>
    </w:p>
    <w:p w14:paraId="45710439" w14:textId="77777777" w:rsidR="00A33164" w:rsidRPr="00FD0709" w:rsidRDefault="00A33164" w:rsidP="004F3CE7">
      <w:pPr>
        <w:pStyle w:val="ListParagraph"/>
        <w:numPr>
          <w:ilvl w:val="0"/>
          <w:numId w:val="4"/>
        </w:numPr>
        <w:rPr>
          <w:sz w:val="18"/>
          <w:szCs w:val="18"/>
        </w:rPr>
      </w:pPr>
      <w:r w:rsidRPr="00FD0709">
        <w:rPr>
          <w:sz w:val="18"/>
          <w:szCs w:val="18"/>
        </w:rPr>
        <w:t xml:space="preserve">Ask: </w:t>
      </w:r>
      <w:r w:rsidRPr="00FD0709">
        <w:rPr>
          <w:color w:val="C0504D" w:themeColor="accent2"/>
          <w:sz w:val="18"/>
          <w:szCs w:val="18"/>
        </w:rPr>
        <w:t>without this PCT, would the culture in question be fundamentally altered, or other than what it is?</w:t>
      </w:r>
    </w:p>
    <w:p w14:paraId="1BBBC55E" w14:textId="77777777" w:rsidR="00A33164" w:rsidRPr="00FD0709" w:rsidRDefault="00A33164" w:rsidP="004F3CE7">
      <w:pPr>
        <w:pStyle w:val="ListParagraph"/>
        <w:numPr>
          <w:ilvl w:val="0"/>
          <w:numId w:val="1"/>
        </w:numPr>
        <w:rPr>
          <w:color w:val="C0504D" w:themeColor="accent2"/>
          <w:sz w:val="18"/>
          <w:szCs w:val="18"/>
        </w:rPr>
      </w:pPr>
      <w:r w:rsidRPr="00FD0709">
        <w:rPr>
          <w:i/>
          <w:color w:val="C0504D" w:themeColor="accent2"/>
          <w:sz w:val="18"/>
          <w:szCs w:val="18"/>
        </w:rPr>
        <w:t xml:space="preserve">The PCT’s which constitute aboriginal rights are those which have </w:t>
      </w:r>
      <w:r w:rsidRPr="00FD0709">
        <w:rPr>
          <w:b/>
          <w:i/>
          <w:color w:val="C0504D" w:themeColor="accent2"/>
          <w:sz w:val="18"/>
          <w:szCs w:val="18"/>
        </w:rPr>
        <w:t>continuity</w:t>
      </w:r>
      <w:r w:rsidRPr="00FD0709">
        <w:rPr>
          <w:i/>
          <w:color w:val="C0504D" w:themeColor="accent2"/>
          <w:sz w:val="18"/>
          <w:szCs w:val="18"/>
        </w:rPr>
        <w:t xml:space="preserve"> with the PCT’s that existed </w:t>
      </w:r>
      <w:r w:rsidRPr="00FD0709">
        <w:rPr>
          <w:b/>
          <w:i/>
          <w:color w:val="C0504D" w:themeColor="accent2"/>
          <w:sz w:val="18"/>
          <w:szCs w:val="18"/>
        </w:rPr>
        <w:t>prior to contact</w:t>
      </w:r>
    </w:p>
    <w:p w14:paraId="0D8F65A4" w14:textId="77777777" w:rsidR="00A33164" w:rsidRPr="00FD0709" w:rsidRDefault="00A33164" w:rsidP="004F3CE7">
      <w:pPr>
        <w:pStyle w:val="ListParagraph"/>
        <w:numPr>
          <w:ilvl w:val="0"/>
          <w:numId w:val="5"/>
        </w:numPr>
        <w:rPr>
          <w:sz w:val="18"/>
          <w:szCs w:val="18"/>
        </w:rPr>
      </w:pPr>
      <w:r w:rsidRPr="00FD0709">
        <w:rPr>
          <w:color w:val="C0504D" w:themeColor="accent2"/>
          <w:sz w:val="18"/>
          <w:szCs w:val="18"/>
        </w:rPr>
        <w:t xml:space="preserve">The relevant time period is the period </w:t>
      </w:r>
      <w:r w:rsidRPr="00FD0709">
        <w:rPr>
          <w:b/>
          <w:color w:val="C0504D" w:themeColor="accent2"/>
          <w:sz w:val="18"/>
          <w:szCs w:val="18"/>
        </w:rPr>
        <w:t>prior to contact</w:t>
      </w:r>
      <w:r w:rsidRPr="00FD0709">
        <w:rPr>
          <w:sz w:val="18"/>
          <w:szCs w:val="18"/>
        </w:rPr>
        <w:t>, NOT the period prior to the assertion of sovereignty by the Crown</w:t>
      </w:r>
    </w:p>
    <w:p w14:paraId="513B0AC9" w14:textId="77777777" w:rsidR="00A33164" w:rsidRPr="00FD0709" w:rsidRDefault="00A33164" w:rsidP="004F3CE7">
      <w:pPr>
        <w:pStyle w:val="ListParagraph"/>
        <w:numPr>
          <w:ilvl w:val="0"/>
          <w:numId w:val="5"/>
        </w:numPr>
        <w:rPr>
          <w:sz w:val="18"/>
          <w:szCs w:val="18"/>
        </w:rPr>
      </w:pPr>
      <w:r w:rsidRPr="00FD0709">
        <w:rPr>
          <w:sz w:val="18"/>
          <w:szCs w:val="18"/>
        </w:rPr>
        <w:t>Evidence: doesn’t need to be shown from pre-contact.  Can be from post-contact, but must point at aspects of the community that have their origins pre-contact</w:t>
      </w:r>
    </w:p>
    <w:p w14:paraId="6119A26D" w14:textId="77777777" w:rsidR="00A33164" w:rsidRPr="00FD0709" w:rsidRDefault="00A33164" w:rsidP="004F3CE7">
      <w:pPr>
        <w:pStyle w:val="ListParagraph"/>
        <w:numPr>
          <w:ilvl w:val="0"/>
          <w:numId w:val="5"/>
        </w:numPr>
        <w:rPr>
          <w:sz w:val="18"/>
          <w:szCs w:val="18"/>
        </w:rPr>
      </w:pPr>
      <w:r w:rsidRPr="00FD0709">
        <w:rPr>
          <w:sz w:val="18"/>
          <w:szCs w:val="18"/>
        </w:rPr>
        <w:t>Continuity: the evolution of PCT’s into modern forms will not, provided that continuity with pre-contact PCT’s is demonstrated, prevent their protection as aboriginal rights.  Avoids “frozen rights”</w:t>
      </w:r>
    </w:p>
    <w:p w14:paraId="2F790E88" w14:textId="77777777" w:rsidR="00A33164" w:rsidRPr="00FD0709" w:rsidRDefault="00A33164" w:rsidP="004F3CE7">
      <w:pPr>
        <w:pStyle w:val="ListParagraph"/>
        <w:numPr>
          <w:ilvl w:val="1"/>
          <w:numId w:val="5"/>
        </w:numPr>
        <w:rPr>
          <w:sz w:val="18"/>
          <w:szCs w:val="18"/>
        </w:rPr>
      </w:pPr>
      <w:r w:rsidRPr="00FD0709">
        <w:rPr>
          <w:sz w:val="18"/>
          <w:szCs w:val="18"/>
        </w:rPr>
        <w:t>Evidence doesn’t have to be show</w:t>
      </w:r>
      <w:r w:rsidR="00FD0709" w:rsidRPr="00FD0709">
        <w:rPr>
          <w:sz w:val="18"/>
          <w:szCs w:val="18"/>
        </w:rPr>
        <w:t>n</w:t>
      </w:r>
      <w:r w:rsidRPr="00FD0709">
        <w:rPr>
          <w:sz w:val="18"/>
          <w:szCs w:val="18"/>
        </w:rPr>
        <w:t xml:space="preserve"> of an unbroken chain of continuity</w:t>
      </w:r>
    </w:p>
    <w:p w14:paraId="522F5690" w14:textId="77777777" w:rsidR="00A33164" w:rsidRPr="00FD0709" w:rsidRDefault="00A33164" w:rsidP="004F3CE7">
      <w:pPr>
        <w:pStyle w:val="ListParagraph"/>
        <w:numPr>
          <w:ilvl w:val="0"/>
          <w:numId w:val="1"/>
        </w:numPr>
        <w:rPr>
          <w:color w:val="008000"/>
          <w:sz w:val="18"/>
          <w:szCs w:val="18"/>
        </w:rPr>
      </w:pPr>
      <w:r w:rsidRPr="00FD0709">
        <w:rPr>
          <w:i/>
          <w:color w:val="008000"/>
          <w:sz w:val="18"/>
          <w:szCs w:val="18"/>
        </w:rPr>
        <w:t xml:space="preserve">Courts must approach the rules of evidence in light of the </w:t>
      </w:r>
      <w:r w:rsidRPr="00FD0709">
        <w:rPr>
          <w:b/>
          <w:i/>
          <w:color w:val="008000"/>
          <w:sz w:val="18"/>
          <w:szCs w:val="18"/>
        </w:rPr>
        <w:t>evidentiary difficulties</w:t>
      </w:r>
      <w:r w:rsidRPr="00FD0709">
        <w:rPr>
          <w:i/>
          <w:color w:val="008000"/>
          <w:sz w:val="18"/>
          <w:szCs w:val="18"/>
        </w:rPr>
        <w:t xml:space="preserve"> inherent in adjudicating aboriginal claims</w:t>
      </w:r>
    </w:p>
    <w:p w14:paraId="7D18C65F" w14:textId="77777777" w:rsidR="00A33164" w:rsidRPr="00FD0709" w:rsidRDefault="00A33164" w:rsidP="004F3CE7">
      <w:pPr>
        <w:pStyle w:val="ListParagraph"/>
        <w:numPr>
          <w:ilvl w:val="0"/>
          <w:numId w:val="1"/>
        </w:numPr>
        <w:rPr>
          <w:color w:val="008000"/>
          <w:sz w:val="18"/>
          <w:szCs w:val="18"/>
        </w:rPr>
      </w:pPr>
      <w:r w:rsidRPr="00FD0709">
        <w:rPr>
          <w:i/>
          <w:color w:val="008000"/>
          <w:sz w:val="18"/>
          <w:szCs w:val="18"/>
        </w:rPr>
        <w:t xml:space="preserve">Claims to aboriginal rights must be adjudicated on a </w:t>
      </w:r>
      <w:r w:rsidRPr="00FD0709">
        <w:rPr>
          <w:b/>
          <w:i/>
          <w:color w:val="008000"/>
          <w:sz w:val="18"/>
          <w:szCs w:val="18"/>
        </w:rPr>
        <w:t>specific rather than general basis</w:t>
      </w:r>
    </w:p>
    <w:p w14:paraId="3A7F3894" w14:textId="77777777" w:rsidR="00A33164" w:rsidRPr="00FD0709" w:rsidRDefault="00FD0709" w:rsidP="004F3CE7">
      <w:pPr>
        <w:pStyle w:val="ListParagraph"/>
        <w:numPr>
          <w:ilvl w:val="0"/>
          <w:numId w:val="6"/>
        </w:numPr>
        <w:rPr>
          <w:sz w:val="18"/>
          <w:szCs w:val="18"/>
        </w:rPr>
      </w:pPr>
      <w:r w:rsidRPr="00FD0709">
        <w:rPr>
          <w:sz w:val="18"/>
          <w:szCs w:val="18"/>
        </w:rPr>
        <w:t>J</w:t>
      </w:r>
      <w:r w:rsidR="00A33164" w:rsidRPr="00FD0709">
        <w:rPr>
          <w:sz w:val="18"/>
          <w:szCs w:val="18"/>
        </w:rPr>
        <w:t>ust because one community has a right, doesn’t mean that another does</w:t>
      </w:r>
    </w:p>
    <w:p w14:paraId="3DAA483A" w14:textId="77777777" w:rsidR="00A33164" w:rsidRPr="00FD0709" w:rsidRDefault="00A33164" w:rsidP="004F3CE7">
      <w:pPr>
        <w:pStyle w:val="ListParagraph"/>
        <w:numPr>
          <w:ilvl w:val="0"/>
          <w:numId w:val="1"/>
        </w:numPr>
        <w:rPr>
          <w:color w:val="008000"/>
          <w:sz w:val="18"/>
          <w:szCs w:val="18"/>
        </w:rPr>
      </w:pPr>
      <w:r w:rsidRPr="00FD0709">
        <w:rPr>
          <w:i/>
          <w:color w:val="008000"/>
          <w:sz w:val="18"/>
          <w:szCs w:val="18"/>
        </w:rPr>
        <w:t xml:space="preserve">For a PCT to constitute an aboriginal right it must be of </w:t>
      </w:r>
      <w:r w:rsidRPr="00FD0709">
        <w:rPr>
          <w:b/>
          <w:i/>
          <w:color w:val="008000"/>
          <w:sz w:val="18"/>
          <w:szCs w:val="18"/>
        </w:rPr>
        <w:t>independent significance</w:t>
      </w:r>
      <w:r w:rsidRPr="00FD0709">
        <w:rPr>
          <w:i/>
          <w:color w:val="008000"/>
          <w:sz w:val="18"/>
          <w:szCs w:val="18"/>
        </w:rPr>
        <w:t xml:space="preserve"> to the aboriginal culture in which it exists</w:t>
      </w:r>
    </w:p>
    <w:p w14:paraId="48A1B754" w14:textId="77777777" w:rsidR="00A33164" w:rsidRPr="00FD0709" w:rsidRDefault="00A33164" w:rsidP="004F3CE7">
      <w:pPr>
        <w:pStyle w:val="ListParagraph"/>
        <w:numPr>
          <w:ilvl w:val="0"/>
          <w:numId w:val="7"/>
        </w:numPr>
        <w:rPr>
          <w:sz w:val="18"/>
          <w:szCs w:val="18"/>
        </w:rPr>
      </w:pPr>
      <w:r w:rsidRPr="00FD0709">
        <w:rPr>
          <w:sz w:val="18"/>
          <w:szCs w:val="18"/>
        </w:rPr>
        <w:t>It can’t exist simply as an incident to another PCT.  It must be itself of integral significance to a society</w:t>
      </w:r>
    </w:p>
    <w:p w14:paraId="7F02FEAF" w14:textId="77777777" w:rsidR="00A33164" w:rsidRPr="00FD0709" w:rsidRDefault="00A33164" w:rsidP="004F3CE7">
      <w:pPr>
        <w:pStyle w:val="ListParagraph"/>
        <w:numPr>
          <w:ilvl w:val="0"/>
          <w:numId w:val="1"/>
        </w:numPr>
        <w:rPr>
          <w:color w:val="008000"/>
          <w:sz w:val="18"/>
          <w:szCs w:val="18"/>
        </w:rPr>
      </w:pPr>
      <w:r w:rsidRPr="00FD0709">
        <w:rPr>
          <w:i/>
          <w:color w:val="008000"/>
          <w:sz w:val="18"/>
          <w:szCs w:val="18"/>
        </w:rPr>
        <w:t xml:space="preserve">The integral to a distinctive culture test requires that a PCT be </w:t>
      </w:r>
      <w:r w:rsidRPr="00FD0709">
        <w:rPr>
          <w:b/>
          <w:i/>
          <w:color w:val="008000"/>
          <w:sz w:val="18"/>
          <w:szCs w:val="18"/>
        </w:rPr>
        <w:t>distinctive</w:t>
      </w:r>
      <w:r w:rsidRPr="00FD0709">
        <w:rPr>
          <w:i/>
          <w:color w:val="008000"/>
          <w:sz w:val="18"/>
          <w:szCs w:val="18"/>
        </w:rPr>
        <w:t>; it doesn’t require that a PCT be distinct</w:t>
      </w:r>
    </w:p>
    <w:p w14:paraId="30F1725E" w14:textId="77777777" w:rsidR="00A33164" w:rsidRPr="00FD0709" w:rsidRDefault="00A33164" w:rsidP="004F3CE7">
      <w:pPr>
        <w:pStyle w:val="ListParagraph"/>
        <w:numPr>
          <w:ilvl w:val="0"/>
          <w:numId w:val="8"/>
        </w:numPr>
        <w:rPr>
          <w:sz w:val="18"/>
          <w:szCs w:val="18"/>
        </w:rPr>
      </w:pPr>
      <w:r w:rsidRPr="00FD0709">
        <w:rPr>
          <w:sz w:val="18"/>
          <w:szCs w:val="18"/>
        </w:rPr>
        <w:t>It’s not relative.  It just makes up part of what the culture is, not that it’s different from other cultures (</w:t>
      </w:r>
      <w:proofErr w:type="spellStart"/>
      <w:r w:rsidRPr="00FD0709">
        <w:rPr>
          <w:sz w:val="18"/>
          <w:szCs w:val="18"/>
        </w:rPr>
        <w:t>ie</w:t>
      </w:r>
      <w:proofErr w:type="spellEnd"/>
      <w:r w:rsidRPr="00FD0709">
        <w:rPr>
          <w:sz w:val="18"/>
          <w:szCs w:val="18"/>
        </w:rPr>
        <w:t>. In Sparrow, fishing isn’t distinct, but it’s a distinctive part of their culture)</w:t>
      </w:r>
    </w:p>
    <w:p w14:paraId="39BD3E1D" w14:textId="77777777" w:rsidR="00A33164" w:rsidRPr="00FD0709" w:rsidRDefault="00FD0709" w:rsidP="004F3CE7">
      <w:pPr>
        <w:pStyle w:val="ListParagraph"/>
        <w:numPr>
          <w:ilvl w:val="0"/>
          <w:numId w:val="1"/>
        </w:numPr>
        <w:rPr>
          <w:color w:val="008000"/>
          <w:sz w:val="18"/>
          <w:szCs w:val="18"/>
        </w:rPr>
      </w:pPr>
      <w:r w:rsidRPr="00FD0709">
        <w:rPr>
          <w:i/>
          <w:color w:val="008000"/>
          <w:sz w:val="18"/>
          <w:szCs w:val="18"/>
        </w:rPr>
        <w:t>I</w:t>
      </w:r>
      <w:r w:rsidR="00A33164" w:rsidRPr="00FD0709">
        <w:rPr>
          <w:i/>
          <w:color w:val="008000"/>
          <w:sz w:val="18"/>
          <w:szCs w:val="18"/>
        </w:rPr>
        <w:t xml:space="preserve">nfluence of </w:t>
      </w:r>
      <w:r w:rsidR="00A33164" w:rsidRPr="00FD0709">
        <w:rPr>
          <w:b/>
          <w:i/>
          <w:color w:val="008000"/>
          <w:sz w:val="18"/>
          <w:szCs w:val="18"/>
        </w:rPr>
        <w:t xml:space="preserve">European </w:t>
      </w:r>
      <w:r w:rsidRPr="00FD0709">
        <w:rPr>
          <w:i/>
          <w:color w:val="008000"/>
          <w:sz w:val="18"/>
          <w:szCs w:val="18"/>
        </w:rPr>
        <w:t>culture only</w:t>
      </w:r>
      <w:r w:rsidR="00A33164" w:rsidRPr="00FD0709">
        <w:rPr>
          <w:i/>
          <w:color w:val="008000"/>
          <w:sz w:val="18"/>
          <w:szCs w:val="18"/>
        </w:rPr>
        <w:t xml:space="preserve"> </w:t>
      </w:r>
      <w:r w:rsidRPr="00FD0709">
        <w:rPr>
          <w:i/>
          <w:color w:val="008000"/>
          <w:sz w:val="18"/>
          <w:szCs w:val="18"/>
        </w:rPr>
        <w:t>relevant to the inquiry if it’</w:t>
      </w:r>
      <w:r w:rsidR="00A33164" w:rsidRPr="00FD0709">
        <w:rPr>
          <w:i/>
          <w:color w:val="008000"/>
          <w:sz w:val="18"/>
          <w:szCs w:val="18"/>
        </w:rPr>
        <w:t>s demonstrated that the PCT is only integral because of that influence</w:t>
      </w:r>
    </w:p>
    <w:p w14:paraId="2C04C0B1" w14:textId="77777777" w:rsidR="00A33164" w:rsidRPr="00FD0709" w:rsidRDefault="00FD0709" w:rsidP="004F3CE7">
      <w:pPr>
        <w:pStyle w:val="ListParagraph"/>
        <w:numPr>
          <w:ilvl w:val="0"/>
          <w:numId w:val="9"/>
        </w:numPr>
        <w:rPr>
          <w:sz w:val="18"/>
          <w:szCs w:val="18"/>
        </w:rPr>
      </w:pPr>
      <w:r w:rsidRPr="00FD0709">
        <w:rPr>
          <w:sz w:val="18"/>
          <w:szCs w:val="18"/>
        </w:rPr>
        <w:t>Ok</w:t>
      </w:r>
      <w:r w:rsidR="00A33164" w:rsidRPr="00FD0709">
        <w:rPr>
          <w:sz w:val="18"/>
          <w:szCs w:val="18"/>
        </w:rPr>
        <w:t xml:space="preserve"> if PCT altered a</w:t>
      </w:r>
      <w:r w:rsidRPr="00FD0709">
        <w:rPr>
          <w:sz w:val="18"/>
          <w:szCs w:val="18"/>
        </w:rPr>
        <w:t>fter European arrival, but if arose solely in</w:t>
      </w:r>
      <w:r w:rsidR="00A33164" w:rsidRPr="00FD0709">
        <w:rPr>
          <w:sz w:val="18"/>
          <w:szCs w:val="18"/>
        </w:rPr>
        <w:t xml:space="preserve"> respons</w:t>
      </w:r>
      <w:r w:rsidRPr="00FD0709">
        <w:rPr>
          <w:sz w:val="18"/>
          <w:szCs w:val="18"/>
        </w:rPr>
        <w:t>e to European influence, won’t meet</w:t>
      </w:r>
      <w:r w:rsidR="00A33164" w:rsidRPr="00FD0709">
        <w:rPr>
          <w:sz w:val="18"/>
          <w:szCs w:val="18"/>
        </w:rPr>
        <w:t xml:space="preserve"> standard of a right</w:t>
      </w:r>
    </w:p>
    <w:p w14:paraId="4D611E31" w14:textId="77777777" w:rsidR="00A33164" w:rsidRPr="00FD0709" w:rsidRDefault="00A33164" w:rsidP="004F3CE7">
      <w:pPr>
        <w:pStyle w:val="ListParagraph"/>
        <w:numPr>
          <w:ilvl w:val="0"/>
          <w:numId w:val="1"/>
        </w:numPr>
        <w:rPr>
          <w:color w:val="008000"/>
          <w:sz w:val="18"/>
          <w:szCs w:val="18"/>
        </w:rPr>
      </w:pPr>
      <w:r w:rsidRPr="00FD0709">
        <w:rPr>
          <w:i/>
          <w:color w:val="008000"/>
          <w:sz w:val="18"/>
          <w:szCs w:val="18"/>
        </w:rPr>
        <w:t xml:space="preserve">Courts must take into account both the relationship of aboriginal peoples </w:t>
      </w:r>
      <w:r w:rsidRPr="00FD0709">
        <w:rPr>
          <w:b/>
          <w:i/>
          <w:color w:val="008000"/>
          <w:sz w:val="18"/>
          <w:szCs w:val="18"/>
        </w:rPr>
        <w:t>to the land</w:t>
      </w:r>
      <w:r w:rsidRPr="00FD0709">
        <w:rPr>
          <w:i/>
          <w:color w:val="008000"/>
          <w:sz w:val="18"/>
          <w:szCs w:val="18"/>
        </w:rPr>
        <w:t xml:space="preserve"> and the </w:t>
      </w:r>
      <w:r w:rsidRPr="00FD0709">
        <w:rPr>
          <w:b/>
          <w:i/>
          <w:color w:val="008000"/>
          <w:sz w:val="18"/>
          <w:szCs w:val="18"/>
        </w:rPr>
        <w:t>distinctive societies</w:t>
      </w:r>
      <w:r w:rsidRPr="00FD0709">
        <w:rPr>
          <w:i/>
          <w:color w:val="008000"/>
          <w:sz w:val="18"/>
          <w:szCs w:val="18"/>
        </w:rPr>
        <w:t xml:space="preserve"> and cultures of aboriginal peoples</w:t>
      </w:r>
    </w:p>
    <w:p w14:paraId="21D01A1D" w14:textId="77777777" w:rsidR="00276332" w:rsidRPr="00FD0709" w:rsidRDefault="00A33164" w:rsidP="004F3CE7">
      <w:pPr>
        <w:pStyle w:val="ListParagraph"/>
        <w:numPr>
          <w:ilvl w:val="0"/>
          <w:numId w:val="9"/>
        </w:numPr>
        <w:rPr>
          <w:sz w:val="18"/>
          <w:szCs w:val="18"/>
        </w:rPr>
      </w:pPr>
      <w:r w:rsidRPr="00FD0709">
        <w:rPr>
          <w:sz w:val="18"/>
          <w:szCs w:val="18"/>
        </w:rPr>
        <w:t>Courts must not focus so entirely on the relationship of aboriginal peoples with the land, that they lose sight of the other factors relevant to the identification and definition of aboriginal rights.  Aboriginal title is just a subset of aboriginal rights</w:t>
      </w:r>
    </w:p>
    <w:p w14:paraId="47869BFB" w14:textId="77777777" w:rsidR="00276332" w:rsidRDefault="00276332" w:rsidP="00160C60">
      <w:pPr>
        <w:rPr>
          <w:sz w:val="18"/>
          <w:szCs w:val="18"/>
        </w:rPr>
      </w:pPr>
    </w:p>
    <w:p w14:paraId="121AD709" w14:textId="77777777" w:rsidR="00D0331E" w:rsidRPr="004E0DE3" w:rsidRDefault="00303E19" w:rsidP="00D0331E">
      <w:pPr>
        <w:rPr>
          <w:i/>
          <w:sz w:val="18"/>
          <w:szCs w:val="18"/>
        </w:rPr>
      </w:pPr>
      <w:r>
        <w:rPr>
          <w:b/>
          <w:sz w:val="18"/>
          <w:szCs w:val="18"/>
          <w:u w:val="single"/>
        </w:rPr>
        <w:t>Modifications</w:t>
      </w:r>
      <w:r w:rsidR="00D0331E" w:rsidRPr="00FD0709">
        <w:rPr>
          <w:b/>
          <w:sz w:val="18"/>
          <w:szCs w:val="18"/>
          <w:u w:val="single"/>
        </w:rPr>
        <w:t xml:space="preserve"> to Show Aboriginal Title</w:t>
      </w:r>
      <w:r w:rsidR="00D0331E">
        <w:rPr>
          <w:b/>
          <w:sz w:val="18"/>
          <w:szCs w:val="18"/>
          <w:u w:val="single"/>
        </w:rPr>
        <w:t xml:space="preserve"> (</w:t>
      </w:r>
      <w:proofErr w:type="spellStart"/>
      <w:r w:rsidR="00D0331E">
        <w:rPr>
          <w:b/>
          <w:i/>
          <w:sz w:val="18"/>
          <w:szCs w:val="18"/>
          <w:u w:val="single"/>
        </w:rPr>
        <w:t>Delgamuukw</w:t>
      </w:r>
      <w:proofErr w:type="spellEnd"/>
      <w:r w:rsidR="00D0331E">
        <w:rPr>
          <w:b/>
          <w:sz w:val="18"/>
          <w:szCs w:val="18"/>
          <w:u w:val="single"/>
        </w:rPr>
        <w:t>)</w:t>
      </w:r>
      <w:r w:rsidR="004E0DE3">
        <w:rPr>
          <w:b/>
          <w:sz w:val="18"/>
          <w:szCs w:val="18"/>
          <w:u w:val="single"/>
        </w:rPr>
        <w:t xml:space="preserve"> – use in light of considerations in </w:t>
      </w:r>
      <w:r w:rsidR="004E0DE3">
        <w:rPr>
          <w:b/>
          <w:i/>
          <w:sz w:val="18"/>
          <w:szCs w:val="18"/>
          <w:u w:val="single"/>
        </w:rPr>
        <w:t xml:space="preserve">Van der </w:t>
      </w:r>
      <w:proofErr w:type="spellStart"/>
      <w:r w:rsidR="004E0DE3">
        <w:rPr>
          <w:b/>
          <w:i/>
          <w:sz w:val="18"/>
          <w:szCs w:val="18"/>
          <w:u w:val="single"/>
        </w:rPr>
        <w:t>Peet</w:t>
      </w:r>
      <w:proofErr w:type="spellEnd"/>
    </w:p>
    <w:p w14:paraId="2AB8287F" w14:textId="77777777" w:rsidR="00D0331E" w:rsidRDefault="006367E9" w:rsidP="004F3CE7">
      <w:pPr>
        <w:pStyle w:val="ListParagraph"/>
        <w:numPr>
          <w:ilvl w:val="0"/>
          <w:numId w:val="16"/>
        </w:numPr>
        <w:rPr>
          <w:sz w:val="18"/>
          <w:szCs w:val="18"/>
        </w:rPr>
      </w:pPr>
      <w:r w:rsidRPr="00AB787A">
        <w:rPr>
          <w:i/>
          <w:color w:val="C0504D" w:themeColor="accent2"/>
          <w:sz w:val="18"/>
          <w:szCs w:val="18"/>
        </w:rPr>
        <w:t xml:space="preserve">Sufficiency of Occupation – </w:t>
      </w:r>
      <w:r w:rsidR="00D0331E" w:rsidRPr="00AB787A">
        <w:rPr>
          <w:color w:val="C0504D" w:themeColor="accent2"/>
          <w:sz w:val="18"/>
          <w:szCs w:val="18"/>
        </w:rPr>
        <w:t xml:space="preserve">land must’ve been occupied </w:t>
      </w:r>
      <w:r w:rsidR="00D0331E" w:rsidRPr="00AB787A">
        <w:rPr>
          <w:b/>
          <w:color w:val="C0504D" w:themeColor="accent2"/>
          <w:sz w:val="18"/>
          <w:szCs w:val="18"/>
        </w:rPr>
        <w:t>prior to sovereignty</w:t>
      </w:r>
      <w:r w:rsidR="00AB787A">
        <w:rPr>
          <w:sz w:val="18"/>
          <w:szCs w:val="18"/>
        </w:rPr>
        <w:t xml:space="preserve"> (NOT contact, like </w:t>
      </w:r>
      <w:r w:rsidR="00D0331E" w:rsidRPr="00FD0709">
        <w:rPr>
          <w:sz w:val="18"/>
          <w:szCs w:val="18"/>
        </w:rPr>
        <w:t>PCT rights)</w:t>
      </w:r>
      <w:r w:rsidR="00AB787A">
        <w:rPr>
          <w:sz w:val="18"/>
          <w:szCs w:val="18"/>
        </w:rPr>
        <w:t>.  Approach from both perspectives:</w:t>
      </w:r>
    </w:p>
    <w:p w14:paraId="75F65AC3" w14:textId="77777777" w:rsidR="00AB787A" w:rsidRDefault="00AB787A" w:rsidP="004F3CE7">
      <w:pPr>
        <w:pStyle w:val="ListParagraph"/>
        <w:numPr>
          <w:ilvl w:val="1"/>
          <w:numId w:val="16"/>
        </w:numPr>
        <w:rPr>
          <w:sz w:val="18"/>
          <w:szCs w:val="18"/>
        </w:rPr>
      </w:pPr>
      <w:r>
        <w:rPr>
          <w:sz w:val="18"/>
          <w:szCs w:val="18"/>
        </w:rPr>
        <w:t>Aboriginal Perspective – focuses on laws, PCT’s of group.  Take into account the group’s size, manner of life, material resources, technological abilities and character of lands claimed</w:t>
      </w:r>
    </w:p>
    <w:p w14:paraId="0704E7C0" w14:textId="77777777" w:rsidR="00AB787A" w:rsidRPr="00FD0709" w:rsidRDefault="00AB787A" w:rsidP="004F3CE7">
      <w:pPr>
        <w:pStyle w:val="ListParagraph"/>
        <w:numPr>
          <w:ilvl w:val="1"/>
          <w:numId w:val="16"/>
        </w:numPr>
        <w:rPr>
          <w:sz w:val="18"/>
          <w:szCs w:val="18"/>
        </w:rPr>
      </w:pPr>
      <w:r>
        <w:rPr>
          <w:sz w:val="18"/>
          <w:szCs w:val="18"/>
        </w:rPr>
        <w:t xml:space="preserve">Common Law Perspective – idea of possession/control of lands.  Possession extends beyond sites that are physically occupied, to surrounding lands that are used and over which </w:t>
      </w:r>
      <w:r w:rsidRPr="00AB787A">
        <w:rPr>
          <w:b/>
          <w:sz w:val="18"/>
          <w:szCs w:val="18"/>
        </w:rPr>
        <w:t>effective control is exercised</w:t>
      </w:r>
    </w:p>
    <w:p w14:paraId="623B5C6E" w14:textId="77777777" w:rsidR="00D0331E" w:rsidRPr="00FD0709" w:rsidRDefault="00D0331E" w:rsidP="004F3CE7">
      <w:pPr>
        <w:pStyle w:val="ListParagraph"/>
        <w:numPr>
          <w:ilvl w:val="0"/>
          <w:numId w:val="17"/>
        </w:numPr>
        <w:rPr>
          <w:sz w:val="18"/>
          <w:szCs w:val="18"/>
        </w:rPr>
      </w:pPr>
      <w:r w:rsidRPr="00FD0709">
        <w:rPr>
          <w:sz w:val="18"/>
          <w:szCs w:val="18"/>
        </w:rPr>
        <w:t>Proof of occupancy can come from (1) physical occupancy, or (2) aboriginal law (if they had laws in relation to land, those would be relevant to establishing occupation)</w:t>
      </w:r>
    </w:p>
    <w:p w14:paraId="1A55E432" w14:textId="77777777" w:rsidR="00D0331E" w:rsidRPr="00FD0709" w:rsidRDefault="006367E9" w:rsidP="004F3CE7">
      <w:pPr>
        <w:pStyle w:val="ListParagraph"/>
        <w:numPr>
          <w:ilvl w:val="0"/>
          <w:numId w:val="16"/>
        </w:numPr>
        <w:rPr>
          <w:sz w:val="18"/>
          <w:szCs w:val="18"/>
        </w:rPr>
      </w:pPr>
      <w:r w:rsidRPr="00AB787A">
        <w:rPr>
          <w:i/>
          <w:color w:val="C0504D" w:themeColor="accent2"/>
          <w:sz w:val="18"/>
          <w:szCs w:val="18"/>
        </w:rPr>
        <w:t xml:space="preserve">Continuity of </w:t>
      </w:r>
      <w:r w:rsidRPr="004E0DE3">
        <w:rPr>
          <w:i/>
          <w:color w:val="C0504D" w:themeColor="accent2"/>
          <w:sz w:val="18"/>
          <w:szCs w:val="18"/>
        </w:rPr>
        <w:t xml:space="preserve">Occupation – </w:t>
      </w:r>
      <w:r w:rsidR="004E0DE3">
        <w:rPr>
          <w:b/>
          <w:color w:val="C0504D" w:themeColor="accent2"/>
          <w:sz w:val="18"/>
          <w:szCs w:val="18"/>
        </w:rPr>
        <w:t>if</w:t>
      </w:r>
      <w:r w:rsidR="00D0331E" w:rsidRPr="004E0DE3">
        <w:rPr>
          <w:color w:val="C0504D" w:themeColor="accent2"/>
          <w:sz w:val="18"/>
          <w:szCs w:val="18"/>
        </w:rPr>
        <w:t xml:space="preserve"> present occupation is relied on as proof of occupation pre-sovereignty</w:t>
      </w:r>
      <w:r w:rsidR="00D0331E" w:rsidRPr="00FD0709">
        <w:rPr>
          <w:sz w:val="18"/>
          <w:szCs w:val="18"/>
        </w:rPr>
        <w:t>, there must be a continuity between present and pre-sovereignty occupation</w:t>
      </w:r>
    </w:p>
    <w:p w14:paraId="6C200BC8" w14:textId="77777777" w:rsidR="00D0331E" w:rsidRPr="00FD0709" w:rsidRDefault="00D0331E" w:rsidP="004F3CE7">
      <w:pPr>
        <w:pStyle w:val="ListParagraph"/>
        <w:numPr>
          <w:ilvl w:val="0"/>
          <w:numId w:val="18"/>
        </w:numPr>
        <w:rPr>
          <w:sz w:val="18"/>
          <w:szCs w:val="18"/>
        </w:rPr>
      </w:pPr>
      <w:r w:rsidRPr="00FD0709">
        <w:rPr>
          <w:sz w:val="18"/>
          <w:szCs w:val="18"/>
        </w:rPr>
        <w:t>No need to establish an “unbroken chain of continuity”, but there must be “substantial maintenance of the connection”</w:t>
      </w:r>
    </w:p>
    <w:p w14:paraId="2470EBA6" w14:textId="77777777" w:rsidR="00D0331E" w:rsidRPr="00FD0709" w:rsidRDefault="00AB787A" w:rsidP="004F3CE7">
      <w:pPr>
        <w:pStyle w:val="ListParagraph"/>
        <w:numPr>
          <w:ilvl w:val="0"/>
          <w:numId w:val="18"/>
        </w:numPr>
        <w:rPr>
          <w:sz w:val="18"/>
          <w:szCs w:val="18"/>
        </w:rPr>
      </w:pPr>
      <w:r>
        <w:rPr>
          <w:sz w:val="18"/>
          <w:szCs w:val="18"/>
        </w:rPr>
        <w:t xml:space="preserve">Change in </w:t>
      </w:r>
      <w:r w:rsidR="00D0331E" w:rsidRPr="00FD0709">
        <w:rPr>
          <w:sz w:val="18"/>
          <w:szCs w:val="18"/>
        </w:rPr>
        <w:t>nature</w:t>
      </w:r>
      <w:r>
        <w:rPr>
          <w:sz w:val="18"/>
          <w:szCs w:val="18"/>
        </w:rPr>
        <w:t xml:space="preserve"> of occupation won’t preclude </w:t>
      </w:r>
      <w:r w:rsidR="00D0331E" w:rsidRPr="00FD0709">
        <w:rPr>
          <w:sz w:val="18"/>
          <w:szCs w:val="18"/>
        </w:rPr>
        <w:t xml:space="preserve">claim </w:t>
      </w:r>
      <w:r>
        <w:rPr>
          <w:sz w:val="18"/>
          <w:szCs w:val="18"/>
        </w:rPr>
        <w:t>for title unless (possibly) use is</w:t>
      </w:r>
      <w:r w:rsidR="00D0331E" w:rsidRPr="00FD0709">
        <w:rPr>
          <w:sz w:val="18"/>
          <w:szCs w:val="18"/>
        </w:rPr>
        <w:t xml:space="preserve"> inconsistent with cont</w:t>
      </w:r>
      <w:r>
        <w:rPr>
          <w:sz w:val="18"/>
          <w:szCs w:val="18"/>
        </w:rPr>
        <w:t>inued use by future generations</w:t>
      </w:r>
    </w:p>
    <w:p w14:paraId="1B0CF9AD" w14:textId="77777777" w:rsidR="00D0331E" w:rsidRPr="00FD0709" w:rsidRDefault="00AB787A" w:rsidP="004F3CE7">
      <w:pPr>
        <w:pStyle w:val="ListParagraph"/>
        <w:numPr>
          <w:ilvl w:val="0"/>
          <w:numId w:val="16"/>
        </w:numPr>
        <w:rPr>
          <w:sz w:val="18"/>
          <w:szCs w:val="18"/>
        </w:rPr>
      </w:pPr>
      <w:r w:rsidRPr="004E0DE3">
        <w:rPr>
          <w:i/>
          <w:color w:val="C0504D" w:themeColor="accent2"/>
          <w:sz w:val="18"/>
          <w:szCs w:val="18"/>
        </w:rPr>
        <w:t xml:space="preserve">Exclusivity of </w:t>
      </w:r>
      <w:proofErr w:type="spellStart"/>
      <w:r w:rsidRPr="004E0DE3">
        <w:rPr>
          <w:i/>
          <w:color w:val="C0504D" w:themeColor="accent2"/>
          <w:sz w:val="18"/>
          <w:szCs w:val="18"/>
        </w:rPr>
        <w:t>Occupaiton</w:t>
      </w:r>
      <w:proofErr w:type="spellEnd"/>
      <w:r>
        <w:rPr>
          <w:i/>
          <w:sz w:val="18"/>
          <w:szCs w:val="18"/>
        </w:rPr>
        <w:t xml:space="preserve"> – </w:t>
      </w:r>
      <w:r>
        <w:rPr>
          <w:sz w:val="18"/>
          <w:szCs w:val="18"/>
        </w:rPr>
        <w:t xml:space="preserve">at sovereignty, </w:t>
      </w:r>
      <w:r w:rsidR="00D0331E" w:rsidRPr="00FD0709">
        <w:rPr>
          <w:sz w:val="18"/>
          <w:szCs w:val="18"/>
        </w:rPr>
        <w:t>occupation must’ve been exclusive</w:t>
      </w:r>
      <w:r>
        <w:rPr>
          <w:sz w:val="18"/>
          <w:szCs w:val="18"/>
        </w:rPr>
        <w:t xml:space="preserve"> – meaning they had </w:t>
      </w:r>
      <w:r w:rsidRPr="004E0DE3">
        <w:rPr>
          <w:color w:val="C0504D" w:themeColor="accent2"/>
          <w:sz w:val="18"/>
          <w:szCs w:val="18"/>
        </w:rPr>
        <w:t>intention and capacity to retain exclusive control over the lands</w:t>
      </w:r>
    </w:p>
    <w:p w14:paraId="5BD3286E" w14:textId="77777777" w:rsidR="00D0331E" w:rsidRPr="00FD0709" w:rsidRDefault="00AB787A" w:rsidP="004F3CE7">
      <w:pPr>
        <w:pStyle w:val="ListParagraph"/>
        <w:numPr>
          <w:ilvl w:val="0"/>
          <w:numId w:val="19"/>
        </w:numPr>
        <w:rPr>
          <w:sz w:val="18"/>
          <w:szCs w:val="18"/>
        </w:rPr>
      </w:pPr>
      <w:r>
        <w:rPr>
          <w:sz w:val="18"/>
          <w:szCs w:val="18"/>
        </w:rPr>
        <w:t>Other groups being on land doesn’t necessarily negate exclusivity (</w:t>
      </w:r>
      <w:proofErr w:type="spellStart"/>
      <w:r>
        <w:rPr>
          <w:sz w:val="18"/>
          <w:szCs w:val="18"/>
        </w:rPr>
        <w:t>ie</w:t>
      </w:r>
      <w:proofErr w:type="spellEnd"/>
      <w:r>
        <w:rPr>
          <w:sz w:val="18"/>
          <w:szCs w:val="18"/>
        </w:rPr>
        <w:t>. If permission was requested/granted, or treaties made, it may show intention and capacity to control</w:t>
      </w:r>
    </w:p>
    <w:p w14:paraId="4EC2E1D8" w14:textId="77777777" w:rsidR="00D0331E" w:rsidRDefault="00D0331E" w:rsidP="00160C60">
      <w:pPr>
        <w:rPr>
          <w:sz w:val="18"/>
          <w:szCs w:val="18"/>
        </w:rPr>
      </w:pPr>
    </w:p>
    <w:p w14:paraId="255F0C2A" w14:textId="77777777" w:rsidR="00D0331E" w:rsidRDefault="00D0331E" w:rsidP="00160C60">
      <w:pPr>
        <w:rPr>
          <w:sz w:val="18"/>
          <w:szCs w:val="18"/>
        </w:rPr>
      </w:pPr>
    </w:p>
    <w:p w14:paraId="0697FC42" w14:textId="77777777" w:rsidR="00294197" w:rsidRDefault="00294197" w:rsidP="00160C60">
      <w:pPr>
        <w:rPr>
          <w:sz w:val="18"/>
          <w:szCs w:val="18"/>
        </w:rPr>
      </w:pPr>
    </w:p>
    <w:p w14:paraId="0FB52242" w14:textId="77777777" w:rsidR="00294197" w:rsidRDefault="00294197" w:rsidP="00160C60">
      <w:pPr>
        <w:rPr>
          <w:sz w:val="18"/>
          <w:szCs w:val="18"/>
        </w:rPr>
      </w:pPr>
    </w:p>
    <w:p w14:paraId="4A6261ED" w14:textId="77777777" w:rsidR="002D351C" w:rsidRPr="00FD0709" w:rsidRDefault="002D351C" w:rsidP="002D351C">
      <w:pPr>
        <w:jc w:val="center"/>
        <w:rPr>
          <w:sz w:val="21"/>
          <w:szCs w:val="21"/>
        </w:rPr>
      </w:pPr>
      <w:proofErr w:type="gramStart"/>
      <w:r>
        <w:rPr>
          <w:b/>
          <w:sz w:val="21"/>
          <w:szCs w:val="21"/>
          <w:u w:val="single"/>
        </w:rPr>
        <w:lastRenderedPageBreak/>
        <w:t>1(A)</w:t>
      </w:r>
      <w:r w:rsidRPr="00FD0709">
        <w:rPr>
          <w:b/>
          <w:sz w:val="21"/>
          <w:szCs w:val="21"/>
          <w:u w:val="single"/>
        </w:rPr>
        <w:t>.</w:t>
      </w:r>
      <w:proofErr w:type="gramEnd"/>
      <w:r w:rsidRPr="00FD0709">
        <w:rPr>
          <w:b/>
          <w:sz w:val="21"/>
          <w:szCs w:val="21"/>
          <w:u w:val="single"/>
        </w:rPr>
        <w:t xml:space="preserve"> </w:t>
      </w:r>
      <w:r>
        <w:rPr>
          <w:b/>
          <w:sz w:val="21"/>
          <w:szCs w:val="21"/>
          <w:u w:val="single"/>
        </w:rPr>
        <w:t>Differences for Metis Rights</w:t>
      </w:r>
      <w:r w:rsidRPr="00FD0709">
        <w:rPr>
          <w:b/>
          <w:sz w:val="21"/>
          <w:szCs w:val="21"/>
          <w:u w:val="single"/>
        </w:rPr>
        <w:t xml:space="preserve"> </w:t>
      </w:r>
      <w:r w:rsidRPr="00FD0709">
        <w:rPr>
          <w:sz w:val="21"/>
          <w:szCs w:val="21"/>
        </w:rPr>
        <w:t xml:space="preserve"> (</w:t>
      </w:r>
      <w:r>
        <w:rPr>
          <w:sz w:val="21"/>
          <w:szCs w:val="21"/>
        </w:rPr>
        <w:t xml:space="preserve">insert into </w:t>
      </w:r>
      <w:r>
        <w:rPr>
          <w:i/>
          <w:sz w:val="21"/>
          <w:szCs w:val="21"/>
        </w:rPr>
        <w:t xml:space="preserve">Van der </w:t>
      </w:r>
      <w:proofErr w:type="spellStart"/>
      <w:r>
        <w:rPr>
          <w:i/>
          <w:sz w:val="21"/>
          <w:szCs w:val="21"/>
        </w:rPr>
        <w:t>Peet</w:t>
      </w:r>
      <w:proofErr w:type="spellEnd"/>
      <w:r>
        <w:rPr>
          <w:sz w:val="21"/>
          <w:szCs w:val="21"/>
        </w:rPr>
        <w:t>, after characterizing the nature of the claim</w:t>
      </w:r>
      <w:r w:rsidRPr="00FD0709">
        <w:rPr>
          <w:sz w:val="21"/>
          <w:szCs w:val="21"/>
        </w:rPr>
        <w:t>)</w:t>
      </w:r>
    </w:p>
    <w:p w14:paraId="3B53A38E" w14:textId="77777777" w:rsidR="002D351C" w:rsidRPr="002D351C" w:rsidRDefault="002D351C" w:rsidP="002D351C">
      <w:pPr>
        <w:rPr>
          <w:sz w:val="18"/>
          <w:szCs w:val="18"/>
        </w:rPr>
      </w:pPr>
    </w:p>
    <w:p w14:paraId="12B64BFD" w14:textId="77777777" w:rsidR="002D351C" w:rsidRPr="002D351C" w:rsidRDefault="002D351C" w:rsidP="004F3CE7">
      <w:pPr>
        <w:pStyle w:val="ListParagraph"/>
        <w:numPr>
          <w:ilvl w:val="0"/>
          <w:numId w:val="23"/>
        </w:numPr>
        <w:rPr>
          <w:color w:val="C0504D" w:themeColor="accent2"/>
          <w:sz w:val="18"/>
          <w:szCs w:val="18"/>
        </w:rPr>
      </w:pPr>
      <w:r w:rsidRPr="002D351C">
        <w:rPr>
          <w:i/>
          <w:color w:val="C0504D" w:themeColor="accent2"/>
          <w:sz w:val="18"/>
          <w:szCs w:val="18"/>
        </w:rPr>
        <w:t>Identification of the Historic Rights-Bearing Community</w:t>
      </w:r>
    </w:p>
    <w:p w14:paraId="768DF4BC" w14:textId="77777777" w:rsidR="002D351C" w:rsidRPr="00FD0709" w:rsidRDefault="002D351C" w:rsidP="004F3CE7">
      <w:pPr>
        <w:pStyle w:val="ListParagraph"/>
        <w:numPr>
          <w:ilvl w:val="0"/>
          <w:numId w:val="24"/>
        </w:numPr>
        <w:rPr>
          <w:sz w:val="18"/>
          <w:szCs w:val="18"/>
        </w:rPr>
      </w:pPr>
      <w:r w:rsidRPr="00FD0709">
        <w:rPr>
          <w:sz w:val="18"/>
          <w:szCs w:val="18"/>
        </w:rPr>
        <w:t>Requires demographic evidence, and proof of shared customs, traditions, and a collective identity</w:t>
      </w:r>
    </w:p>
    <w:p w14:paraId="3EF2C99B" w14:textId="77777777" w:rsidR="002D351C" w:rsidRPr="00FD0709" w:rsidRDefault="002D351C" w:rsidP="004F3CE7">
      <w:pPr>
        <w:pStyle w:val="ListParagraph"/>
        <w:numPr>
          <w:ilvl w:val="0"/>
          <w:numId w:val="24"/>
        </w:numPr>
        <w:rPr>
          <w:sz w:val="18"/>
          <w:szCs w:val="18"/>
        </w:rPr>
      </w:pPr>
      <w:r w:rsidRPr="00FD0709">
        <w:rPr>
          <w:sz w:val="18"/>
          <w:szCs w:val="18"/>
        </w:rPr>
        <w:t>Must be demonstrated with some degree of continuity and stability (though shifts are fine)</w:t>
      </w:r>
    </w:p>
    <w:p w14:paraId="032D1C26" w14:textId="77777777" w:rsidR="002D351C" w:rsidRPr="002D351C" w:rsidRDefault="002D351C" w:rsidP="004F3CE7">
      <w:pPr>
        <w:pStyle w:val="ListParagraph"/>
        <w:numPr>
          <w:ilvl w:val="0"/>
          <w:numId w:val="23"/>
        </w:numPr>
        <w:rPr>
          <w:color w:val="C0504D" w:themeColor="accent2"/>
          <w:sz w:val="18"/>
          <w:szCs w:val="18"/>
        </w:rPr>
      </w:pPr>
      <w:r w:rsidRPr="002D351C">
        <w:rPr>
          <w:i/>
          <w:color w:val="C0504D" w:themeColor="accent2"/>
          <w:sz w:val="18"/>
          <w:szCs w:val="18"/>
        </w:rPr>
        <w:t>Identification of the Contemporary Rights-Bearing Community</w:t>
      </w:r>
    </w:p>
    <w:p w14:paraId="749D934D" w14:textId="77777777" w:rsidR="002D351C" w:rsidRPr="00FD0709" w:rsidRDefault="002D351C" w:rsidP="004F3CE7">
      <w:pPr>
        <w:pStyle w:val="ListParagraph"/>
        <w:numPr>
          <w:ilvl w:val="0"/>
          <w:numId w:val="25"/>
        </w:numPr>
        <w:rPr>
          <w:sz w:val="18"/>
          <w:szCs w:val="18"/>
        </w:rPr>
      </w:pPr>
      <w:r>
        <w:rPr>
          <w:sz w:val="18"/>
          <w:szCs w:val="18"/>
        </w:rPr>
        <w:t>Lapses in visibility ok. C</w:t>
      </w:r>
      <w:r w:rsidRPr="00FD0709">
        <w:rPr>
          <w:sz w:val="18"/>
          <w:szCs w:val="18"/>
        </w:rPr>
        <w:t>ommu</w:t>
      </w:r>
      <w:r>
        <w:rPr>
          <w:sz w:val="18"/>
          <w:szCs w:val="18"/>
        </w:rPr>
        <w:t>nity can be largely “invisible,”</w:t>
      </w:r>
      <w:r w:rsidRPr="00FD0709">
        <w:rPr>
          <w:sz w:val="18"/>
          <w:szCs w:val="18"/>
        </w:rPr>
        <w:t xml:space="preserve"> </w:t>
      </w:r>
      <w:r>
        <w:rPr>
          <w:sz w:val="18"/>
          <w:szCs w:val="18"/>
        </w:rPr>
        <w:t>if it’s explained and doesn’t negate</w:t>
      </w:r>
      <w:r w:rsidRPr="00FD0709">
        <w:rPr>
          <w:sz w:val="18"/>
          <w:szCs w:val="18"/>
        </w:rPr>
        <w:t xml:space="preserve"> exis</w:t>
      </w:r>
      <w:r>
        <w:rPr>
          <w:sz w:val="18"/>
          <w:szCs w:val="18"/>
        </w:rPr>
        <w:t>tence of</w:t>
      </w:r>
      <w:r w:rsidRPr="00FD0709">
        <w:rPr>
          <w:sz w:val="18"/>
          <w:szCs w:val="18"/>
        </w:rPr>
        <w:t xml:space="preserve"> contemporary community</w:t>
      </w:r>
    </w:p>
    <w:p w14:paraId="5C28E556" w14:textId="77777777" w:rsidR="002D351C" w:rsidRPr="002D351C" w:rsidRDefault="002D351C" w:rsidP="004F3CE7">
      <w:pPr>
        <w:pStyle w:val="ListParagraph"/>
        <w:numPr>
          <w:ilvl w:val="0"/>
          <w:numId w:val="23"/>
        </w:numPr>
        <w:rPr>
          <w:color w:val="C0504D" w:themeColor="accent2"/>
          <w:sz w:val="18"/>
          <w:szCs w:val="18"/>
        </w:rPr>
      </w:pPr>
      <w:r w:rsidRPr="002D351C">
        <w:rPr>
          <w:i/>
          <w:color w:val="C0504D" w:themeColor="accent2"/>
          <w:sz w:val="18"/>
          <w:szCs w:val="18"/>
        </w:rPr>
        <w:t>Verification of the Claimant’s Membership in the Relevant Contemporary Community</w:t>
      </w:r>
      <w:r w:rsidRPr="002D351C">
        <w:rPr>
          <w:color w:val="C0504D" w:themeColor="accent2"/>
          <w:sz w:val="18"/>
          <w:szCs w:val="18"/>
        </w:rPr>
        <w:t xml:space="preserve"> – three broad factors indicate Metis identity for the purpose of claiming Metis rights:</w:t>
      </w:r>
    </w:p>
    <w:p w14:paraId="27F30875" w14:textId="77777777" w:rsidR="002D351C" w:rsidRPr="00FD0709" w:rsidRDefault="002D351C" w:rsidP="004F3CE7">
      <w:pPr>
        <w:pStyle w:val="ListParagraph"/>
        <w:numPr>
          <w:ilvl w:val="1"/>
          <w:numId w:val="23"/>
        </w:numPr>
        <w:rPr>
          <w:sz w:val="18"/>
          <w:szCs w:val="18"/>
        </w:rPr>
      </w:pPr>
      <w:r w:rsidRPr="002D351C">
        <w:rPr>
          <w:color w:val="C0504D" w:themeColor="accent2"/>
          <w:sz w:val="18"/>
          <w:szCs w:val="18"/>
        </w:rPr>
        <w:t>Self-Identification</w:t>
      </w:r>
      <w:r w:rsidRPr="00FD0709">
        <w:rPr>
          <w:sz w:val="18"/>
          <w:szCs w:val="18"/>
        </w:rPr>
        <w:t xml:space="preserve"> – the claimant must self-identify as a member of a Metis community</w:t>
      </w:r>
    </w:p>
    <w:p w14:paraId="31983FC7" w14:textId="77777777" w:rsidR="002D351C" w:rsidRPr="00FD0709" w:rsidRDefault="002D351C" w:rsidP="004F3CE7">
      <w:pPr>
        <w:pStyle w:val="ListParagraph"/>
        <w:numPr>
          <w:ilvl w:val="1"/>
          <w:numId w:val="23"/>
        </w:numPr>
        <w:rPr>
          <w:sz w:val="18"/>
          <w:szCs w:val="18"/>
        </w:rPr>
      </w:pPr>
      <w:r w:rsidRPr="002D351C">
        <w:rPr>
          <w:color w:val="C0504D" w:themeColor="accent2"/>
          <w:sz w:val="18"/>
          <w:szCs w:val="18"/>
        </w:rPr>
        <w:t>Ancestral Connection</w:t>
      </w:r>
      <w:r w:rsidRPr="00FD0709">
        <w:rPr>
          <w:sz w:val="18"/>
          <w:szCs w:val="18"/>
        </w:rPr>
        <w:t xml:space="preserve"> – they must present evidence of an ancestral connection to a historic Metis community.  Doesn’t require a “blood quantum”, but must be some proof that ancestors belonged to the community by birth, adoption, or other means</w:t>
      </w:r>
    </w:p>
    <w:p w14:paraId="38D395E0" w14:textId="77777777" w:rsidR="002D351C" w:rsidRPr="00FD0709" w:rsidRDefault="002D351C" w:rsidP="004F3CE7">
      <w:pPr>
        <w:pStyle w:val="ListParagraph"/>
        <w:numPr>
          <w:ilvl w:val="1"/>
          <w:numId w:val="23"/>
        </w:numPr>
        <w:rPr>
          <w:sz w:val="18"/>
          <w:szCs w:val="18"/>
        </w:rPr>
      </w:pPr>
      <w:r w:rsidRPr="002D351C">
        <w:rPr>
          <w:color w:val="C0504D" w:themeColor="accent2"/>
          <w:sz w:val="18"/>
          <w:szCs w:val="18"/>
        </w:rPr>
        <w:t>Community Acceptance</w:t>
      </w:r>
      <w:r w:rsidR="008B49C7">
        <w:rPr>
          <w:sz w:val="18"/>
          <w:szCs w:val="18"/>
        </w:rPr>
        <w:t xml:space="preserve"> – must demonstrate</w:t>
      </w:r>
      <w:r w:rsidRPr="00FD0709">
        <w:rPr>
          <w:sz w:val="18"/>
          <w:szCs w:val="18"/>
        </w:rPr>
        <w:t xml:space="preserve"> they are accepted by the modern community </w:t>
      </w:r>
    </w:p>
    <w:p w14:paraId="28299163" w14:textId="77777777" w:rsidR="002D351C" w:rsidRPr="00FD0709" w:rsidRDefault="002D351C" w:rsidP="004F3CE7">
      <w:pPr>
        <w:pStyle w:val="ListParagraph"/>
        <w:numPr>
          <w:ilvl w:val="1"/>
          <w:numId w:val="25"/>
        </w:numPr>
        <w:rPr>
          <w:sz w:val="18"/>
          <w:szCs w:val="18"/>
        </w:rPr>
      </w:pPr>
      <w:r w:rsidRPr="00FD0709">
        <w:rPr>
          <w:sz w:val="18"/>
          <w:szCs w:val="18"/>
        </w:rPr>
        <w:t>Core of this is past and ongoing participation in a shared culture, in the customs and traditions that constitute a Metis community’s identity and distinguish it from other groups</w:t>
      </w:r>
    </w:p>
    <w:p w14:paraId="5DBB42BA" w14:textId="77777777" w:rsidR="002D351C" w:rsidRPr="008B49C7" w:rsidRDefault="002D351C" w:rsidP="004F3CE7">
      <w:pPr>
        <w:pStyle w:val="ListParagraph"/>
        <w:numPr>
          <w:ilvl w:val="0"/>
          <w:numId w:val="23"/>
        </w:numPr>
        <w:rPr>
          <w:color w:val="C0504D" w:themeColor="accent2"/>
          <w:sz w:val="18"/>
          <w:szCs w:val="18"/>
        </w:rPr>
      </w:pPr>
      <w:r w:rsidRPr="008B49C7">
        <w:rPr>
          <w:i/>
          <w:color w:val="C0504D" w:themeColor="accent2"/>
          <w:sz w:val="18"/>
          <w:szCs w:val="18"/>
        </w:rPr>
        <w:t>Identification of the Relevant Time Frame</w:t>
      </w:r>
      <w:r w:rsidR="008B49C7" w:rsidRPr="008B49C7">
        <w:rPr>
          <w:color w:val="C0504D" w:themeColor="accent2"/>
          <w:sz w:val="18"/>
          <w:szCs w:val="18"/>
        </w:rPr>
        <w:t xml:space="preserve"> – (substitute this time period in part 4 of </w:t>
      </w:r>
      <w:r w:rsidR="008B49C7" w:rsidRPr="008B49C7">
        <w:rPr>
          <w:i/>
          <w:color w:val="C0504D" w:themeColor="accent2"/>
          <w:sz w:val="18"/>
          <w:szCs w:val="18"/>
        </w:rPr>
        <w:t xml:space="preserve">Van der </w:t>
      </w:r>
      <w:proofErr w:type="spellStart"/>
      <w:r w:rsidR="008B49C7" w:rsidRPr="008B49C7">
        <w:rPr>
          <w:i/>
          <w:color w:val="C0504D" w:themeColor="accent2"/>
          <w:sz w:val="18"/>
          <w:szCs w:val="18"/>
        </w:rPr>
        <w:t>Peet</w:t>
      </w:r>
      <w:proofErr w:type="spellEnd"/>
      <w:r w:rsidR="008B49C7" w:rsidRPr="008B49C7">
        <w:rPr>
          <w:color w:val="C0504D" w:themeColor="accent2"/>
          <w:sz w:val="18"/>
          <w:szCs w:val="18"/>
        </w:rPr>
        <w:t>)</w:t>
      </w:r>
    </w:p>
    <w:p w14:paraId="73FBC983" w14:textId="77777777" w:rsidR="002D351C" w:rsidRPr="00FD0709" w:rsidRDefault="002D351C" w:rsidP="004F3CE7">
      <w:pPr>
        <w:pStyle w:val="ListParagraph"/>
        <w:numPr>
          <w:ilvl w:val="0"/>
          <w:numId w:val="25"/>
        </w:numPr>
        <w:rPr>
          <w:sz w:val="18"/>
          <w:szCs w:val="18"/>
        </w:rPr>
      </w:pPr>
      <w:r w:rsidRPr="00FD0709">
        <w:rPr>
          <w:sz w:val="18"/>
          <w:szCs w:val="18"/>
        </w:rPr>
        <w:t>The time frame is “post contact, but pre-control”.  Identifies PCT’s that predate the imposition of European laws and customs on the Metis</w:t>
      </w:r>
    </w:p>
    <w:p w14:paraId="3563F523" w14:textId="77777777" w:rsidR="00276332" w:rsidRPr="00FD0709" w:rsidRDefault="00276332" w:rsidP="00160C60">
      <w:pPr>
        <w:rPr>
          <w:sz w:val="18"/>
          <w:szCs w:val="18"/>
        </w:rPr>
      </w:pPr>
    </w:p>
    <w:p w14:paraId="56C01056" w14:textId="77777777" w:rsidR="00276332" w:rsidRPr="00FD0709" w:rsidRDefault="002D351C" w:rsidP="00A33164">
      <w:pPr>
        <w:jc w:val="center"/>
        <w:rPr>
          <w:sz w:val="21"/>
          <w:szCs w:val="21"/>
        </w:rPr>
      </w:pPr>
      <w:r>
        <w:rPr>
          <w:b/>
          <w:sz w:val="21"/>
          <w:szCs w:val="21"/>
          <w:u w:val="single"/>
        </w:rPr>
        <w:t>2</w:t>
      </w:r>
      <w:r w:rsidR="00276332" w:rsidRPr="00FD0709">
        <w:rPr>
          <w:b/>
          <w:sz w:val="21"/>
          <w:szCs w:val="21"/>
          <w:u w:val="single"/>
        </w:rPr>
        <w:t xml:space="preserve">. Has the aboriginal right been extinguished? </w:t>
      </w:r>
      <w:r w:rsidR="00276332" w:rsidRPr="00FD0709">
        <w:rPr>
          <w:sz w:val="21"/>
          <w:szCs w:val="21"/>
        </w:rPr>
        <w:t xml:space="preserve"> (</w:t>
      </w:r>
      <w:proofErr w:type="gramStart"/>
      <w:r w:rsidR="00276332" w:rsidRPr="00FD0709">
        <w:rPr>
          <w:sz w:val="21"/>
          <w:szCs w:val="21"/>
        </w:rPr>
        <w:t>onus</w:t>
      </w:r>
      <w:proofErr w:type="gramEnd"/>
      <w:r w:rsidR="00276332" w:rsidRPr="00FD0709">
        <w:rPr>
          <w:sz w:val="21"/>
          <w:szCs w:val="21"/>
        </w:rPr>
        <w:t xml:space="preserve"> on the Crown, if it want’s to prove)</w:t>
      </w:r>
    </w:p>
    <w:p w14:paraId="213F9E2B" w14:textId="77777777" w:rsidR="00276332" w:rsidRPr="00FD0709" w:rsidRDefault="00276332" w:rsidP="00160C60">
      <w:pPr>
        <w:rPr>
          <w:sz w:val="18"/>
          <w:szCs w:val="18"/>
        </w:rPr>
      </w:pPr>
    </w:p>
    <w:p w14:paraId="20A392D1" w14:textId="77777777" w:rsidR="00276332" w:rsidRDefault="00FD0709" w:rsidP="00160C60">
      <w:pPr>
        <w:rPr>
          <w:sz w:val="18"/>
          <w:szCs w:val="18"/>
        </w:rPr>
      </w:pPr>
      <w:r>
        <w:rPr>
          <w:sz w:val="18"/>
          <w:szCs w:val="18"/>
        </w:rPr>
        <w:t>Two requirements for extinguishment (</w:t>
      </w:r>
      <w:r>
        <w:rPr>
          <w:i/>
          <w:sz w:val="18"/>
          <w:szCs w:val="18"/>
        </w:rPr>
        <w:t>Calder</w:t>
      </w:r>
      <w:r>
        <w:rPr>
          <w:sz w:val="18"/>
          <w:szCs w:val="18"/>
        </w:rPr>
        <w:t>):</w:t>
      </w:r>
    </w:p>
    <w:p w14:paraId="3E44226F" w14:textId="77777777" w:rsidR="00FD0709" w:rsidRDefault="00FD0709" w:rsidP="004F3CE7">
      <w:pPr>
        <w:pStyle w:val="ListParagraph"/>
        <w:numPr>
          <w:ilvl w:val="0"/>
          <w:numId w:val="33"/>
        </w:numPr>
        <w:rPr>
          <w:sz w:val="18"/>
          <w:szCs w:val="18"/>
        </w:rPr>
      </w:pPr>
      <w:r>
        <w:rPr>
          <w:sz w:val="18"/>
          <w:szCs w:val="18"/>
        </w:rPr>
        <w:t>You have authority to extinguish the title (usually obvious, dealing with Crown)</w:t>
      </w:r>
    </w:p>
    <w:p w14:paraId="56E9D33D" w14:textId="77777777" w:rsidR="00FD0709" w:rsidRDefault="00FD0709" w:rsidP="004F3CE7">
      <w:pPr>
        <w:pStyle w:val="ListParagraph"/>
        <w:numPr>
          <w:ilvl w:val="0"/>
          <w:numId w:val="33"/>
        </w:numPr>
        <w:rPr>
          <w:sz w:val="18"/>
          <w:szCs w:val="18"/>
        </w:rPr>
      </w:pPr>
      <w:r>
        <w:rPr>
          <w:sz w:val="18"/>
          <w:szCs w:val="18"/>
        </w:rPr>
        <w:t xml:space="preserve">There was </w:t>
      </w:r>
      <w:r w:rsidRPr="00FD0709">
        <w:rPr>
          <w:b/>
          <w:sz w:val="18"/>
          <w:szCs w:val="18"/>
        </w:rPr>
        <w:t>clear and plain intent</w:t>
      </w:r>
      <w:r>
        <w:rPr>
          <w:sz w:val="18"/>
          <w:szCs w:val="18"/>
        </w:rPr>
        <w:t xml:space="preserve"> to extinguish the title</w:t>
      </w:r>
    </w:p>
    <w:p w14:paraId="6359BFF9" w14:textId="77777777" w:rsidR="00FD0709" w:rsidRDefault="00FD0709" w:rsidP="004F3CE7">
      <w:pPr>
        <w:pStyle w:val="ListParagraph"/>
        <w:numPr>
          <w:ilvl w:val="1"/>
          <w:numId w:val="33"/>
        </w:numPr>
        <w:rPr>
          <w:sz w:val="18"/>
          <w:szCs w:val="18"/>
        </w:rPr>
      </w:pPr>
      <w:r>
        <w:rPr>
          <w:sz w:val="18"/>
          <w:szCs w:val="18"/>
        </w:rPr>
        <w:t>Mere regulation won’t meet that standard</w:t>
      </w:r>
      <w:r w:rsidR="002D351C">
        <w:rPr>
          <w:sz w:val="18"/>
          <w:szCs w:val="18"/>
        </w:rPr>
        <w:t xml:space="preserve"> (</w:t>
      </w:r>
      <w:r w:rsidR="002D351C">
        <w:rPr>
          <w:i/>
          <w:sz w:val="18"/>
          <w:szCs w:val="18"/>
        </w:rPr>
        <w:t>Gladstone</w:t>
      </w:r>
      <w:r w:rsidR="002D351C">
        <w:rPr>
          <w:sz w:val="18"/>
          <w:szCs w:val="18"/>
        </w:rPr>
        <w:t>), even if hey are inconsistent with aboriginal rights (</w:t>
      </w:r>
      <w:r w:rsidR="002D351C">
        <w:rPr>
          <w:i/>
          <w:sz w:val="18"/>
          <w:szCs w:val="18"/>
        </w:rPr>
        <w:t>Sappier/Gray</w:t>
      </w:r>
      <w:r w:rsidR="002D351C">
        <w:rPr>
          <w:sz w:val="18"/>
          <w:szCs w:val="18"/>
        </w:rPr>
        <w:t>)</w:t>
      </w:r>
    </w:p>
    <w:p w14:paraId="0526941E" w14:textId="77777777" w:rsidR="002D351C" w:rsidRPr="00FD0709" w:rsidRDefault="002D351C" w:rsidP="004F3CE7">
      <w:pPr>
        <w:pStyle w:val="ListParagraph"/>
        <w:numPr>
          <w:ilvl w:val="1"/>
          <w:numId w:val="33"/>
        </w:numPr>
        <w:rPr>
          <w:sz w:val="18"/>
          <w:szCs w:val="18"/>
        </w:rPr>
      </w:pPr>
      <w:r>
        <w:rPr>
          <w:sz w:val="18"/>
          <w:szCs w:val="18"/>
        </w:rPr>
        <w:t>A law of general application can’t meet that standard (</w:t>
      </w:r>
      <w:proofErr w:type="spellStart"/>
      <w:r>
        <w:rPr>
          <w:i/>
          <w:sz w:val="18"/>
          <w:szCs w:val="18"/>
        </w:rPr>
        <w:t>Delgamuukw</w:t>
      </w:r>
      <w:proofErr w:type="spellEnd"/>
      <w:r>
        <w:rPr>
          <w:sz w:val="18"/>
          <w:szCs w:val="18"/>
        </w:rPr>
        <w:t>)</w:t>
      </w:r>
    </w:p>
    <w:p w14:paraId="340D0283" w14:textId="77777777" w:rsidR="00276332" w:rsidRPr="00FD0709" w:rsidRDefault="00276332" w:rsidP="00160C60">
      <w:pPr>
        <w:rPr>
          <w:sz w:val="18"/>
          <w:szCs w:val="18"/>
        </w:rPr>
      </w:pPr>
    </w:p>
    <w:p w14:paraId="72263D98" w14:textId="77777777" w:rsidR="00276332" w:rsidRPr="00FD0709" w:rsidRDefault="002D351C" w:rsidP="00A33164">
      <w:pPr>
        <w:jc w:val="center"/>
        <w:rPr>
          <w:sz w:val="21"/>
          <w:szCs w:val="21"/>
        </w:rPr>
      </w:pPr>
      <w:r>
        <w:rPr>
          <w:b/>
          <w:sz w:val="21"/>
          <w:szCs w:val="21"/>
          <w:u w:val="single"/>
        </w:rPr>
        <w:t>3</w:t>
      </w:r>
      <w:r w:rsidR="00276332" w:rsidRPr="00FD0709">
        <w:rPr>
          <w:b/>
          <w:sz w:val="21"/>
          <w:szCs w:val="21"/>
          <w:u w:val="single"/>
        </w:rPr>
        <w:t>. Has this aboriginal right bee</w:t>
      </w:r>
      <w:r w:rsidR="00A33164" w:rsidRPr="00FD0709">
        <w:rPr>
          <w:b/>
          <w:sz w:val="21"/>
          <w:szCs w:val="21"/>
          <w:u w:val="single"/>
        </w:rPr>
        <w:t>n</w:t>
      </w:r>
      <w:r w:rsidR="00276332" w:rsidRPr="00FD0709">
        <w:rPr>
          <w:b/>
          <w:sz w:val="21"/>
          <w:szCs w:val="21"/>
          <w:u w:val="single"/>
        </w:rPr>
        <w:t xml:space="preserve"> infringed?</w:t>
      </w:r>
      <w:r w:rsidR="00276332" w:rsidRPr="00FD0709">
        <w:rPr>
          <w:sz w:val="21"/>
          <w:szCs w:val="21"/>
        </w:rPr>
        <w:t xml:space="preserve">  (</w:t>
      </w:r>
      <w:proofErr w:type="gramStart"/>
      <w:r w:rsidR="00276332" w:rsidRPr="00FD0709">
        <w:rPr>
          <w:sz w:val="21"/>
          <w:szCs w:val="21"/>
        </w:rPr>
        <w:t>onus</w:t>
      </w:r>
      <w:proofErr w:type="gramEnd"/>
      <w:r w:rsidR="00276332" w:rsidRPr="00FD0709">
        <w:rPr>
          <w:sz w:val="21"/>
          <w:szCs w:val="21"/>
        </w:rPr>
        <w:t xml:space="preserve"> on the aboriginal community to prove</w:t>
      </w:r>
      <w:r w:rsidR="00A33164" w:rsidRPr="00FD0709">
        <w:rPr>
          <w:sz w:val="21"/>
          <w:szCs w:val="21"/>
        </w:rPr>
        <w:t>)</w:t>
      </w:r>
    </w:p>
    <w:p w14:paraId="4015E089" w14:textId="77777777" w:rsidR="00A33164" w:rsidRPr="00FD0709" w:rsidRDefault="00A33164" w:rsidP="00160C60">
      <w:pPr>
        <w:rPr>
          <w:sz w:val="18"/>
          <w:szCs w:val="18"/>
        </w:rPr>
      </w:pPr>
    </w:p>
    <w:p w14:paraId="2253CC66" w14:textId="77777777" w:rsidR="00A33164" w:rsidRPr="008B49C7" w:rsidRDefault="00A33164" w:rsidP="008B49C7">
      <w:pPr>
        <w:rPr>
          <w:i/>
          <w:sz w:val="18"/>
          <w:szCs w:val="18"/>
        </w:rPr>
      </w:pPr>
      <w:r w:rsidRPr="008B49C7">
        <w:rPr>
          <w:sz w:val="18"/>
          <w:szCs w:val="18"/>
        </w:rPr>
        <w:t xml:space="preserve">Three questions are </w:t>
      </w:r>
      <w:proofErr w:type="gramStart"/>
      <w:r w:rsidRPr="008B49C7">
        <w:rPr>
          <w:sz w:val="18"/>
          <w:szCs w:val="18"/>
        </w:rPr>
        <w:t>asked,</w:t>
      </w:r>
      <w:proofErr w:type="gramEnd"/>
      <w:r w:rsidRPr="008B49C7">
        <w:rPr>
          <w:sz w:val="18"/>
          <w:szCs w:val="18"/>
        </w:rPr>
        <w:t xml:space="preserve"> an answer of YE</w:t>
      </w:r>
      <w:r w:rsidR="008B49C7">
        <w:rPr>
          <w:sz w:val="18"/>
          <w:szCs w:val="18"/>
        </w:rPr>
        <w:t xml:space="preserve">S to </w:t>
      </w:r>
      <w:r w:rsidR="008B49C7" w:rsidRPr="008B49C7">
        <w:rPr>
          <w:b/>
          <w:sz w:val="18"/>
          <w:szCs w:val="18"/>
        </w:rPr>
        <w:t>any one of these</w:t>
      </w:r>
      <w:r w:rsidR="008B49C7">
        <w:rPr>
          <w:sz w:val="18"/>
          <w:szCs w:val="18"/>
        </w:rPr>
        <w:t xml:space="preserve"> will be a prima facie</w:t>
      </w:r>
      <w:r w:rsidRPr="008B49C7">
        <w:rPr>
          <w:sz w:val="18"/>
          <w:szCs w:val="18"/>
        </w:rPr>
        <w:t xml:space="preserve"> infringement</w:t>
      </w:r>
      <w:r w:rsidR="008B49C7">
        <w:rPr>
          <w:sz w:val="18"/>
          <w:szCs w:val="18"/>
        </w:rPr>
        <w:t xml:space="preserve"> (</w:t>
      </w:r>
      <w:r w:rsidR="008B49C7">
        <w:rPr>
          <w:i/>
          <w:sz w:val="18"/>
          <w:szCs w:val="18"/>
        </w:rPr>
        <w:t>Sparrow</w:t>
      </w:r>
      <w:r w:rsidR="008B49C7">
        <w:rPr>
          <w:sz w:val="18"/>
          <w:szCs w:val="18"/>
        </w:rPr>
        <w:t>)</w:t>
      </w:r>
      <w:r w:rsidRPr="008B49C7">
        <w:rPr>
          <w:sz w:val="18"/>
          <w:szCs w:val="18"/>
        </w:rPr>
        <w:t>:</w:t>
      </w:r>
    </w:p>
    <w:p w14:paraId="03D53CBA" w14:textId="77777777" w:rsidR="00A33164" w:rsidRPr="008B49C7" w:rsidRDefault="00A33164" w:rsidP="004F3CE7">
      <w:pPr>
        <w:pStyle w:val="ListParagraph"/>
        <w:numPr>
          <w:ilvl w:val="0"/>
          <w:numId w:val="32"/>
        </w:numPr>
        <w:rPr>
          <w:color w:val="C0504D" w:themeColor="accent2"/>
          <w:sz w:val="18"/>
          <w:szCs w:val="18"/>
        </w:rPr>
      </w:pPr>
      <w:r w:rsidRPr="008B49C7">
        <w:rPr>
          <w:color w:val="C0504D" w:themeColor="accent2"/>
          <w:sz w:val="18"/>
          <w:szCs w:val="18"/>
        </w:rPr>
        <w:t xml:space="preserve">Is the limitation </w:t>
      </w:r>
      <w:r w:rsidRPr="008B49C7">
        <w:rPr>
          <w:b/>
          <w:color w:val="C0504D" w:themeColor="accent2"/>
          <w:sz w:val="18"/>
          <w:szCs w:val="18"/>
        </w:rPr>
        <w:t>unreasonable</w:t>
      </w:r>
      <w:r w:rsidRPr="008B49C7">
        <w:rPr>
          <w:color w:val="C0504D" w:themeColor="accent2"/>
          <w:sz w:val="18"/>
          <w:szCs w:val="18"/>
        </w:rPr>
        <w:t>?</w:t>
      </w:r>
    </w:p>
    <w:p w14:paraId="26874C9E" w14:textId="77777777" w:rsidR="00A33164" w:rsidRPr="008B49C7" w:rsidRDefault="00A33164" w:rsidP="004F3CE7">
      <w:pPr>
        <w:pStyle w:val="ListParagraph"/>
        <w:numPr>
          <w:ilvl w:val="0"/>
          <w:numId w:val="32"/>
        </w:numPr>
        <w:rPr>
          <w:color w:val="C0504D" w:themeColor="accent2"/>
          <w:sz w:val="18"/>
          <w:szCs w:val="18"/>
        </w:rPr>
      </w:pPr>
      <w:r w:rsidRPr="008B49C7">
        <w:rPr>
          <w:color w:val="C0504D" w:themeColor="accent2"/>
          <w:sz w:val="18"/>
          <w:szCs w:val="18"/>
        </w:rPr>
        <w:t xml:space="preserve">Does the regulation impose </w:t>
      </w:r>
      <w:r w:rsidRPr="008B49C7">
        <w:rPr>
          <w:b/>
          <w:color w:val="C0504D" w:themeColor="accent2"/>
          <w:sz w:val="18"/>
          <w:szCs w:val="18"/>
        </w:rPr>
        <w:t>undue hardship</w:t>
      </w:r>
      <w:r w:rsidRPr="008B49C7">
        <w:rPr>
          <w:color w:val="C0504D" w:themeColor="accent2"/>
          <w:sz w:val="18"/>
          <w:szCs w:val="18"/>
        </w:rPr>
        <w:t>?</w:t>
      </w:r>
    </w:p>
    <w:p w14:paraId="2F9300D9" w14:textId="77777777" w:rsidR="00A33164" w:rsidRPr="008B49C7" w:rsidRDefault="00A33164" w:rsidP="004F3CE7">
      <w:pPr>
        <w:pStyle w:val="ListParagraph"/>
        <w:numPr>
          <w:ilvl w:val="0"/>
          <w:numId w:val="32"/>
        </w:numPr>
        <w:rPr>
          <w:color w:val="C0504D" w:themeColor="accent2"/>
          <w:sz w:val="18"/>
          <w:szCs w:val="18"/>
        </w:rPr>
      </w:pPr>
      <w:r w:rsidRPr="008B49C7">
        <w:rPr>
          <w:color w:val="C0504D" w:themeColor="accent2"/>
          <w:sz w:val="18"/>
          <w:szCs w:val="18"/>
        </w:rPr>
        <w:t xml:space="preserve">Does the regulation </w:t>
      </w:r>
      <w:r w:rsidRPr="008B49C7">
        <w:rPr>
          <w:b/>
          <w:color w:val="C0504D" w:themeColor="accent2"/>
          <w:sz w:val="18"/>
          <w:szCs w:val="18"/>
        </w:rPr>
        <w:t>deny</w:t>
      </w:r>
      <w:r w:rsidRPr="008B49C7">
        <w:rPr>
          <w:color w:val="C0504D" w:themeColor="accent2"/>
          <w:sz w:val="18"/>
          <w:szCs w:val="18"/>
        </w:rPr>
        <w:t xml:space="preserve"> to the holders of the right their </w:t>
      </w:r>
      <w:r w:rsidRPr="008B49C7">
        <w:rPr>
          <w:b/>
          <w:color w:val="C0504D" w:themeColor="accent2"/>
          <w:sz w:val="18"/>
          <w:szCs w:val="18"/>
        </w:rPr>
        <w:t>preferred means of exercising that right</w:t>
      </w:r>
      <w:r w:rsidRPr="008B49C7">
        <w:rPr>
          <w:color w:val="C0504D" w:themeColor="accent2"/>
          <w:sz w:val="18"/>
          <w:szCs w:val="18"/>
        </w:rPr>
        <w:t>?</w:t>
      </w:r>
    </w:p>
    <w:p w14:paraId="35944832" w14:textId="77777777" w:rsidR="00A33164" w:rsidRPr="00FD0709" w:rsidRDefault="00A33164" w:rsidP="00160C60">
      <w:pPr>
        <w:rPr>
          <w:sz w:val="18"/>
          <w:szCs w:val="18"/>
        </w:rPr>
      </w:pPr>
    </w:p>
    <w:p w14:paraId="14A264F5" w14:textId="77777777" w:rsidR="00A33164" w:rsidRPr="00FD0709" w:rsidRDefault="002D351C" w:rsidP="00A33164">
      <w:pPr>
        <w:jc w:val="center"/>
        <w:rPr>
          <w:sz w:val="21"/>
          <w:szCs w:val="21"/>
        </w:rPr>
      </w:pPr>
      <w:r>
        <w:rPr>
          <w:b/>
          <w:sz w:val="21"/>
          <w:szCs w:val="21"/>
          <w:u w:val="single"/>
        </w:rPr>
        <w:t>4</w:t>
      </w:r>
      <w:r w:rsidR="00A33164" w:rsidRPr="00FD0709">
        <w:rPr>
          <w:b/>
          <w:sz w:val="21"/>
          <w:szCs w:val="21"/>
          <w:u w:val="single"/>
        </w:rPr>
        <w:t>. Can the infringement be justified?</w:t>
      </w:r>
      <w:r w:rsidR="00A33164" w:rsidRPr="00FD0709">
        <w:rPr>
          <w:sz w:val="21"/>
          <w:szCs w:val="21"/>
        </w:rPr>
        <w:t xml:space="preserve">  (</w:t>
      </w:r>
      <w:proofErr w:type="gramStart"/>
      <w:r w:rsidR="00A33164" w:rsidRPr="00FD0709">
        <w:rPr>
          <w:sz w:val="21"/>
          <w:szCs w:val="21"/>
        </w:rPr>
        <w:t>onus</w:t>
      </w:r>
      <w:proofErr w:type="gramEnd"/>
      <w:r w:rsidR="00A33164" w:rsidRPr="00FD0709">
        <w:rPr>
          <w:sz w:val="21"/>
          <w:szCs w:val="21"/>
        </w:rPr>
        <w:t xml:space="preserve"> on the Crown to prove)</w:t>
      </w:r>
    </w:p>
    <w:p w14:paraId="3507C6B9" w14:textId="77777777" w:rsidR="00A33164" w:rsidRPr="00FD0709" w:rsidRDefault="00A33164" w:rsidP="00160C60">
      <w:pPr>
        <w:rPr>
          <w:sz w:val="21"/>
          <w:szCs w:val="21"/>
        </w:rPr>
      </w:pPr>
    </w:p>
    <w:p w14:paraId="065F7822" w14:textId="77777777" w:rsidR="00A33164" w:rsidRPr="00FD0709" w:rsidRDefault="0084414D" w:rsidP="00160C60">
      <w:pPr>
        <w:rPr>
          <w:sz w:val="18"/>
          <w:szCs w:val="18"/>
        </w:rPr>
      </w:pPr>
      <w:r>
        <w:rPr>
          <w:sz w:val="18"/>
          <w:szCs w:val="18"/>
        </w:rPr>
        <w:t>Two stage analysis (</w:t>
      </w:r>
      <w:r>
        <w:rPr>
          <w:i/>
          <w:sz w:val="18"/>
          <w:szCs w:val="18"/>
        </w:rPr>
        <w:t>Sparrow</w:t>
      </w:r>
      <w:r>
        <w:rPr>
          <w:sz w:val="18"/>
          <w:szCs w:val="18"/>
        </w:rPr>
        <w:t>):</w:t>
      </w:r>
    </w:p>
    <w:p w14:paraId="17906A6C" w14:textId="77777777" w:rsidR="00A33164" w:rsidRPr="0084414D" w:rsidRDefault="00A33164" w:rsidP="004F3CE7">
      <w:pPr>
        <w:pStyle w:val="ListParagraph"/>
        <w:numPr>
          <w:ilvl w:val="0"/>
          <w:numId w:val="34"/>
        </w:numPr>
        <w:rPr>
          <w:sz w:val="18"/>
          <w:szCs w:val="18"/>
        </w:rPr>
      </w:pPr>
      <w:r w:rsidRPr="0084414D">
        <w:rPr>
          <w:sz w:val="18"/>
          <w:szCs w:val="18"/>
        </w:rPr>
        <w:t>Is there a valid legislative objective to the law that is infringing?</w:t>
      </w:r>
    </w:p>
    <w:p w14:paraId="1A4F824F" w14:textId="77777777" w:rsidR="00CF5B20" w:rsidRDefault="00A33164" w:rsidP="004F3CE7">
      <w:pPr>
        <w:pStyle w:val="ListParagraph"/>
        <w:numPr>
          <w:ilvl w:val="1"/>
          <w:numId w:val="34"/>
        </w:numPr>
        <w:rPr>
          <w:sz w:val="18"/>
          <w:szCs w:val="18"/>
        </w:rPr>
      </w:pPr>
      <w:r w:rsidRPr="0084414D">
        <w:rPr>
          <w:sz w:val="18"/>
          <w:szCs w:val="18"/>
        </w:rPr>
        <w:t>Must be a “pressing and substantial objective”</w:t>
      </w:r>
    </w:p>
    <w:p w14:paraId="7746D8B4" w14:textId="77777777" w:rsidR="00CF5B20" w:rsidRPr="0084414D" w:rsidRDefault="00CF5B20" w:rsidP="004F3CE7">
      <w:pPr>
        <w:pStyle w:val="ListParagraph"/>
        <w:numPr>
          <w:ilvl w:val="2"/>
          <w:numId w:val="34"/>
        </w:numPr>
        <w:rPr>
          <w:sz w:val="18"/>
          <w:szCs w:val="18"/>
        </w:rPr>
      </w:pPr>
      <w:r>
        <w:rPr>
          <w:sz w:val="18"/>
          <w:szCs w:val="18"/>
        </w:rPr>
        <w:t>Types of objectives that will be allowed are ones that “are in the interest of all Canadians, and, more importantly, where the reconciliation of aboriginal societies with the rest of Canadian society depends on their successful attainment” (</w:t>
      </w:r>
      <w:r>
        <w:rPr>
          <w:i/>
          <w:sz w:val="18"/>
          <w:szCs w:val="18"/>
        </w:rPr>
        <w:t>Gladstone</w:t>
      </w:r>
      <w:r>
        <w:rPr>
          <w:sz w:val="18"/>
          <w:szCs w:val="18"/>
        </w:rPr>
        <w:t>)</w:t>
      </w:r>
    </w:p>
    <w:p w14:paraId="73F46095" w14:textId="77777777" w:rsidR="00A33164" w:rsidRPr="0084414D" w:rsidRDefault="00A33164" w:rsidP="004F3CE7">
      <w:pPr>
        <w:pStyle w:val="ListParagraph"/>
        <w:numPr>
          <w:ilvl w:val="0"/>
          <w:numId w:val="34"/>
        </w:numPr>
        <w:rPr>
          <w:sz w:val="18"/>
          <w:szCs w:val="18"/>
        </w:rPr>
      </w:pPr>
      <w:r w:rsidRPr="0084414D">
        <w:rPr>
          <w:sz w:val="18"/>
          <w:szCs w:val="18"/>
        </w:rPr>
        <w:t xml:space="preserve">If a valid objective is found, is the infringing law’s means in keeping with the Crown’s duty to act </w:t>
      </w:r>
      <w:proofErr w:type="spellStart"/>
      <w:r w:rsidRPr="0084414D">
        <w:rPr>
          <w:sz w:val="18"/>
          <w:szCs w:val="18"/>
        </w:rPr>
        <w:t>honourably</w:t>
      </w:r>
      <w:proofErr w:type="spellEnd"/>
      <w:r w:rsidRPr="0084414D">
        <w:rPr>
          <w:sz w:val="18"/>
          <w:szCs w:val="18"/>
        </w:rPr>
        <w:t xml:space="preserve">? </w:t>
      </w:r>
      <w:r w:rsidR="0084414D">
        <w:rPr>
          <w:sz w:val="18"/>
          <w:szCs w:val="18"/>
        </w:rPr>
        <w:t xml:space="preserve"> Possible things to consider</w:t>
      </w:r>
      <w:r w:rsidRPr="0084414D">
        <w:rPr>
          <w:sz w:val="18"/>
          <w:szCs w:val="18"/>
        </w:rPr>
        <w:t>:</w:t>
      </w:r>
    </w:p>
    <w:p w14:paraId="012A2340" w14:textId="77777777" w:rsidR="00A33164" w:rsidRPr="0084414D" w:rsidRDefault="00A33164" w:rsidP="004F3CE7">
      <w:pPr>
        <w:pStyle w:val="ListParagraph"/>
        <w:numPr>
          <w:ilvl w:val="1"/>
          <w:numId w:val="34"/>
        </w:numPr>
        <w:rPr>
          <w:sz w:val="18"/>
          <w:szCs w:val="18"/>
        </w:rPr>
      </w:pPr>
      <w:r w:rsidRPr="0084414D">
        <w:rPr>
          <w:sz w:val="18"/>
          <w:szCs w:val="18"/>
        </w:rPr>
        <w:t>Was the infringement as minimal as possible?</w:t>
      </w:r>
    </w:p>
    <w:p w14:paraId="4897101D" w14:textId="77777777" w:rsidR="00A33164" w:rsidRDefault="00A33164" w:rsidP="004F3CE7">
      <w:pPr>
        <w:pStyle w:val="ListParagraph"/>
        <w:numPr>
          <w:ilvl w:val="1"/>
          <w:numId w:val="34"/>
        </w:numPr>
        <w:rPr>
          <w:sz w:val="18"/>
          <w:szCs w:val="18"/>
        </w:rPr>
      </w:pPr>
      <w:r w:rsidRPr="0084414D">
        <w:rPr>
          <w:sz w:val="18"/>
          <w:szCs w:val="18"/>
        </w:rPr>
        <w:t>Were their claims given priority over other groups?</w:t>
      </w:r>
      <w:r w:rsidR="00CF5B20">
        <w:rPr>
          <w:sz w:val="18"/>
          <w:szCs w:val="18"/>
        </w:rPr>
        <w:t xml:space="preserve">  Exclusivity of priority not always necessary (</w:t>
      </w:r>
      <w:r w:rsidR="00CF5B20">
        <w:rPr>
          <w:i/>
          <w:sz w:val="18"/>
          <w:szCs w:val="18"/>
        </w:rPr>
        <w:t>Gladstone</w:t>
      </w:r>
      <w:r w:rsidR="00CF5B20">
        <w:rPr>
          <w:sz w:val="18"/>
          <w:szCs w:val="18"/>
        </w:rPr>
        <w:t>):</w:t>
      </w:r>
    </w:p>
    <w:p w14:paraId="6651F569" w14:textId="77777777" w:rsidR="00CF5B20" w:rsidRDefault="00CF5B20" w:rsidP="004F3CE7">
      <w:pPr>
        <w:pStyle w:val="ListParagraph"/>
        <w:numPr>
          <w:ilvl w:val="2"/>
          <w:numId w:val="34"/>
        </w:numPr>
        <w:rPr>
          <w:sz w:val="18"/>
          <w:szCs w:val="18"/>
        </w:rPr>
      </w:pPr>
      <w:r>
        <w:rPr>
          <w:sz w:val="18"/>
          <w:szCs w:val="18"/>
        </w:rPr>
        <w:t xml:space="preserve">When a right has </w:t>
      </w:r>
      <w:r w:rsidRPr="00CF5B20">
        <w:rPr>
          <w:b/>
          <w:color w:val="C0504D" w:themeColor="accent2"/>
          <w:sz w:val="18"/>
          <w:szCs w:val="18"/>
        </w:rPr>
        <w:t>no adequate internal limitations</w:t>
      </w:r>
      <w:r w:rsidRPr="00CF5B20">
        <w:rPr>
          <w:color w:val="C0504D" w:themeColor="accent2"/>
          <w:sz w:val="18"/>
          <w:szCs w:val="18"/>
        </w:rPr>
        <w:t>, exclusivity of priority isn’t necessary</w:t>
      </w:r>
      <w:r>
        <w:rPr>
          <w:sz w:val="18"/>
          <w:szCs w:val="18"/>
        </w:rPr>
        <w:t xml:space="preserve">. Instead, </w:t>
      </w:r>
      <w:proofErr w:type="spellStart"/>
      <w:r>
        <w:rPr>
          <w:sz w:val="18"/>
          <w:szCs w:val="18"/>
        </w:rPr>
        <w:t>gov</w:t>
      </w:r>
      <w:proofErr w:type="spellEnd"/>
      <w:r>
        <w:rPr>
          <w:sz w:val="18"/>
          <w:szCs w:val="18"/>
        </w:rPr>
        <w:t xml:space="preserve"> required to demonstrate that, in allocating the resource, it’s taken account of the existence of aboriginal rights and allocated the resource in a manner respectful of the fact that those rights have priority over the exploitation of the fishery by other users</w:t>
      </w:r>
    </w:p>
    <w:p w14:paraId="7140B062" w14:textId="77777777" w:rsidR="00CF5B20" w:rsidRPr="0084414D" w:rsidRDefault="00CF5B20" w:rsidP="004F3CE7">
      <w:pPr>
        <w:pStyle w:val="ListParagraph"/>
        <w:numPr>
          <w:ilvl w:val="2"/>
          <w:numId w:val="34"/>
        </w:numPr>
        <w:rPr>
          <w:sz w:val="18"/>
          <w:szCs w:val="18"/>
        </w:rPr>
      </w:pPr>
      <w:r>
        <w:rPr>
          <w:sz w:val="18"/>
          <w:szCs w:val="18"/>
        </w:rPr>
        <w:t xml:space="preserve">Both procedural and substantive.  </w:t>
      </w:r>
      <w:proofErr w:type="spellStart"/>
      <w:r>
        <w:rPr>
          <w:sz w:val="18"/>
          <w:szCs w:val="18"/>
        </w:rPr>
        <w:t>Gov</w:t>
      </w:r>
      <w:proofErr w:type="spellEnd"/>
      <w:r>
        <w:rPr>
          <w:sz w:val="18"/>
          <w:szCs w:val="18"/>
        </w:rPr>
        <w:t xml:space="preserve"> must show </w:t>
      </w:r>
      <w:r w:rsidRPr="00CF5B20">
        <w:rPr>
          <w:color w:val="C0504D" w:themeColor="accent2"/>
          <w:sz w:val="18"/>
          <w:szCs w:val="18"/>
        </w:rPr>
        <w:t>(1) that the process by which it allocated the resource, and (2) the actual allocation of the resource which results from that process, both reflect the prior interest of aboriginal rights holders</w:t>
      </w:r>
    </w:p>
    <w:p w14:paraId="59BB8760" w14:textId="77777777" w:rsidR="00A33164" w:rsidRPr="0084414D" w:rsidRDefault="00A33164" w:rsidP="004F3CE7">
      <w:pPr>
        <w:pStyle w:val="ListParagraph"/>
        <w:numPr>
          <w:ilvl w:val="1"/>
          <w:numId w:val="34"/>
        </w:numPr>
        <w:rPr>
          <w:sz w:val="18"/>
          <w:szCs w:val="18"/>
        </w:rPr>
      </w:pPr>
      <w:r w:rsidRPr="0084414D">
        <w:rPr>
          <w:sz w:val="18"/>
          <w:szCs w:val="18"/>
        </w:rPr>
        <w:t>Was the effec</w:t>
      </w:r>
      <w:r w:rsidR="004E0DE3">
        <w:rPr>
          <w:sz w:val="18"/>
          <w:szCs w:val="18"/>
        </w:rPr>
        <w:t>ted aboriginal group consulted?</w:t>
      </w:r>
    </w:p>
    <w:p w14:paraId="0A455DBF" w14:textId="77777777" w:rsidR="00160C60" w:rsidRPr="0084414D" w:rsidRDefault="00A33164" w:rsidP="004F3CE7">
      <w:pPr>
        <w:pStyle w:val="ListParagraph"/>
        <w:numPr>
          <w:ilvl w:val="1"/>
          <w:numId w:val="34"/>
        </w:numPr>
        <w:rPr>
          <w:sz w:val="18"/>
          <w:szCs w:val="18"/>
        </w:rPr>
      </w:pPr>
      <w:r w:rsidRPr="0084414D">
        <w:rPr>
          <w:sz w:val="18"/>
          <w:szCs w:val="18"/>
        </w:rPr>
        <w:t>If there was expropriation, was their fair compensation?</w:t>
      </w:r>
    </w:p>
    <w:p w14:paraId="222A2322" w14:textId="77777777" w:rsidR="00AB787A" w:rsidRDefault="00AB787A" w:rsidP="00160C60">
      <w:pPr>
        <w:rPr>
          <w:sz w:val="18"/>
          <w:szCs w:val="18"/>
        </w:rPr>
      </w:pPr>
    </w:p>
    <w:p w14:paraId="39CAC414" w14:textId="5D1DDD16" w:rsidR="00AB787A" w:rsidRPr="009F0A11" w:rsidRDefault="004E0DE3" w:rsidP="00AB787A">
      <w:pPr>
        <w:rPr>
          <w:sz w:val="18"/>
          <w:szCs w:val="18"/>
        </w:rPr>
      </w:pPr>
      <w:r w:rsidRPr="009F0A11">
        <w:rPr>
          <w:b/>
          <w:sz w:val="18"/>
          <w:szCs w:val="18"/>
          <w:u w:val="single"/>
        </w:rPr>
        <w:t>Modification for</w:t>
      </w:r>
      <w:r w:rsidR="00895383">
        <w:rPr>
          <w:b/>
          <w:sz w:val="18"/>
          <w:szCs w:val="18"/>
          <w:u w:val="single"/>
        </w:rPr>
        <w:t xml:space="preserve"> Justification of</w:t>
      </w:r>
      <w:r w:rsidRPr="009F0A11">
        <w:rPr>
          <w:b/>
          <w:sz w:val="18"/>
          <w:szCs w:val="18"/>
          <w:u w:val="single"/>
        </w:rPr>
        <w:t xml:space="preserve"> Infringement of</w:t>
      </w:r>
      <w:r w:rsidR="00AB787A" w:rsidRPr="009F0A11">
        <w:rPr>
          <w:b/>
          <w:sz w:val="18"/>
          <w:szCs w:val="18"/>
          <w:u w:val="single"/>
        </w:rPr>
        <w:t xml:space="preserve"> Aboriginal Title</w:t>
      </w:r>
      <w:r w:rsidRPr="009F0A11">
        <w:rPr>
          <w:b/>
          <w:sz w:val="18"/>
          <w:szCs w:val="18"/>
          <w:u w:val="single"/>
        </w:rPr>
        <w:t xml:space="preserve"> </w:t>
      </w:r>
      <w:r w:rsidR="00895383">
        <w:rPr>
          <w:b/>
          <w:sz w:val="18"/>
          <w:szCs w:val="18"/>
          <w:u w:val="single"/>
        </w:rPr>
        <w:t>–</w:t>
      </w:r>
      <w:r w:rsidRPr="009F0A11">
        <w:rPr>
          <w:b/>
          <w:sz w:val="18"/>
          <w:szCs w:val="18"/>
          <w:u w:val="single"/>
        </w:rPr>
        <w:t xml:space="preserve"> </w:t>
      </w:r>
      <w:proofErr w:type="spellStart"/>
      <w:r w:rsidR="00895383">
        <w:rPr>
          <w:b/>
          <w:sz w:val="18"/>
          <w:szCs w:val="18"/>
          <w:u w:val="single"/>
        </w:rPr>
        <w:t>Tsilhqot’in</w:t>
      </w:r>
      <w:proofErr w:type="spellEnd"/>
      <w:r w:rsidR="00895383">
        <w:rPr>
          <w:b/>
          <w:sz w:val="18"/>
          <w:szCs w:val="18"/>
          <w:u w:val="single"/>
        </w:rPr>
        <w:t>/</w:t>
      </w:r>
      <w:proofErr w:type="spellStart"/>
      <w:r w:rsidR="00895383">
        <w:rPr>
          <w:b/>
          <w:sz w:val="18"/>
          <w:szCs w:val="18"/>
          <w:u w:val="single"/>
        </w:rPr>
        <w:t>Delgamuukw</w:t>
      </w:r>
      <w:proofErr w:type="spellEnd"/>
    </w:p>
    <w:p w14:paraId="32D10A7C" w14:textId="77777777" w:rsidR="00AB787A" w:rsidRPr="009F0A11" w:rsidRDefault="00AB787A" w:rsidP="00AB787A">
      <w:pPr>
        <w:rPr>
          <w:sz w:val="18"/>
          <w:szCs w:val="18"/>
        </w:rPr>
      </w:pPr>
      <w:r w:rsidRPr="009F0A11">
        <w:rPr>
          <w:sz w:val="18"/>
          <w:szCs w:val="18"/>
        </w:rPr>
        <w:t>To justify overriding the title holding group’s wishes on the basis of the broader public good, government must show:</w:t>
      </w:r>
    </w:p>
    <w:p w14:paraId="188BFB02" w14:textId="77777777" w:rsidR="00AB787A" w:rsidRPr="000F4831" w:rsidRDefault="00AB787A" w:rsidP="004F3CE7">
      <w:pPr>
        <w:pStyle w:val="ListParagraph"/>
        <w:numPr>
          <w:ilvl w:val="0"/>
          <w:numId w:val="20"/>
        </w:numPr>
        <w:rPr>
          <w:color w:val="C0504D" w:themeColor="accent2"/>
          <w:sz w:val="18"/>
          <w:szCs w:val="18"/>
        </w:rPr>
      </w:pPr>
      <w:r w:rsidRPr="000F4831">
        <w:rPr>
          <w:color w:val="C0504D" w:themeColor="accent2"/>
          <w:sz w:val="18"/>
          <w:szCs w:val="18"/>
        </w:rPr>
        <w:t>That it discharged its procedural duty to consult and accommodate</w:t>
      </w:r>
    </w:p>
    <w:p w14:paraId="4D294BE6" w14:textId="2D8E9B2A" w:rsidR="00AB787A" w:rsidRDefault="00AB787A" w:rsidP="004F3CE7">
      <w:pPr>
        <w:pStyle w:val="ListParagraph"/>
        <w:numPr>
          <w:ilvl w:val="0"/>
          <w:numId w:val="21"/>
        </w:numPr>
        <w:rPr>
          <w:sz w:val="18"/>
          <w:szCs w:val="18"/>
        </w:rPr>
      </w:pPr>
      <w:r w:rsidRPr="009F0A11">
        <w:rPr>
          <w:sz w:val="18"/>
          <w:szCs w:val="18"/>
        </w:rPr>
        <w:t>Degree of consultation required lies on a spectrum (</w:t>
      </w:r>
      <w:proofErr w:type="spellStart"/>
      <w:r w:rsidRPr="009F0A11">
        <w:rPr>
          <w:i/>
          <w:sz w:val="18"/>
          <w:szCs w:val="18"/>
        </w:rPr>
        <w:t>Haida</w:t>
      </w:r>
      <w:proofErr w:type="spellEnd"/>
      <w:r w:rsidR="00895383">
        <w:rPr>
          <w:sz w:val="18"/>
          <w:szCs w:val="18"/>
        </w:rPr>
        <w:t>).  Proportionate to strength of</w:t>
      </w:r>
      <w:r w:rsidRPr="009F0A11">
        <w:rPr>
          <w:sz w:val="18"/>
          <w:szCs w:val="18"/>
        </w:rPr>
        <w:t xml:space="preserve"> claim and the seriousness of the adverse impact</w:t>
      </w:r>
    </w:p>
    <w:p w14:paraId="67EB3A82" w14:textId="44F38ED4" w:rsidR="007F754B" w:rsidRPr="000F4831" w:rsidRDefault="007F754B" w:rsidP="004F3CE7">
      <w:pPr>
        <w:pStyle w:val="ListParagraph"/>
        <w:numPr>
          <w:ilvl w:val="0"/>
          <w:numId w:val="21"/>
        </w:numPr>
        <w:rPr>
          <w:sz w:val="18"/>
          <w:szCs w:val="18"/>
        </w:rPr>
      </w:pPr>
      <w:r w:rsidRPr="000F4831">
        <w:rPr>
          <w:sz w:val="18"/>
          <w:szCs w:val="18"/>
        </w:rPr>
        <w:t>Duty to consult arises when</w:t>
      </w:r>
      <w:r w:rsidR="000F4831">
        <w:rPr>
          <w:sz w:val="18"/>
          <w:szCs w:val="18"/>
        </w:rPr>
        <w:t xml:space="preserve"> (</w:t>
      </w:r>
      <w:r w:rsidR="000F4831">
        <w:rPr>
          <w:i/>
          <w:sz w:val="18"/>
          <w:szCs w:val="18"/>
        </w:rPr>
        <w:t>Rio Tinto</w:t>
      </w:r>
      <w:r w:rsidR="000F4831">
        <w:rPr>
          <w:sz w:val="18"/>
          <w:szCs w:val="18"/>
        </w:rPr>
        <w:t>)</w:t>
      </w:r>
      <w:r w:rsidRPr="000F4831">
        <w:rPr>
          <w:sz w:val="18"/>
          <w:szCs w:val="18"/>
        </w:rPr>
        <w:t>:</w:t>
      </w:r>
    </w:p>
    <w:p w14:paraId="46306F4F" w14:textId="77777777" w:rsidR="007F754B" w:rsidRPr="000F4831" w:rsidRDefault="007F754B" w:rsidP="004F3CE7">
      <w:pPr>
        <w:pStyle w:val="ListParagraph"/>
        <w:numPr>
          <w:ilvl w:val="1"/>
          <w:numId w:val="20"/>
        </w:numPr>
        <w:rPr>
          <w:color w:val="C0504D" w:themeColor="accent2"/>
          <w:sz w:val="18"/>
          <w:szCs w:val="18"/>
        </w:rPr>
      </w:pPr>
      <w:r w:rsidRPr="000F4831">
        <w:rPr>
          <w:color w:val="C0504D" w:themeColor="accent2"/>
          <w:sz w:val="18"/>
          <w:szCs w:val="18"/>
        </w:rPr>
        <w:t>The Crown has knowledge, real or constructive, of the potential existence of Aboriginal title or right</w:t>
      </w:r>
    </w:p>
    <w:p w14:paraId="4B2AFA9F" w14:textId="77777777" w:rsidR="007F754B" w:rsidRPr="000F4831" w:rsidRDefault="007F754B" w:rsidP="004F3CE7">
      <w:pPr>
        <w:pStyle w:val="ListParagraph"/>
        <w:numPr>
          <w:ilvl w:val="1"/>
          <w:numId w:val="20"/>
        </w:numPr>
        <w:rPr>
          <w:color w:val="C0504D" w:themeColor="accent2"/>
          <w:sz w:val="18"/>
          <w:szCs w:val="18"/>
        </w:rPr>
      </w:pPr>
      <w:r w:rsidRPr="000F4831">
        <w:rPr>
          <w:color w:val="C0504D" w:themeColor="accent2"/>
          <w:sz w:val="18"/>
          <w:szCs w:val="18"/>
        </w:rPr>
        <w:t>The Crown is contemplating conduct which engages the potential aboriginal right</w:t>
      </w:r>
    </w:p>
    <w:p w14:paraId="4ADD8632" w14:textId="77777777" w:rsidR="007F754B" w:rsidRPr="00FD0709" w:rsidRDefault="007F754B" w:rsidP="004F3CE7">
      <w:pPr>
        <w:pStyle w:val="ListParagraph"/>
        <w:numPr>
          <w:ilvl w:val="2"/>
          <w:numId w:val="20"/>
        </w:numPr>
        <w:rPr>
          <w:sz w:val="18"/>
          <w:szCs w:val="18"/>
        </w:rPr>
      </w:pPr>
      <w:r w:rsidRPr="00FD0709">
        <w:rPr>
          <w:sz w:val="18"/>
          <w:szCs w:val="18"/>
        </w:rPr>
        <w:t>This is any conduct which has the potential for adverse impact, including “strategic, higher level decisions”</w:t>
      </w:r>
    </w:p>
    <w:p w14:paraId="430CD52B" w14:textId="77777777" w:rsidR="007F754B" w:rsidRPr="000F4831" w:rsidRDefault="007F754B" w:rsidP="004F3CE7">
      <w:pPr>
        <w:pStyle w:val="ListParagraph"/>
        <w:numPr>
          <w:ilvl w:val="1"/>
          <w:numId w:val="20"/>
        </w:numPr>
        <w:rPr>
          <w:color w:val="C0504D" w:themeColor="accent2"/>
          <w:sz w:val="18"/>
          <w:szCs w:val="18"/>
        </w:rPr>
      </w:pPr>
      <w:r w:rsidRPr="000F4831">
        <w:rPr>
          <w:color w:val="C0504D" w:themeColor="accent2"/>
          <w:sz w:val="18"/>
          <w:szCs w:val="18"/>
        </w:rPr>
        <w:t>There is the potential that the contemplated conduct may adversely affect the aboriginal claim or right</w:t>
      </w:r>
    </w:p>
    <w:p w14:paraId="06723F18" w14:textId="430B0E3D" w:rsidR="007F754B" w:rsidRPr="000F4831" w:rsidRDefault="007F754B" w:rsidP="004F3CE7">
      <w:pPr>
        <w:pStyle w:val="ListParagraph"/>
        <w:numPr>
          <w:ilvl w:val="2"/>
          <w:numId w:val="20"/>
        </w:numPr>
        <w:rPr>
          <w:sz w:val="18"/>
          <w:szCs w:val="18"/>
        </w:rPr>
      </w:pPr>
      <w:r w:rsidRPr="00FD0709">
        <w:rPr>
          <w:sz w:val="18"/>
          <w:szCs w:val="18"/>
        </w:rPr>
        <w:t>P must show a causal relationship between the proposed conduct and potential adverse impacts</w:t>
      </w:r>
    </w:p>
    <w:p w14:paraId="44519E08" w14:textId="27D5CEBA" w:rsidR="00AB787A" w:rsidRPr="000F4831" w:rsidRDefault="00AB787A" w:rsidP="004F3CE7">
      <w:pPr>
        <w:pStyle w:val="ListParagraph"/>
        <w:numPr>
          <w:ilvl w:val="0"/>
          <w:numId w:val="20"/>
        </w:numPr>
        <w:rPr>
          <w:color w:val="C0504D" w:themeColor="accent2"/>
          <w:sz w:val="18"/>
          <w:szCs w:val="18"/>
        </w:rPr>
      </w:pPr>
      <w:r w:rsidRPr="000F4831">
        <w:rPr>
          <w:color w:val="C0504D" w:themeColor="accent2"/>
          <w:sz w:val="18"/>
          <w:szCs w:val="18"/>
        </w:rPr>
        <w:t>That its actions were backed by a compellin</w:t>
      </w:r>
      <w:r w:rsidR="00895383" w:rsidRPr="000F4831">
        <w:rPr>
          <w:color w:val="C0504D" w:themeColor="accent2"/>
          <w:sz w:val="18"/>
          <w:szCs w:val="18"/>
        </w:rPr>
        <w:t>g and substantial objective</w:t>
      </w:r>
    </w:p>
    <w:p w14:paraId="5C396A3D" w14:textId="77777777" w:rsidR="00895383" w:rsidRPr="009F0A11" w:rsidRDefault="00895383" w:rsidP="004F3CE7">
      <w:pPr>
        <w:pStyle w:val="ListParagraph"/>
        <w:numPr>
          <w:ilvl w:val="1"/>
          <w:numId w:val="35"/>
        </w:numPr>
        <w:rPr>
          <w:sz w:val="18"/>
          <w:szCs w:val="18"/>
        </w:rPr>
      </w:pPr>
      <w:r w:rsidRPr="009F0A11">
        <w:rPr>
          <w:sz w:val="18"/>
          <w:szCs w:val="18"/>
        </w:rPr>
        <w:t>These are objectives that are directed at either the recognition of the prior occupation of North America by aboriginal peoples or the reconciliation of aboriginal prior occupation with the assertion of the sovereignty of the Crown (</w:t>
      </w:r>
      <w:r w:rsidRPr="009F0A11">
        <w:rPr>
          <w:i/>
          <w:sz w:val="18"/>
          <w:szCs w:val="18"/>
        </w:rPr>
        <w:t>Gladstone</w:t>
      </w:r>
      <w:r w:rsidRPr="009F0A11">
        <w:rPr>
          <w:sz w:val="18"/>
          <w:szCs w:val="18"/>
        </w:rPr>
        <w:t>)</w:t>
      </w:r>
    </w:p>
    <w:p w14:paraId="7B9BECBB" w14:textId="63DB785A" w:rsidR="00895383" w:rsidRPr="00895383" w:rsidRDefault="00895383" w:rsidP="004F3CE7">
      <w:pPr>
        <w:pStyle w:val="ListParagraph"/>
        <w:numPr>
          <w:ilvl w:val="1"/>
          <w:numId w:val="35"/>
        </w:numPr>
        <w:rPr>
          <w:sz w:val="18"/>
          <w:szCs w:val="18"/>
        </w:rPr>
      </w:pPr>
      <w:r w:rsidRPr="009F0A11">
        <w:rPr>
          <w:sz w:val="18"/>
          <w:szCs w:val="18"/>
        </w:rPr>
        <w:t>Objectives that are of sufficient importance to the broader community as a whole are equally a necessary part of that reconciliation</w:t>
      </w:r>
    </w:p>
    <w:p w14:paraId="0A286CD4" w14:textId="665B64D3" w:rsidR="00AB787A" w:rsidRPr="000F4831" w:rsidRDefault="00AB787A" w:rsidP="004F3CE7">
      <w:pPr>
        <w:pStyle w:val="ListParagraph"/>
        <w:numPr>
          <w:ilvl w:val="0"/>
          <w:numId w:val="20"/>
        </w:numPr>
        <w:rPr>
          <w:color w:val="C0504D" w:themeColor="accent2"/>
          <w:sz w:val="18"/>
          <w:szCs w:val="18"/>
        </w:rPr>
      </w:pPr>
      <w:r w:rsidRPr="000F4831">
        <w:rPr>
          <w:color w:val="C0504D" w:themeColor="accent2"/>
          <w:sz w:val="18"/>
          <w:szCs w:val="18"/>
        </w:rPr>
        <w:t>That the action is consistent with the Crown’s fiduciary obligation to the group</w:t>
      </w:r>
      <w:r w:rsidR="00895383" w:rsidRPr="000F4831">
        <w:rPr>
          <w:color w:val="C0504D" w:themeColor="accent2"/>
          <w:sz w:val="18"/>
          <w:szCs w:val="18"/>
        </w:rPr>
        <w:t>:</w:t>
      </w:r>
    </w:p>
    <w:p w14:paraId="4BE3C546" w14:textId="77777777" w:rsidR="00AB787A" w:rsidRPr="009F0A11" w:rsidRDefault="00AB787A" w:rsidP="004F3CE7">
      <w:pPr>
        <w:pStyle w:val="ListParagraph"/>
        <w:numPr>
          <w:ilvl w:val="0"/>
          <w:numId w:val="22"/>
        </w:numPr>
        <w:rPr>
          <w:sz w:val="18"/>
          <w:szCs w:val="18"/>
        </w:rPr>
      </w:pPr>
      <w:r w:rsidRPr="009F0A11">
        <w:rPr>
          <w:sz w:val="18"/>
          <w:szCs w:val="18"/>
        </w:rPr>
        <w:t>Government must act in a way that respects that Aboriginal title is a group interest that inheres in present and future generations.  SO incursions on title can’t be justified if they would substantially deprive future generations of the benefit of the land</w:t>
      </w:r>
    </w:p>
    <w:p w14:paraId="7C13FA79" w14:textId="77777777" w:rsidR="00AB787A" w:rsidRPr="009F0A11" w:rsidRDefault="00AB787A" w:rsidP="004F3CE7">
      <w:pPr>
        <w:pStyle w:val="ListParagraph"/>
        <w:numPr>
          <w:ilvl w:val="0"/>
          <w:numId w:val="22"/>
        </w:numPr>
        <w:rPr>
          <w:sz w:val="18"/>
          <w:szCs w:val="18"/>
        </w:rPr>
      </w:pPr>
      <w:r w:rsidRPr="009F0A11">
        <w:rPr>
          <w:sz w:val="18"/>
          <w:szCs w:val="18"/>
        </w:rPr>
        <w:t>It also infuses an obligation of proportionality into the justification process. Rational connection, minimal impairment and proportionality are implicit in the fiduciary duty</w:t>
      </w:r>
    </w:p>
    <w:p w14:paraId="257CF150" w14:textId="77777777" w:rsidR="00AB787A" w:rsidRPr="00AB787A" w:rsidRDefault="00AB787A" w:rsidP="00160C60">
      <w:pPr>
        <w:rPr>
          <w:sz w:val="18"/>
          <w:szCs w:val="18"/>
        </w:rPr>
      </w:pPr>
    </w:p>
    <w:p w14:paraId="45425F8E" w14:textId="119CC9A0" w:rsidR="00AB787A" w:rsidRPr="000F4831" w:rsidRDefault="000F4831" w:rsidP="000F4831">
      <w:pPr>
        <w:jc w:val="center"/>
        <w:rPr>
          <w:b/>
          <w:sz w:val="21"/>
          <w:szCs w:val="21"/>
          <w:u w:val="single"/>
        </w:rPr>
      </w:pPr>
      <w:r w:rsidRPr="000F4831">
        <w:rPr>
          <w:b/>
          <w:sz w:val="21"/>
          <w:szCs w:val="21"/>
          <w:u w:val="single"/>
        </w:rPr>
        <w:t>Concepts</w:t>
      </w:r>
    </w:p>
    <w:p w14:paraId="62CD74DB" w14:textId="244CECE3" w:rsidR="000F4831" w:rsidRPr="000F4831" w:rsidRDefault="000F4831" w:rsidP="000F4831">
      <w:pPr>
        <w:rPr>
          <w:b/>
          <w:sz w:val="18"/>
          <w:szCs w:val="18"/>
          <w:u w:val="single"/>
        </w:rPr>
      </w:pPr>
      <w:r>
        <w:rPr>
          <w:b/>
          <w:sz w:val="18"/>
          <w:szCs w:val="18"/>
          <w:u w:val="single"/>
        </w:rPr>
        <w:t xml:space="preserve">The Content of Aboriginal Title (From </w:t>
      </w:r>
      <w:proofErr w:type="spellStart"/>
      <w:r>
        <w:rPr>
          <w:b/>
          <w:i/>
          <w:sz w:val="18"/>
          <w:szCs w:val="18"/>
          <w:u w:val="single"/>
        </w:rPr>
        <w:t>Delgamuukw</w:t>
      </w:r>
      <w:proofErr w:type="spellEnd"/>
      <w:r>
        <w:rPr>
          <w:b/>
          <w:sz w:val="18"/>
          <w:szCs w:val="18"/>
          <w:u w:val="single"/>
        </w:rPr>
        <w:t>)</w:t>
      </w:r>
    </w:p>
    <w:p w14:paraId="7F08DC5B" w14:textId="77777777" w:rsidR="000F4831" w:rsidRPr="00FD0709" w:rsidRDefault="000F4831" w:rsidP="000F4831">
      <w:pPr>
        <w:rPr>
          <w:sz w:val="18"/>
          <w:szCs w:val="18"/>
          <w:u w:val="single"/>
        </w:rPr>
      </w:pPr>
    </w:p>
    <w:p w14:paraId="11FA975B" w14:textId="77777777" w:rsidR="000F4831" w:rsidRPr="00FD0709" w:rsidRDefault="000F4831" w:rsidP="000F4831">
      <w:pPr>
        <w:rPr>
          <w:sz w:val="18"/>
          <w:szCs w:val="18"/>
        </w:rPr>
      </w:pPr>
      <w:r w:rsidRPr="00FD0709">
        <w:rPr>
          <w:sz w:val="18"/>
          <w:szCs w:val="18"/>
        </w:rPr>
        <w:t>The idea that aboriginal title is sui generis is the unifying principle underlying the various dimensions of that title:</w:t>
      </w:r>
    </w:p>
    <w:p w14:paraId="558D411E" w14:textId="77777777" w:rsidR="000F4831" w:rsidRPr="00FD0709" w:rsidRDefault="000F4831" w:rsidP="004F3CE7">
      <w:pPr>
        <w:pStyle w:val="ListParagraph"/>
        <w:numPr>
          <w:ilvl w:val="0"/>
          <w:numId w:val="15"/>
        </w:numPr>
        <w:rPr>
          <w:sz w:val="18"/>
          <w:szCs w:val="18"/>
        </w:rPr>
      </w:pPr>
      <w:r w:rsidRPr="00FD0709">
        <w:rPr>
          <w:i/>
          <w:sz w:val="18"/>
          <w:szCs w:val="18"/>
        </w:rPr>
        <w:t xml:space="preserve">Inalienability – </w:t>
      </w:r>
      <w:r w:rsidRPr="00FD0709">
        <w:rPr>
          <w:sz w:val="18"/>
          <w:szCs w:val="18"/>
        </w:rPr>
        <w:t>lands held pursuant to aboriginal title can’t be transferred, sold, or surrendered to anyone other than the Crown</w:t>
      </w:r>
    </w:p>
    <w:p w14:paraId="27080B8B" w14:textId="77777777" w:rsidR="000F4831" w:rsidRPr="00FD0709" w:rsidRDefault="000F4831" w:rsidP="004F3CE7">
      <w:pPr>
        <w:pStyle w:val="ListParagraph"/>
        <w:numPr>
          <w:ilvl w:val="0"/>
          <w:numId w:val="15"/>
        </w:numPr>
        <w:rPr>
          <w:sz w:val="18"/>
          <w:szCs w:val="18"/>
        </w:rPr>
      </w:pPr>
      <w:r w:rsidRPr="00FD0709">
        <w:rPr>
          <w:i/>
          <w:sz w:val="18"/>
          <w:szCs w:val="18"/>
        </w:rPr>
        <w:t>Source –</w:t>
      </w:r>
      <w:r w:rsidRPr="00FD0709">
        <w:rPr>
          <w:sz w:val="18"/>
          <w:szCs w:val="18"/>
        </w:rPr>
        <w:t xml:space="preserve"> it arises from prior occupation of Canada by aboriginal peoples (not sourced in RP, just recognized there)</w:t>
      </w:r>
    </w:p>
    <w:p w14:paraId="7AAF9FB2" w14:textId="77777777" w:rsidR="000F4831" w:rsidRPr="00FD0709" w:rsidRDefault="000F4831" w:rsidP="004F3CE7">
      <w:pPr>
        <w:pStyle w:val="ListParagraph"/>
        <w:numPr>
          <w:ilvl w:val="0"/>
          <w:numId w:val="15"/>
        </w:numPr>
        <w:rPr>
          <w:sz w:val="18"/>
          <w:szCs w:val="18"/>
        </w:rPr>
      </w:pPr>
      <w:r w:rsidRPr="00FD0709">
        <w:rPr>
          <w:i/>
          <w:sz w:val="18"/>
          <w:szCs w:val="18"/>
        </w:rPr>
        <w:t>Communally Held –</w:t>
      </w:r>
      <w:r w:rsidRPr="00FD0709">
        <w:rPr>
          <w:sz w:val="18"/>
          <w:szCs w:val="18"/>
        </w:rPr>
        <w:t xml:space="preserve"> </w:t>
      </w:r>
      <w:proofErr w:type="gramStart"/>
      <w:r w:rsidRPr="00FD0709">
        <w:rPr>
          <w:sz w:val="18"/>
          <w:szCs w:val="18"/>
        </w:rPr>
        <w:t>it can’t be held by individual aboriginal persons</w:t>
      </w:r>
      <w:proofErr w:type="gramEnd"/>
      <w:r w:rsidRPr="00FD0709">
        <w:rPr>
          <w:sz w:val="18"/>
          <w:szCs w:val="18"/>
        </w:rPr>
        <w:t>, it is a collective right to land held by all members of an aboriginal nation.  Decisions about that land are also made by that community</w:t>
      </w:r>
    </w:p>
    <w:p w14:paraId="3E8E6574" w14:textId="77777777" w:rsidR="000F4831" w:rsidRPr="00FD0709" w:rsidRDefault="000F4831" w:rsidP="000F4831">
      <w:pPr>
        <w:rPr>
          <w:sz w:val="18"/>
          <w:szCs w:val="18"/>
        </w:rPr>
      </w:pPr>
      <w:r w:rsidRPr="00FD0709">
        <w:rPr>
          <w:sz w:val="18"/>
          <w:szCs w:val="18"/>
        </w:rPr>
        <w:t>The content of aboriginal title can be summarized by two propositions:</w:t>
      </w:r>
    </w:p>
    <w:p w14:paraId="77D6DB4B" w14:textId="77777777" w:rsidR="000F4831" w:rsidRDefault="000F4831" w:rsidP="004F3CE7">
      <w:pPr>
        <w:pStyle w:val="ListParagraph"/>
        <w:numPr>
          <w:ilvl w:val="0"/>
          <w:numId w:val="13"/>
        </w:numPr>
        <w:ind w:left="720"/>
        <w:rPr>
          <w:sz w:val="18"/>
          <w:szCs w:val="18"/>
        </w:rPr>
      </w:pPr>
      <w:r w:rsidRPr="00FD0709">
        <w:rPr>
          <w:sz w:val="18"/>
          <w:szCs w:val="18"/>
        </w:rPr>
        <w:t>It encompasses the right to exclusive use and occupation of the land held pursuant to that title for a variety of purposes, which need not be aspects of those aboriginal PCT’s which are integral to distinctive aboriginal cultures</w:t>
      </w:r>
    </w:p>
    <w:p w14:paraId="08A7C961" w14:textId="77777777" w:rsidR="000F4831" w:rsidRDefault="000F4831" w:rsidP="004F3CE7">
      <w:pPr>
        <w:pStyle w:val="ListParagraph"/>
        <w:numPr>
          <w:ilvl w:val="1"/>
          <w:numId w:val="13"/>
        </w:numPr>
        <w:rPr>
          <w:sz w:val="18"/>
          <w:szCs w:val="18"/>
        </w:rPr>
      </w:pPr>
      <w:r>
        <w:rPr>
          <w:sz w:val="18"/>
          <w:szCs w:val="18"/>
        </w:rPr>
        <w:t>This means, the title holders have the right to the benefits associated with the land, to use it, enjoy it, and profit from it (</w:t>
      </w:r>
      <w:proofErr w:type="spellStart"/>
      <w:r>
        <w:rPr>
          <w:i/>
          <w:sz w:val="18"/>
          <w:szCs w:val="18"/>
        </w:rPr>
        <w:t>Tsilhqot’in</w:t>
      </w:r>
      <w:proofErr w:type="spellEnd"/>
      <w:r>
        <w:rPr>
          <w:sz w:val="18"/>
          <w:szCs w:val="18"/>
        </w:rPr>
        <w:t>)</w:t>
      </w:r>
    </w:p>
    <w:p w14:paraId="27E54EE7" w14:textId="77777777" w:rsidR="000F4831" w:rsidRPr="00FD0709" w:rsidRDefault="000F4831" w:rsidP="004F3CE7">
      <w:pPr>
        <w:pStyle w:val="ListParagraph"/>
        <w:numPr>
          <w:ilvl w:val="1"/>
          <w:numId w:val="13"/>
        </w:numPr>
        <w:rPr>
          <w:sz w:val="18"/>
          <w:szCs w:val="18"/>
        </w:rPr>
      </w:pPr>
      <w:r>
        <w:rPr>
          <w:sz w:val="18"/>
          <w:szCs w:val="18"/>
        </w:rPr>
        <w:t>2 things remain to the Crow: (1) fiduciary duty when dealing with aboriginal land, and (2) the right to encroach on aboriginal title if it can be justified in the broader public interest under s.35 (</w:t>
      </w:r>
      <w:proofErr w:type="spellStart"/>
      <w:r>
        <w:rPr>
          <w:i/>
          <w:sz w:val="18"/>
          <w:szCs w:val="18"/>
        </w:rPr>
        <w:t>Tsilhqot’in</w:t>
      </w:r>
      <w:proofErr w:type="spellEnd"/>
      <w:r>
        <w:rPr>
          <w:sz w:val="18"/>
          <w:szCs w:val="18"/>
        </w:rPr>
        <w:t>)</w:t>
      </w:r>
    </w:p>
    <w:p w14:paraId="2310C465" w14:textId="77777777" w:rsidR="000F4831" w:rsidRPr="00FD0709" w:rsidRDefault="000F4831" w:rsidP="004F3CE7">
      <w:pPr>
        <w:pStyle w:val="ListParagraph"/>
        <w:numPr>
          <w:ilvl w:val="0"/>
          <w:numId w:val="13"/>
        </w:numPr>
        <w:ind w:left="720"/>
        <w:rPr>
          <w:sz w:val="18"/>
          <w:szCs w:val="18"/>
        </w:rPr>
      </w:pPr>
      <w:r w:rsidRPr="00FD0709">
        <w:rPr>
          <w:sz w:val="18"/>
          <w:szCs w:val="18"/>
        </w:rPr>
        <w:t>Those protected uses must not be irreconcilable with the nature of the group’s attachment to that land</w:t>
      </w:r>
    </w:p>
    <w:p w14:paraId="554B0D50" w14:textId="77777777" w:rsidR="000F4831" w:rsidRPr="00FD0709" w:rsidRDefault="000F4831" w:rsidP="004F3CE7">
      <w:pPr>
        <w:pStyle w:val="ListParagraph"/>
        <w:numPr>
          <w:ilvl w:val="0"/>
          <w:numId w:val="14"/>
        </w:numPr>
        <w:rPr>
          <w:sz w:val="18"/>
          <w:szCs w:val="18"/>
        </w:rPr>
      </w:pPr>
      <w:proofErr w:type="spellStart"/>
      <w:r w:rsidRPr="00FD0709">
        <w:rPr>
          <w:sz w:val="18"/>
          <w:szCs w:val="18"/>
        </w:rPr>
        <w:t>Ie</w:t>
      </w:r>
      <w:proofErr w:type="spellEnd"/>
      <w:r w:rsidRPr="00FD0709">
        <w:rPr>
          <w:sz w:val="18"/>
          <w:szCs w:val="18"/>
        </w:rPr>
        <w:t>. Uses of land that would threaten the continuity of the relationship of an aboriginal community with its land in the future are excluded from the content of aboriginal title</w:t>
      </w:r>
    </w:p>
    <w:p w14:paraId="1E58AE18" w14:textId="77777777" w:rsidR="00160C60" w:rsidRDefault="00160C60" w:rsidP="00160C60">
      <w:pPr>
        <w:rPr>
          <w:sz w:val="18"/>
          <w:szCs w:val="18"/>
        </w:rPr>
      </w:pPr>
    </w:p>
    <w:p w14:paraId="2E999BF2" w14:textId="67A6ED50" w:rsidR="007225AE" w:rsidRDefault="007225AE" w:rsidP="00160C60">
      <w:pPr>
        <w:rPr>
          <w:sz w:val="18"/>
          <w:szCs w:val="18"/>
        </w:rPr>
      </w:pPr>
      <w:r>
        <w:rPr>
          <w:b/>
          <w:sz w:val="18"/>
          <w:szCs w:val="18"/>
          <w:u w:val="single"/>
        </w:rPr>
        <w:t>Fiduciary Duty</w:t>
      </w:r>
    </w:p>
    <w:p w14:paraId="09EAF7EC" w14:textId="77777777" w:rsidR="007225AE" w:rsidRDefault="007225AE" w:rsidP="00160C60">
      <w:pPr>
        <w:rPr>
          <w:sz w:val="18"/>
          <w:szCs w:val="18"/>
        </w:rPr>
      </w:pPr>
    </w:p>
    <w:p w14:paraId="1635D4C1" w14:textId="235BB21F" w:rsidR="007225AE" w:rsidRDefault="007225AE" w:rsidP="00160C60">
      <w:pPr>
        <w:rPr>
          <w:sz w:val="18"/>
          <w:szCs w:val="18"/>
        </w:rPr>
      </w:pPr>
      <w:r>
        <w:rPr>
          <w:sz w:val="18"/>
          <w:szCs w:val="18"/>
        </w:rPr>
        <w:t>Arises in 2 situations (</w:t>
      </w:r>
      <w:r>
        <w:rPr>
          <w:i/>
          <w:sz w:val="18"/>
          <w:szCs w:val="18"/>
        </w:rPr>
        <w:t>Manitoba Metis Federation</w:t>
      </w:r>
      <w:r>
        <w:rPr>
          <w:sz w:val="18"/>
          <w:szCs w:val="18"/>
        </w:rPr>
        <w:t>):</w:t>
      </w:r>
    </w:p>
    <w:p w14:paraId="2A2FB68C" w14:textId="20F2CC79" w:rsidR="007225AE" w:rsidRDefault="007225AE" w:rsidP="004F3CE7">
      <w:pPr>
        <w:pStyle w:val="ListParagraph"/>
        <w:numPr>
          <w:ilvl w:val="0"/>
          <w:numId w:val="37"/>
        </w:numPr>
        <w:rPr>
          <w:sz w:val="18"/>
          <w:szCs w:val="18"/>
        </w:rPr>
      </w:pPr>
      <w:r>
        <w:rPr>
          <w:sz w:val="18"/>
          <w:szCs w:val="18"/>
        </w:rPr>
        <w:t>Where the Crown administers land or property in which Aboriginal peoples have an interest (</w:t>
      </w:r>
      <w:r>
        <w:rPr>
          <w:i/>
          <w:sz w:val="18"/>
          <w:szCs w:val="18"/>
        </w:rPr>
        <w:t>Guerin</w:t>
      </w:r>
      <w:r>
        <w:rPr>
          <w:sz w:val="18"/>
          <w:szCs w:val="18"/>
        </w:rPr>
        <w:t>).  Requires:</w:t>
      </w:r>
    </w:p>
    <w:p w14:paraId="67CCD962" w14:textId="300F493D" w:rsidR="007225AE" w:rsidRDefault="007225AE" w:rsidP="004F3CE7">
      <w:pPr>
        <w:pStyle w:val="ListParagraph"/>
        <w:numPr>
          <w:ilvl w:val="1"/>
          <w:numId w:val="37"/>
        </w:numPr>
        <w:rPr>
          <w:sz w:val="18"/>
          <w:szCs w:val="18"/>
        </w:rPr>
      </w:pPr>
      <w:r>
        <w:rPr>
          <w:sz w:val="18"/>
          <w:szCs w:val="18"/>
        </w:rPr>
        <w:t>A specific or cognizable aboriginal interest</w:t>
      </w:r>
    </w:p>
    <w:p w14:paraId="55796FAB" w14:textId="41FCB015" w:rsidR="007225AE" w:rsidRDefault="007225AE" w:rsidP="004F3CE7">
      <w:pPr>
        <w:pStyle w:val="ListParagraph"/>
        <w:numPr>
          <w:ilvl w:val="1"/>
          <w:numId w:val="37"/>
        </w:numPr>
        <w:rPr>
          <w:sz w:val="18"/>
          <w:szCs w:val="18"/>
        </w:rPr>
      </w:pPr>
      <w:r>
        <w:rPr>
          <w:sz w:val="18"/>
          <w:szCs w:val="18"/>
        </w:rPr>
        <w:t>A Crown undertaking of discretionary control over that interest</w:t>
      </w:r>
    </w:p>
    <w:p w14:paraId="15FBF64A" w14:textId="4DB73905" w:rsidR="007225AE" w:rsidRPr="007225AE" w:rsidRDefault="007225AE" w:rsidP="004F3CE7">
      <w:pPr>
        <w:pStyle w:val="ListParagraph"/>
        <w:numPr>
          <w:ilvl w:val="0"/>
          <w:numId w:val="37"/>
        </w:numPr>
        <w:rPr>
          <w:sz w:val="18"/>
          <w:szCs w:val="18"/>
        </w:rPr>
      </w:pPr>
      <w:r>
        <w:rPr>
          <w:sz w:val="18"/>
          <w:szCs w:val="18"/>
        </w:rPr>
        <w:t>Where the Crown undertakes to act in the best interests of Aboriginals (or Metis)</w:t>
      </w:r>
    </w:p>
    <w:p w14:paraId="56006170" w14:textId="77777777" w:rsidR="007225AE" w:rsidRDefault="007225AE" w:rsidP="00160C60">
      <w:pPr>
        <w:rPr>
          <w:sz w:val="18"/>
          <w:szCs w:val="18"/>
        </w:rPr>
      </w:pPr>
    </w:p>
    <w:p w14:paraId="2F0F7E5F" w14:textId="2DD7832F" w:rsidR="000F4831" w:rsidRDefault="000F4831" w:rsidP="00160C60">
      <w:pPr>
        <w:rPr>
          <w:sz w:val="18"/>
          <w:szCs w:val="18"/>
        </w:rPr>
      </w:pPr>
      <w:r>
        <w:rPr>
          <w:b/>
          <w:sz w:val="18"/>
          <w:szCs w:val="18"/>
          <w:u w:val="single"/>
        </w:rPr>
        <w:t xml:space="preserve">The Honour of the Crown (From </w:t>
      </w:r>
      <w:r>
        <w:rPr>
          <w:b/>
          <w:i/>
          <w:sz w:val="18"/>
          <w:szCs w:val="18"/>
          <w:u w:val="single"/>
        </w:rPr>
        <w:t>Manitoba Metis Federation</w:t>
      </w:r>
      <w:r>
        <w:rPr>
          <w:b/>
          <w:sz w:val="18"/>
          <w:szCs w:val="18"/>
          <w:u w:val="single"/>
        </w:rPr>
        <w:t>)</w:t>
      </w:r>
    </w:p>
    <w:p w14:paraId="3FD06C67" w14:textId="77777777" w:rsidR="000F4831" w:rsidRPr="000F4831" w:rsidRDefault="000F4831" w:rsidP="00160C60">
      <w:pPr>
        <w:rPr>
          <w:sz w:val="18"/>
          <w:szCs w:val="18"/>
        </w:rPr>
      </w:pPr>
    </w:p>
    <w:p w14:paraId="35C51A17" w14:textId="0339678F" w:rsidR="000F4831" w:rsidRPr="000F4831" w:rsidRDefault="000F4831" w:rsidP="000F4831">
      <w:pPr>
        <w:rPr>
          <w:sz w:val="18"/>
          <w:szCs w:val="18"/>
        </w:rPr>
      </w:pPr>
      <w:r>
        <w:rPr>
          <w:sz w:val="18"/>
          <w:szCs w:val="18"/>
        </w:rPr>
        <w:t>Honour of the Crown</w:t>
      </w:r>
      <w:r w:rsidRPr="000F4831">
        <w:rPr>
          <w:sz w:val="18"/>
          <w:szCs w:val="18"/>
        </w:rPr>
        <w:t xml:space="preserve"> – the principle that servants of the Crown must conduct themselves with honour when acting on behalf of the sovereign</w:t>
      </w:r>
    </w:p>
    <w:p w14:paraId="6586B49A" w14:textId="77777777" w:rsidR="000F4831" w:rsidRPr="000F4831" w:rsidRDefault="000F4831" w:rsidP="004F3CE7">
      <w:pPr>
        <w:pStyle w:val="ListParagraph"/>
        <w:numPr>
          <w:ilvl w:val="0"/>
          <w:numId w:val="26"/>
        </w:numPr>
        <w:rPr>
          <w:sz w:val="18"/>
          <w:szCs w:val="18"/>
        </w:rPr>
      </w:pPr>
      <w:r w:rsidRPr="000F4831">
        <w:rPr>
          <w:sz w:val="18"/>
          <w:szCs w:val="18"/>
        </w:rPr>
        <w:t xml:space="preserve">Arises from Crown’s assertion of sovereignty over an Aboriginal </w:t>
      </w:r>
      <w:proofErr w:type="gramStart"/>
      <w:r w:rsidRPr="000F4831">
        <w:rPr>
          <w:sz w:val="18"/>
          <w:szCs w:val="18"/>
        </w:rPr>
        <w:t>people ,</w:t>
      </w:r>
      <w:proofErr w:type="gramEnd"/>
      <w:r w:rsidRPr="000F4831">
        <w:rPr>
          <w:sz w:val="18"/>
          <w:szCs w:val="18"/>
        </w:rPr>
        <w:t xml:space="preserve"> and characterizes the “special relationship” that arises out of subjecting Aboriginals to a legal system they didn’t share</w:t>
      </w:r>
    </w:p>
    <w:p w14:paraId="7BCB6663" w14:textId="09A1E489" w:rsidR="000F4831" w:rsidRPr="000F4831" w:rsidRDefault="00294197" w:rsidP="000F4831">
      <w:pPr>
        <w:rPr>
          <w:sz w:val="18"/>
          <w:szCs w:val="18"/>
        </w:rPr>
      </w:pPr>
      <w:r>
        <w:rPr>
          <w:sz w:val="18"/>
          <w:szCs w:val="18"/>
        </w:rPr>
        <w:t>G</w:t>
      </w:r>
      <w:r w:rsidR="000F4831" w:rsidRPr="000F4831">
        <w:rPr>
          <w:sz w:val="18"/>
          <w:szCs w:val="18"/>
        </w:rPr>
        <w:t>ives rise to different duties in different situations (</w:t>
      </w:r>
      <w:proofErr w:type="spellStart"/>
      <w:r w:rsidR="000F4831" w:rsidRPr="000F4831">
        <w:rPr>
          <w:i/>
          <w:sz w:val="18"/>
          <w:szCs w:val="18"/>
        </w:rPr>
        <w:t>Haida</w:t>
      </w:r>
      <w:proofErr w:type="spellEnd"/>
      <w:r w:rsidR="000F4831">
        <w:rPr>
          <w:sz w:val="18"/>
          <w:szCs w:val="18"/>
        </w:rPr>
        <w:t xml:space="preserve">). </w:t>
      </w:r>
      <w:r w:rsidR="000F4831" w:rsidRPr="000F4831">
        <w:rPr>
          <w:sz w:val="18"/>
          <w:szCs w:val="18"/>
        </w:rPr>
        <w:t>Not a cause of action itself, rather it speaks to how obligations that attract it must be fulfilled</w:t>
      </w:r>
    </w:p>
    <w:p w14:paraId="4523DA20" w14:textId="77777777" w:rsidR="000F4831" w:rsidRPr="00294197" w:rsidRDefault="000F4831" w:rsidP="00294197">
      <w:pPr>
        <w:rPr>
          <w:sz w:val="18"/>
          <w:szCs w:val="18"/>
        </w:rPr>
      </w:pPr>
      <w:r w:rsidRPr="00294197">
        <w:rPr>
          <w:sz w:val="18"/>
          <w:szCs w:val="18"/>
        </w:rPr>
        <w:t xml:space="preserve">4 situations (so far) in which </w:t>
      </w:r>
      <w:proofErr w:type="spellStart"/>
      <w:r w:rsidRPr="00294197">
        <w:rPr>
          <w:sz w:val="18"/>
          <w:szCs w:val="18"/>
        </w:rPr>
        <w:t>HoC</w:t>
      </w:r>
      <w:proofErr w:type="spellEnd"/>
      <w:r w:rsidRPr="00294197">
        <w:rPr>
          <w:sz w:val="18"/>
          <w:szCs w:val="18"/>
        </w:rPr>
        <w:t xml:space="preserve"> has been applied:</w:t>
      </w:r>
    </w:p>
    <w:p w14:paraId="0B73E8B3" w14:textId="77777777" w:rsidR="000F4831" w:rsidRPr="000F4831" w:rsidRDefault="000F4831" w:rsidP="004F3CE7">
      <w:pPr>
        <w:pStyle w:val="ListParagraph"/>
        <w:numPr>
          <w:ilvl w:val="0"/>
          <w:numId w:val="27"/>
        </w:numPr>
        <w:rPr>
          <w:sz w:val="18"/>
          <w:szCs w:val="18"/>
        </w:rPr>
      </w:pPr>
      <w:r w:rsidRPr="000F4831">
        <w:rPr>
          <w:sz w:val="18"/>
          <w:szCs w:val="18"/>
        </w:rPr>
        <w:t xml:space="preserve">Gives rise to a fiduciary duty when the Crown assumes </w:t>
      </w:r>
      <w:r w:rsidRPr="000F4831">
        <w:rPr>
          <w:b/>
          <w:sz w:val="18"/>
          <w:szCs w:val="18"/>
        </w:rPr>
        <w:t>discretionary control</w:t>
      </w:r>
      <w:r w:rsidRPr="000F4831">
        <w:rPr>
          <w:sz w:val="18"/>
          <w:szCs w:val="18"/>
        </w:rPr>
        <w:t xml:space="preserve"> over a specific Aboriginal interest</w:t>
      </w:r>
    </w:p>
    <w:p w14:paraId="78B2E427" w14:textId="77777777" w:rsidR="000F4831" w:rsidRPr="000F4831" w:rsidRDefault="000F4831" w:rsidP="004F3CE7">
      <w:pPr>
        <w:pStyle w:val="ListParagraph"/>
        <w:numPr>
          <w:ilvl w:val="0"/>
          <w:numId w:val="27"/>
        </w:numPr>
        <w:rPr>
          <w:sz w:val="18"/>
          <w:szCs w:val="18"/>
        </w:rPr>
      </w:pPr>
      <w:r w:rsidRPr="000F4831">
        <w:rPr>
          <w:sz w:val="18"/>
          <w:szCs w:val="18"/>
        </w:rPr>
        <w:t xml:space="preserve">Informs the </w:t>
      </w:r>
      <w:r w:rsidRPr="000F4831">
        <w:rPr>
          <w:b/>
          <w:sz w:val="18"/>
          <w:szCs w:val="18"/>
        </w:rPr>
        <w:t>purposive intention of s.35</w:t>
      </w:r>
      <w:r w:rsidRPr="000F4831">
        <w:rPr>
          <w:sz w:val="18"/>
          <w:szCs w:val="18"/>
        </w:rPr>
        <w:t xml:space="preserve">, and gives rise to a </w:t>
      </w:r>
      <w:r w:rsidRPr="000F4831">
        <w:rPr>
          <w:b/>
          <w:sz w:val="18"/>
          <w:szCs w:val="18"/>
        </w:rPr>
        <w:t>duty to consult</w:t>
      </w:r>
      <w:r w:rsidRPr="000F4831">
        <w:rPr>
          <w:sz w:val="18"/>
          <w:szCs w:val="18"/>
        </w:rPr>
        <w:t xml:space="preserve"> when the Crown contemplates an action that will affect a claimed but as of yet unproven Aboriginal interest (</w:t>
      </w:r>
      <w:proofErr w:type="spellStart"/>
      <w:r w:rsidRPr="000F4831">
        <w:rPr>
          <w:i/>
          <w:sz w:val="18"/>
          <w:szCs w:val="18"/>
        </w:rPr>
        <w:t>Haida</w:t>
      </w:r>
      <w:proofErr w:type="spellEnd"/>
      <w:r w:rsidRPr="000F4831">
        <w:rPr>
          <w:sz w:val="18"/>
          <w:szCs w:val="18"/>
        </w:rPr>
        <w:t>)</w:t>
      </w:r>
    </w:p>
    <w:p w14:paraId="01E7B72A" w14:textId="77777777" w:rsidR="000F4831" w:rsidRPr="000F4831" w:rsidRDefault="000F4831" w:rsidP="004F3CE7">
      <w:pPr>
        <w:pStyle w:val="ListParagraph"/>
        <w:numPr>
          <w:ilvl w:val="0"/>
          <w:numId w:val="27"/>
        </w:numPr>
        <w:rPr>
          <w:sz w:val="18"/>
          <w:szCs w:val="18"/>
        </w:rPr>
      </w:pPr>
      <w:r w:rsidRPr="000F4831">
        <w:rPr>
          <w:sz w:val="18"/>
          <w:szCs w:val="18"/>
        </w:rPr>
        <w:t xml:space="preserve">Governs </w:t>
      </w:r>
      <w:r w:rsidRPr="00294197">
        <w:rPr>
          <w:b/>
          <w:sz w:val="18"/>
          <w:szCs w:val="18"/>
        </w:rPr>
        <w:t>treaty-making and implementation</w:t>
      </w:r>
      <w:r w:rsidRPr="000F4831">
        <w:rPr>
          <w:sz w:val="18"/>
          <w:szCs w:val="18"/>
        </w:rPr>
        <w:t xml:space="preserve">, leading to requirements such as </w:t>
      </w:r>
      <w:proofErr w:type="spellStart"/>
      <w:r w:rsidRPr="000F4831">
        <w:rPr>
          <w:b/>
          <w:sz w:val="18"/>
          <w:szCs w:val="18"/>
        </w:rPr>
        <w:t>honourable</w:t>
      </w:r>
      <w:proofErr w:type="spellEnd"/>
      <w:r w:rsidRPr="000F4831">
        <w:rPr>
          <w:b/>
          <w:sz w:val="18"/>
          <w:szCs w:val="18"/>
        </w:rPr>
        <w:t xml:space="preserve"> negotiation</w:t>
      </w:r>
      <w:r w:rsidRPr="000F4831">
        <w:rPr>
          <w:sz w:val="18"/>
          <w:szCs w:val="18"/>
        </w:rPr>
        <w:t xml:space="preserve"> and the avoidance of the appearance of sharp dealing</w:t>
      </w:r>
    </w:p>
    <w:p w14:paraId="316A77A3" w14:textId="77777777" w:rsidR="000F4831" w:rsidRPr="000F4831" w:rsidRDefault="000F4831" w:rsidP="004F3CE7">
      <w:pPr>
        <w:pStyle w:val="ListParagraph"/>
        <w:numPr>
          <w:ilvl w:val="0"/>
          <w:numId w:val="27"/>
        </w:numPr>
        <w:rPr>
          <w:sz w:val="18"/>
          <w:szCs w:val="18"/>
        </w:rPr>
      </w:pPr>
      <w:r w:rsidRPr="000F4831">
        <w:rPr>
          <w:sz w:val="18"/>
          <w:szCs w:val="18"/>
        </w:rPr>
        <w:t xml:space="preserve">Requires the Crown to act in a way that accomplishes the intended purposes of treaty and statutory grants to Aboriginal peoples, </w:t>
      </w:r>
      <w:proofErr w:type="spellStart"/>
      <w:r w:rsidRPr="000F4831">
        <w:rPr>
          <w:sz w:val="18"/>
          <w:szCs w:val="18"/>
        </w:rPr>
        <w:t>ie</w:t>
      </w:r>
      <w:proofErr w:type="spellEnd"/>
      <w:r w:rsidRPr="000F4831">
        <w:rPr>
          <w:sz w:val="18"/>
          <w:szCs w:val="18"/>
        </w:rPr>
        <w:t xml:space="preserve">. </w:t>
      </w:r>
      <w:r w:rsidRPr="000F4831">
        <w:rPr>
          <w:b/>
          <w:sz w:val="18"/>
          <w:szCs w:val="18"/>
        </w:rPr>
        <w:t>Fulfill promises</w:t>
      </w:r>
      <w:r w:rsidRPr="000F4831">
        <w:rPr>
          <w:sz w:val="18"/>
          <w:szCs w:val="18"/>
        </w:rPr>
        <w:t xml:space="preserve"> (</w:t>
      </w:r>
      <w:proofErr w:type="spellStart"/>
      <w:r w:rsidRPr="000F4831">
        <w:rPr>
          <w:i/>
          <w:sz w:val="18"/>
          <w:szCs w:val="18"/>
        </w:rPr>
        <w:t>Mikisew</w:t>
      </w:r>
      <w:proofErr w:type="spellEnd"/>
      <w:r w:rsidRPr="000F4831">
        <w:rPr>
          <w:sz w:val="18"/>
          <w:szCs w:val="18"/>
        </w:rPr>
        <w:t>)</w:t>
      </w:r>
    </w:p>
    <w:p w14:paraId="5C7C7697" w14:textId="77777777" w:rsidR="000F4831" w:rsidRPr="00294197" w:rsidRDefault="000F4831" w:rsidP="00294197">
      <w:pPr>
        <w:rPr>
          <w:sz w:val="18"/>
          <w:szCs w:val="18"/>
        </w:rPr>
      </w:pPr>
      <w:r w:rsidRPr="00294197">
        <w:rPr>
          <w:sz w:val="18"/>
          <w:szCs w:val="18"/>
        </w:rPr>
        <w:t xml:space="preserve">When the issue is the implementation of a constitutional obligation to an aboriginal people, the </w:t>
      </w:r>
      <w:proofErr w:type="spellStart"/>
      <w:r w:rsidRPr="00294197">
        <w:rPr>
          <w:sz w:val="18"/>
          <w:szCs w:val="18"/>
        </w:rPr>
        <w:t>HoC</w:t>
      </w:r>
      <w:proofErr w:type="spellEnd"/>
      <w:r w:rsidRPr="00294197">
        <w:rPr>
          <w:sz w:val="18"/>
          <w:szCs w:val="18"/>
        </w:rPr>
        <w:t xml:space="preserve"> requires that the Crown (1) takes a broad and purposive approach to the interpretation of the promise; and (2) acts diligently to fulfill it</w:t>
      </w:r>
    </w:p>
    <w:p w14:paraId="39DB8C73" w14:textId="359DC9AC" w:rsidR="000F4831" w:rsidRPr="00294197" w:rsidRDefault="000F4831" w:rsidP="004F3CE7">
      <w:pPr>
        <w:pStyle w:val="ListParagraph"/>
        <w:numPr>
          <w:ilvl w:val="0"/>
          <w:numId w:val="28"/>
        </w:numPr>
        <w:rPr>
          <w:sz w:val="18"/>
          <w:szCs w:val="18"/>
        </w:rPr>
      </w:pPr>
      <w:r w:rsidRPr="000F4831">
        <w:rPr>
          <w:sz w:val="18"/>
          <w:szCs w:val="18"/>
        </w:rPr>
        <w:t xml:space="preserve">Implementing an obligation may be imperfect, and not necessarily bring dishonor to the Crown, but a persistent pattern of errors and indifference that substantially frustrates the purposes of a promise may betray the </w:t>
      </w:r>
      <w:proofErr w:type="spellStart"/>
      <w:r w:rsidRPr="000F4831">
        <w:rPr>
          <w:sz w:val="18"/>
          <w:szCs w:val="18"/>
        </w:rPr>
        <w:t>HoC</w:t>
      </w:r>
      <w:proofErr w:type="spellEnd"/>
    </w:p>
    <w:p w14:paraId="006FD0DA" w14:textId="77777777" w:rsidR="000F4831" w:rsidRDefault="000F4831" w:rsidP="00160C60">
      <w:pPr>
        <w:rPr>
          <w:sz w:val="18"/>
          <w:szCs w:val="18"/>
        </w:rPr>
      </w:pPr>
    </w:p>
    <w:p w14:paraId="1FB44F58" w14:textId="054E7C9E" w:rsidR="000F4831" w:rsidRPr="00FD0709" w:rsidRDefault="000F4831" w:rsidP="000F4831">
      <w:pPr>
        <w:rPr>
          <w:sz w:val="18"/>
          <w:szCs w:val="18"/>
        </w:rPr>
      </w:pPr>
      <w:r>
        <w:rPr>
          <w:b/>
          <w:sz w:val="18"/>
          <w:szCs w:val="18"/>
          <w:u w:val="single"/>
        </w:rPr>
        <w:t>T</w:t>
      </w:r>
      <w:r w:rsidRPr="00FD0709">
        <w:rPr>
          <w:b/>
          <w:sz w:val="18"/>
          <w:szCs w:val="18"/>
          <w:u w:val="single"/>
        </w:rPr>
        <w:t>he Duty to Consult</w:t>
      </w:r>
    </w:p>
    <w:p w14:paraId="6354B3D1" w14:textId="77777777" w:rsidR="000F4831" w:rsidRPr="00FD0709" w:rsidRDefault="000F4831" w:rsidP="000F4831">
      <w:pPr>
        <w:rPr>
          <w:sz w:val="18"/>
          <w:szCs w:val="18"/>
        </w:rPr>
      </w:pPr>
    </w:p>
    <w:p w14:paraId="1B30FB86" w14:textId="0CFA4AB6" w:rsidR="000F4831" w:rsidRPr="00294197" w:rsidRDefault="000F4831" w:rsidP="00294197">
      <w:pPr>
        <w:rPr>
          <w:sz w:val="18"/>
          <w:szCs w:val="18"/>
        </w:rPr>
      </w:pPr>
      <w:r w:rsidRPr="00FD0709">
        <w:rPr>
          <w:sz w:val="18"/>
          <w:szCs w:val="18"/>
        </w:rPr>
        <w:t xml:space="preserve">The duty to consult is grounded in the </w:t>
      </w:r>
      <w:proofErr w:type="spellStart"/>
      <w:r w:rsidRPr="00FD0709">
        <w:rPr>
          <w:sz w:val="18"/>
          <w:szCs w:val="18"/>
        </w:rPr>
        <w:t>HoC</w:t>
      </w:r>
      <w:proofErr w:type="spellEnd"/>
      <w:r w:rsidRPr="00FD0709">
        <w:rPr>
          <w:sz w:val="18"/>
          <w:szCs w:val="18"/>
        </w:rPr>
        <w:t xml:space="preserve">.  In all its dealings with Aboriginals, the Crown must act </w:t>
      </w:r>
      <w:proofErr w:type="spellStart"/>
      <w:r w:rsidRPr="00FD0709">
        <w:rPr>
          <w:sz w:val="18"/>
          <w:szCs w:val="18"/>
        </w:rPr>
        <w:t>honourably</w:t>
      </w:r>
      <w:proofErr w:type="spellEnd"/>
      <w:r w:rsidRPr="00FD0709">
        <w:rPr>
          <w:sz w:val="18"/>
          <w:szCs w:val="18"/>
        </w:rPr>
        <w:t>.</w:t>
      </w:r>
    </w:p>
    <w:p w14:paraId="412E0B50" w14:textId="1211E631" w:rsidR="000F4831" w:rsidRDefault="000F4831" w:rsidP="004F3CE7">
      <w:pPr>
        <w:pStyle w:val="ListParagraph"/>
        <w:numPr>
          <w:ilvl w:val="0"/>
          <w:numId w:val="30"/>
        </w:numPr>
        <w:rPr>
          <w:sz w:val="18"/>
          <w:szCs w:val="18"/>
        </w:rPr>
      </w:pPr>
      <w:r w:rsidRPr="00FD0709">
        <w:rPr>
          <w:sz w:val="18"/>
          <w:szCs w:val="18"/>
        </w:rPr>
        <w:t xml:space="preserve">Para 25: “Canada’s Aboriginal peoples were here when Europeans came, and were never conquered.  Many bands reconciled their claims with the sovereignty of the Crown through negotiated treaties.  Others…have yet to do so.  The potential rights embedded in these claims are protected by s.35 of the Constitution.  The honour of the Crown requires that these rights be determined, recognized and respected.  This, in turn, requires the Crown, acting </w:t>
      </w:r>
      <w:proofErr w:type="spellStart"/>
      <w:r w:rsidRPr="00FD0709">
        <w:rPr>
          <w:sz w:val="18"/>
          <w:szCs w:val="18"/>
        </w:rPr>
        <w:t>honourably</w:t>
      </w:r>
      <w:proofErr w:type="spellEnd"/>
      <w:r w:rsidRPr="00FD0709">
        <w:rPr>
          <w:sz w:val="18"/>
          <w:szCs w:val="18"/>
        </w:rPr>
        <w:t>, to participate in proce</w:t>
      </w:r>
      <w:r w:rsidR="00294197">
        <w:rPr>
          <w:sz w:val="18"/>
          <w:szCs w:val="18"/>
        </w:rPr>
        <w:t>sses of negotiation.  While this</w:t>
      </w:r>
      <w:r w:rsidRPr="00FD0709">
        <w:rPr>
          <w:sz w:val="18"/>
          <w:szCs w:val="18"/>
        </w:rPr>
        <w:t xml:space="preserve"> process continues, the honour of the Crown may require it to consult and, where indicated, accommodate Aboriginal interests”</w:t>
      </w:r>
      <w:r w:rsidR="00294197">
        <w:rPr>
          <w:sz w:val="18"/>
          <w:szCs w:val="18"/>
        </w:rPr>
        <w:t xml:space="preserve"> (</w:t>
      </w:r>
      <w:proofErr w:type="spellStart"/>
      <w:r w:rsidR="00294197">
        <w:rPr>
          <w:i/>
          <w:sz w:val="18"/>
          <w:szCs w:val="18"/>
        </w:rPr>
        <w:t>Haida</w:t>
      </w:r>
      <w:proofErr w:type="spellEnd"/>
      <w:r w:rsidR="00294197">
        <w:rPr>
          <w:sz w:val="18"/>
          <w:szCs w:val="18"/>
        </w:rPr>
        <w:t>)</w:t>
      </w:r>
    </w:p>
    <w:p w14:paraId="03847D18" w14:textId="78896EFA" w:rsidR="00294197" w:rsidRDefault="00294197" w:rsidP="00294197">
      <w:pPr>
        <w:rPr>
          <w:sz w:val="18"/>
          <w:szCs w:val="18"/>
        </w:rPr>
      </w:pPr>
      <w:r>
        <w:rPr>
          <w:sz w:val="18"/>
          <w:szCs w:val="18"/>
        </w:rPr>
        <w:t xml:space="preserve">The controlling question is: What is required to maintain the </w:t>
      </w:r>
      <w:proofErr w:type="spellStart"/>
      <w:r>
        <w:rPr>
          <w:sz w:val="18"/>
          <w:szCs w:val="18"/>
        </w:rPr>
        <w:t>HoC</w:t>
      </w:r>
      <w:proofErr w:type="spellEnd"/>
      <w:r>
        <w:rPr>
          <w:sz w:val="18"/>
          <w:szCs w:val="18"/>
        </w:rPr>
        <w:t xml:space="preserve"> and to effect reconciliation between the Crown and the aboriginal peoples with respect to the interests at stake?</w:t>
      </w:r>
    </w:p>
    <w:p w14:paraId="3A98CB49" w14:textId="4F208BA2" w:rsidR="007225AE" w:rsidRPr="00294197" w:rsidRDefault="007225AE" w:rsidP="00294197">
      <w:pPr>
        <w:rPr>
          <w:sz w:val="18"/>
          <w:szCs w:val="18"/>
        </w:rPr>
      </w:pPr>
      <w:r>
        <w:rPr>
          <w:sz w:val="18"/>
          <w:szCs w:val="18"/>
        </w:rPr>
        <w:t>Duty to consult is only for government – doesn’t extend to third parties.</w:t>
      </w:r>
    </w:p>
    <w:p w14:paraId="37DE3614" w14:textId="77777777" w:rsidR="000F4831" w:rsidRPr="00FD0709" w:rsidRDefault="000F4831" w:rsidP="00160C60">
      <w:pPr>
        <w:rPr>
          <w:sz w:val="18"/>
          <w:szCs w:val="18"/>
        </w:rPr>
      </w:pPr>
    </w:p>
    <w:p w14:paraId="4B1B8A96" w14:textId="77777777" w:rsidR="00160C60" w:rsidRPr="00FD0709" w:rsidRDefault="00160C60" w:rsidP="00160C60">
      <w:pPr>
        <w:rPr>
          <w:sz w:val="18"/>
          <w:szCs w:val="18"/>
        </w:rPr>
      </w:pPr>
      <w:r w:rsidRPr="00FD0709">
        <w:rPr>
          <w:b/>
          <w:sz w:val="18"/>
          <w:szCs w:val="18"/>
          <w:u w:val="single"/>
        </w:rPr>
        <w:t>Evidence (</w:t>
      </w:r>
      <w:r w:rsidRPr="00FD0709">
        <w:rPr>
          <w:b/>
          <w:i/>
          <w:sz w:val="18"/>
          <w:szCs w:val="18"/>
          <w:u w:val="single"/>
        </w:rPr>
        <w:t>Mitchell v. MNR</w:t>
      </w:r>
      <w:r w:rsidRPr="00FD0709">
        <w:rPr>
          <w:b/>
          <w:sz w:val="18"/>
          <w:szCs w:val="18"/>
          <w:u w:val="single"/>
        </w:rPr>
        <w:t>)</w:t>
      </w:r>
    </w:p>
    <w:p w14:paraId="7AA07B59" w14:textId="77777777" w:rsidR="00160C60" w:rsidRPr="00FD0709" w:rsidRDefault="00160C60" w:rsidP="00160C60">
      <w:pPr>
        <w:rPr>
          <w:sz w:val="18"/>
          <w:szCs w:val="18"/>
        </w:rPr>
      </w:pPr>
    </w:p>
    <w:p w14:paraId="79A903E2" w14:textId="77777777" w:rsidR="00160C60" w:rsidRPr="00294197" w:rsidRDefault="00160C60" w:rsidP="00294197">
      <w:pPr>
        <w:rPr>
          <w:sz w:val="18"/>
          <w:szCs w:val="18"/>
        </w:rPr>
      </w:pPr>
      <w:r w:rsidRPr="00294197">
        <w:rPr>
          <w:b/>
          <w:sz w:val="18"/>
          <w:szCs w:val="18"/>
        </w:rPr>
        <w:t>Admissibility of Evidence:</w:t>
      </w:r>
      <w:r w:rsidRPr="00294197">
        <w:rPr>
          <w:sz w:val="18"/>
          <w:szCs w:val="18"/>
        </w:rPr>
        <w:t xml:space="preserve"> traditional rules of evidence should be treated flexibly in aboriginal claims. 3 rules underlie the admissibility of evidence:</w:t>
      </w:r>
    </w:p>
    <w:p w14:paraId="6406ED5C" w14:textId="77777777" w:rsidR="00160C60" w:rsidRPr="00FD0709" w:rsidRDefault="00160C60" w:rsidP="004F3CE7">
      <w:pPr>
        <w:pStyle w:val="ListParagraph"/>
        <w:numPr>
          <w:ilvl w:val="0"/>
          <w:numId w:val="10"/>
        </w:numPr>
        <w:rPr>
          <w:sz w:val="18"/>
          <w:szCs w:val="18"/>
        </w:rPr>
      </w:pPr>
      <w:r w:rsidRPr="00FD0709">
        <w:rPr>
          <w:sz w:val="18"/>
          <w:szCs w:val="18"/>
        </w:rPr>
        <w:t>The evidence must be useful in the sense of tending to prove a fact relevant to the issues in the case</w:t>
      </w:r>
    </w:p>
    <w:p w14:paraId="78CCD0CA" w14:textId="77777777" w:rsidR="00160C60" w:rsidRPr="00FD0709" w:rsidRDefault="00160C60" w:rsidP="004F3CE7">
      <w:pPr>
        <w:pStyle w:val="ListParagraph"/>
        <w:numPr>
          <w:ilvl w:val="0"/>
          <w:numId w:val="10"/>
        </w:numPr>
        <w:rPr>
          <w:sz w:val="18"/>
          <w:szCs w:val="18"/>
        </w:rPr>
      </w:pPr>
      <w:r w:rsidRPr="00FD0709">
        <w:rPr>
          <w:sz w:val="18"/>
          <w:szCs w:val="18"/>
        </w:rPr>
        <w:t>The evidence must be reasonably reliable; unreliable evidence may hinder the search for the truth more than help it</w:t>
      </w:r>
    </w:p>
    <w:p w14:paraId="6472C493" w14:textId="77777777" w:rsidR="00160C60" w:rsidRPr="00FD0709" w:rsidRDefault="00160C60" w:rsidP="004F3CE7">
      <w:pPr>
        <w:pStyle w:val="ListParagraph"/>
        <w:numPr>
          <w:ilvl w:val="0"/>
          <w:numId w:val="10"/>
        </w:numPr>
        <w:rPr>
          <w:sz w:val="18"/>
          <w:szCs w:val="18"/>
        </w:rPr>
      </w:pPr>
      <w:r w:rsidRPr="00FD0709">
        <w:rPr>
          <w:sz w:val="18"/>
          <w:szCs w:val="18"/>
        </w:rPr>
        <w:t>Even useful and reasonably reliable evidence may be excluded in the discretion of the trial judge if its probative value is overshadowed by its potential for prejudice</w:t>
      </w:r>
    </w:p>
    <w:p w14:paraId="21EC2A86" w14:textId="77777777" w:rsidR="00160C60" w:rsidRPr="00294197" w:rsidRDefault="00160C60" w:rsidP="00294197">
      <w:pPr>
        <w:rPr>
          <w:sz w:val="18"/>
          <w:szCs w:val="18"/>
        </w:rPr>
      </w:pPr>
      <w:r w:rsidRPr="00294197">
        <w:rPr>
          <w:sz w:val="18"/>
          <w:szCs w:val="18"/>
        </w:rPr>
        <w:t>Oral histories may be admitted for two reasons:</w:t>
      </w:r>
    </w:p>
    <w:p w14:paraId="7C281877" w14:textId="77777777" w:rsidR="00160C60" w:rsidRPr="00FD0709" w:rsidRDefault="00160C60" w:rsidP="004F3CE7">
      <w:pPr>
        <w:pStyle w:val="ListParagraph"/>
        <w:numPr>
          <w:ilvl w:val="0"/>
          <w:numId w:val="11"/>
        </w:numPr>
        <w:rPr>
          <w:sz w:val="18"/>
          <w:szCs w:val="18"/>
        </w:rPr>
      </w:pPr>
      <w:r w:rsidRPr="00FD0709">
        <w:rPr>
          <w:sz w:val="18"/>
          <w:szCs w:val="18"/>
        </w:rPr>
        <w:t>They may offer evidence of ancestral practices and their significance that would not otherwise be available</w:t>
      </w:r>
    </w:p>
    <w:p w14:paraId="293F7981" w14:textId="77777777" w:rsidR="00160C60" w:rsidRPr="00FD0709" w:rsidRDefault="00160C60" w:rsidP="004F3CE7">
      <w:pPr>
        <w:pStyle w:val="ListParagraph"/>
        <w:numPr>
          <w:ilvl w:val="0"/>
          <w:numId w:val="11"/>
        </w:numPr>
        <w:rPr>
          <w:sz w:val="18"/>
          <w:szCs w:val="18"/>
        </w:rPr>
      </w:pPr>
      <w:r w:rsidRPr="00FD0709">
        <w:rPr>
          <w:sz w:val="18"/>
          <w:szCs w:val="18"/>
        </w:rPr>
        <w:t>They may provide the aboriginal perspective on the right claimed</w:t>
      </w:r>
    </w:p>
    <w:p w14:paraId="03250F7A" w14:textId="6346E9C4" w:rsidR="00160C60" w:rsidRPr="00294197" w:rsidRDefault="00294197" w:rsidP="00294197">
      <w:pPr>
        <w:rPr>
          <w:sz w:val="18"/>
          <w:szCs w:val="18"/>
        </w:rPr>
      </w:pPr>
      <w:r>
        <w:rPr>
          <w:sz w:val="18"/>
          <w:szCs w:val="18"/>
        </w:rPr>
        <w:t>BUT</w:t>
      </w:r>
      <w:r w:rsidR="00160C60" w:rsidRPr="00294197">
        <w:rPr>
          <w:sz w:val="18"/>
          <w:szCs w:val="18"/>
        </w:rPr>
        <w:t xml:space="preserve">, </w:t>
      </w:r>
      <w:r>
        <w:rPr>
          <w:sz w:val="18"/>
          <w:szCs w:val="18"/>
        </w:rPr>
        <w:t>this isn’t</w:t>
      </w:r>
      <w:r w:rsidR="00160C60" w:rsidRPr="00294197">
        <w:rPr>
          <w:sz w:val="18"/>
          <w:szCs w:val="18"/>
        </w:rPr>
        <w:t xml:space="preserve"> a blanke</w:t>
      </w:r>
      <w:r>
        <w:rPr>
          <w:sz w:val="18"/>
          <w:szCs w:val="18"/>
        </w:rPr>
        <w:t xml:space="preserve">t admission of oral histories. </w:t>
      </w:r>
      <w:r w:rsidR="00160C60" w:rsidRPr="00294197">
        <w:rPr>
          <w:sz w:val="18"/>
          <w:szCs w:val="18"/>
        </w:rPr>
        <w:t>Still must consider reliability and prejudice – does the witness represent a reasonably reliable source of the particular peoples history?</w:t>
      </w:r>
    </w:p>
    <w:p w14:paraId="3FCF64FB" w14:textId="77777777" w:rsidR="00160C60" w:rsidRPr="00294197" w:rsidRDefault="00160C60" w:rsidP="00294197">
      <w:pPr>
        <w:rPr>
          <w:sz w:val="18"/>
          <w:szCs w:val="18"/>
        </w:rPr>
      </w:pPr>
      <w:r w:rsidRPr="00294197">
        <w:rPr>
          <w:b/>
          <w:sz w:val="18"/>
          <w:szCs w:val="18"/>
        </w:rPr>
        <w:t>Interpretation of Evidence:</w:t>
      </w:r>
      <w:r w:rsidRPr="00294197">
        <w:rPr>
          <w:sz w:val="18"/>
          <w:szCs w:val="18"/>
        </w:rPr>
        <w:t xml:space="preserve"> no precise rules, but two general principles for interpreting or weighing evidence in aboriginal claims:</w:t>
      </w:r>
    </w:p>
    <w:p w14:paraId="1261CABA" w14:textId="77777777" w:rsidR="00160C60" w:rsidRPr="00FD0709" w:rsidRDefault="00160C60" w:rsidP="004F3CE7">
      <w:pPr>
        <w:pStyle w:val="ListParagraph"/>
        <w:numPr>
          <w:ilvl w:val="0"/>
          <w:numId w:val="12"/>
        </w:numPr>
        <w:rPr>
          <w:sz w:val="18"/>
          <w:szCs w:val="18"/>
        </w:rPr>
      </w:pPr>
      <w:r w:rsidRPr="00FD0709">
        <w:rPr>
          <w:sz w:val="18"/>
          <w:szCs w:val="18"/>
        </w:rPr>
        <w:t>Courts need to interpret/weigh the evidence with a consciousness of the special nature of aboriginal claims</w:t>
      </w:r>
    </w:p>
    <w:p w14:paraId="4CAB0E5F" w14:textId="77777777" w:rsidR="00160C60" w:rsidRPr="00FD0709" w:rsidRDefault="00160C60" w:rsidP="004F3CE7">
      <w:pPr>
        <w:pStyle w:val="ListParagraph"/>
        <w:numPr>
          <w:ilvl w:val="0"/>
          <w:numId w:val="12"/>
        </w:numPr>
        <w:rPr>
          <w:sz w:val="18"/>
          <w:szCs w:val="18"/>
        </w:rPr>
      </w:pPr>
      <w:r w:rsidRPr="00FD0709">
        <w:rPr>
          <w:sz w:val="18"/>
          <w:szCs w:val="18"/>
        </w:rPr>
        <w:t>It’s imperative that the laws of evidence operate to ensure the aboriginal perspective is given due weight by the courts</w:t>
      </w:r>
    </w:p>
    <w:p w14:paraId="59533351" w14:textId="77777777" w:rsidR="00160C60" w:rsidRDefault="00160C60" w:rsidP="00160C60">
      <w:pPr>
        <w:rPr>
          <w:sz w:val="18"/>
          <w:szCs w:val="18"/>
        </w:rPr>
      </w:pPr>
    </w:p>
    <w:p w14:paraId="32EFECE2" w14:textId="395F68B4" w:rsidR="00294197" w:rsidRDefault="00294197" w:rsidP="00160C60">
      <w:pPr>
        <w:rPr>
          <w:sz w:val="18"/>
          <w:szCs w:val="18"/>
        </w:rPr>
      </w:pPr>
      <w:r>
        <w:rPr>
          <w:b/>
          <w:sz w:val="18"/>
          <w:szCs w:val="18"/>
          <w:u w:val="single"/>
        </w:rPr>
        <w:t>Treaties</w:t>
      </w:r>
    </w:p>
    <w:p w14:paraId="1C4089A0" w14:textId="77777777" w:rsidR="00294197" w:rsidRDefault="00294197" w:rsidP="00160C60">
      <w:pPr>
        <w:rPr>
          <w:sz w:val="18"/>
          <w:szCs w:val="18"/>
        </w:rPr>
      </w:pPr>
    </w:p>
    <w:p w14:paraId="72EC767F" w14:textId="16E5A8AC" w:rsidR="00294197" w:rsidRDefault="00294197" w:rsidP="00160C60">
      <w:pPr>
        <w:rPr>
          <w:sz w:val="18"/>
          <w:szCs w:val="18"/>
        </w:rPr>
      </w:pPr>
      <w:r>
        <w:rPr>
          <w:sz w:val="18"/>
          <w:szCs w:val="18"/>
        </w:rPr>
        <w:t>Treaty rights can still be regulated in two ways (</w:t>
      </w:r>
      <w:r>
        <w:rPr>
          <w:i/>
          <w:sz w:val="18"/>
          <w:szCs w:val="18"/>
        </w:rPr>
        <w:t>Marshall 2</w:t>
      </w:r>
      <w:r>
        <w:rPr>
          <w:sz w:val="18"/>
          <w:szCs w:val="18"/>
        </w:rPr>
        <w:t>):</w:t>
      </w:r>
    </w:p>
    <w:p w14:paraId="748AC8E4" w14:textId="50DF31E4" w:rsidR="00294197" w:rsidRDefault="00294197" w:rsidP="004F3CE7">
      <w:pPr>
        <w:pStyle w:val="ListParagraph"/>
        <w:numPr>
          <w:ilvl w:val="0"/>
          <w:numId w:val="36"/>
        </w:numPr>
        <w:rPr>
          <w:sz w:val="18"/>
          <w:szCs w:val="18"/>
        </w:rPr>
      </w:pPr>
      <w:r>
        <w:rPr>
          <w:sz w:val="18"/>
          <w:szCs w:val="18"/>
        </w:rPr>
        <w:t>Regulate the right within the terms of the treaty, so long as it’s within the limits of the treaty, it will be valid</w:t>
      </w:r>
    </w:p>
    <w:p w14:paraId="25FF5EA9" w14:textId="1D89E706" w:rsidR="00294197" w:rsidRPr="00294197" w:rsidRDefault="00294197" w:rsidP="004F3CE7">
      <w:pPr>
        <w:pStyle w:val="ListParagraph"/>
        <w:numPr>
          <w:ilvl w:val="0"/>
          <w:numId w:val="36"/>
        </w:numPr>
        <w:rPr>
          <w:sz w:val="18"/>
          <w:szCs w:val="18"/>
        </w:rPr>
      </w:pPr>
      <w:r>
        <w:rPr>
          <w:sz w:val="18"/>
          <w:szCs w:val="18"/>
        </w:rPr>
        <w:t>Can still regulate so long as it can be justified</w:t>
      </w:r>
    </w:p>
    <w:p w14:paraId="25E16DCC" w14:textId="25240C78" w:rsidR="00160C60" w:rsidRPr="00294197" w:rsidRDefault="00294197" w:rsidP="00160C60">
      <w:pPr>
        <w:rPr>
          <w:sz w:val="18"/>
          <w:szCs w:val="18"/>
        </w:rPr>
      </w:pPr>
      <w:r>
        <w:rPr>
          <w:sz w:val="18"/>
          <w:szCs w:val="18"/>
        </w:rPr>
        <w:t>Factors to consider when interpreting treaty rights (</w:t>
      </w:r>
      <w:r>
        <w:rPr>
          <w:i/>
          <w:sz w:val="18"/>
          <w:szCs w:val="18"/>
        </w:rPr>
        <w:t xml:space="preserve">Marshall 1 </w:t>
      </w:r>
      <w:r>
        <w:rPr>
          <w:sz w:val="18"/>
          <w:szCs w:val="18"/>
        </w:rPr>
        <w:t>Dissent):</w:t>
      </w:r>
    </w:p>
    <w:p w14:paraId="543DFCA1" w14:textId="77777777" w:rsidR="00160C60" w:rsidRPr="00FD0709" w:rsidRDefault="00160C60" w:rsidP="004F3CE7">
      <w:pPr>
        <w:pStyle w:val="ListParagraph"/>
        <w:numPr>
          <w:ilvl w:val="0"/>
          <w:numId w:val="29"/>
        </w:numPr>
        <w:rPr>
          <w:sz w:val="18"/>
          <w:szCs w:val="18"/>
        </w:rPr>
      </w:pPr>
      <w:r w:rsidRPr="00FD0709">
        <w:rPr>
          <w:sz w:val="18"/>
          <w:szCs w:val="18"/>
        </w:rPr>
        <w:t>Aboriginal treaties constitute a unique type of agreement and attract special principles of interpretation</w:t>
      </w:r>
    </w:p>
    <w:p w14:paraId="69119E4D" w14:textId="77777777" w:rsidR="00160C60" w:rsidRPr="00FD0709" w:rsidRDefault="00160C60" w:rsidP="004F3CE7">
      <w:pPr>
        <w:pStyle w:val="ListParagraph"/>
        <w:numPr>
          <w:ilvl w:val="0"/>
          <w:numId w:val="29"/>
        </w:numPr>
        <w:rPr>
          <w:sz w:val="18"/>
          <w:szCs w:val="18"/>
        </w:rPr>
      </w:pPr>
      <w:r w:rsidRPr="00FD0709">
        <w:rPr>
          <w:sz w:val="18"/>
          <w:szCs w:val="18"/>
        </w:rPr>
        <w:t>Treaties should be liberally construed and ambiguities should be resolved in favour of the aboriginal signatories</w:t>
      </w:r>
    </w:p>
    <w:p w14:paraId="63F2ECCD" w14:textId="77777777" w:rsidR="00160C60" w:rsidRPr="00FD0709" w:rsidRDefault="00160C60" w:rsidP="004F3CE7">
      <w:pPr>
        <w:pStyle w:val="ListParagraph"/>
        <w:numPr>
          <w:ilvl w:val="0"/>
          <w:numId w:val="29"/>
        </w:numPr>
        <w:rPr>
          <w:sz w:val="18"/>
          <w:szCs w:val="18"/>
        </w:rPr>
      </w:pPr>
      <w:r w:rsidRPr="00FD0709">
        <w:rPr>
          <w:sz w:val="18"/>
          <w:szCs w:val="18"/>
        </w:rPr>
        <w:t>The goal of treaty interpretation is to choose from among the various possible interpretations of common intention the one which best reconciles the interests of both parties at the time the treaty was signed</w:t>
      </w:r>
    </w:p>
    <w:p w14:paraId="797365D6" w14:textId="77777777" w:rsidR="00160C60" w:rsidRPr="00FD0709" w:rsidRDefault="00160C60" w:rsidP="004F3CE7">
      <w:pPr>
        <w:pStyle w:val="ListParagraph"/>
        <w:numPr>
          <w:ilvl w:val="0"/>
          <w:numId w:val="29"/>
        </w:numPr>
        <w:rPr>
          <w:sz w:val="18"/>
          <w:szCs w:val="18"/>
        </w:rPr>
      </w:pPr>
      <w:r w:rsidRPr="00FD0709">
        <w:rPr>
          <w:sz w:val="18"/>
          <w:szCs w:val="18"/>
        </w:rPr>
        <w:t>In searching for the common intention of the parties, the integrity and honour of the Crown is presumed</w:t>
      </w:r>
    </w:p>
    <w:p w14:paraId="5B16BC20" w14:textId="77777777" w:rsidR="00160C60" w:rsidRPr="00FD0709" w:rsidRDefault="00160C60" w:rsidP="004F3CE7">
      <w:pPr>
        <w:pStyle w:val="ListParagraph"/>
        <w:numPr>
          <w:ilvl w:val="0"/>
          <w:numId w:val="29"/>
        </w:numPr>
        <w:rPr>
          <w:sz w:val="18"/>
          <w:szCs w:val="18"/>
        </w:rPr>
      </w:pPr>
      <w:r w:rsidRPr="00FD0709">
        <w:rPr>
          <w:sz w:val="18"/>
          <w:szCs w:val="18"/>
        </w:rPr>
        <w:t>In determining the signatories’ respective understanding and intentions, the court must be sensitive to the unique cultural and linguistic differences between the parties</w:t>
      </w:r>
    </w:p>
    <w:p w14:paraId="123BFB5C" w14:textId="77777777" w:rsidR="00160C60" w:rsidRPr="00FD0709" w:rsidRDefault="00160C60" w:rsidP="004F3CE7">
      <w:pPr>
        <w:pStyle w:val="ListParagraph"/>
        <w:numPr>
          <w:ilvl w:val="0"/>
          <w:numId w:val="29"/>
        </w:numPr>
        <w:rPr>
          <w:sz w:val="18"/>
          <w:szCs w:val="18"/>
        </w:rPr>
      </w:pPr>
      <w:r w:rsidRPr="00FD0709">
        <w:rPr>
          <w:sz w:val="18"/>
          <w:szCs w:val="18"/>
        </w:rPr>
        <w:t>The words of the treaty must be given the sense which they would naturally have held for the parties at the time</w:t>
      </w:r>
    </w:p>
    <w:p w14:paraId="2226A2D5" w14:textId="77777777" w:rsidR="00160C60" w:rsidRPr="00FD0709" w:rsidRDefault="00160C60" w:rsidP="004F3CE7">
      <w:pPr>
        <w:pStyle w:val="ListParagraph"/>
        <w:numPr>
          <w:ilvl w:val="0"/>
          <w:numId w:val="29"/>
        </w:numPr>
        <w:rPr>
          <w:sz w:val="18"/>
          <w:szCs w:val="18"/>
        </w:rPr>
      </w:pPr>
      <w:r w:rsidRPr="00FD0709">
        <w:rPr>
          <w:sz w:val="18"/>
          <w:szCs w:val="18"/>
        </w:rPr>
        <w:t>A technical or contractual interpretation of treaty wording should be avoided</w:t>
      </w:r>
    </w:p>
    <w:p w14:paraId="3F4197E0" w14:textId="77777777" w:rsidR="00160C60" w:rsidRPr="00FD0709" w:rsidRDefault="00160C60" w:rsidP="004F3CE7">
      <w:pPr>
        <w:pStyle w:val="ListParagraph"/>
        <w:numPr>
          <w:ilvl w:val="0"/>
          <w:numId w:val="29"/>
        </w:numPr>
        <w:rPr>
          <w:sz w:val="18"/>
          <w:szCs w:val="18"/>
        </w:rPr>
      </w:pPr>
      <w:r w:rsidRPr="00FD0709">
        <w:rPr>
          <w:sz w:val="18"/>
          <w:szCs w:val="18"/>
        </w:rPr>
        <w:t>While construing the language generously, courts can’t alter the terms of the treaty by exceeding what is possible on the language or realistic</w:t>
      </w:r>
    </w:p>
    <w:p w14:paraId="060AF0E5" w14:textId="288F6BD4" w:rsidR="004F3CE7" w:rsidRPr="004F3CE7" w:rsidRDefault="00160C60" w:rsidP="004F3CE7">
      <w:pPr>
        <w:pStyle w:val="ListParagraph"/>
        <w:numPr>
          <w:ilvl w:val="0"/>
          <w:numId w:val="29"/>
        </w:numPr>
        <w:rPr>
          <w:sz w:val="16"/>
          <w:szCs w:val="16"/>
        </w:rPr>
      </w:pPr>
      <w:r w:rsidRPr="00FD0709">
        <w:rPr>
          <w:sz w:val="18"/>
          <w:szCs w:val="18"/>
        </w:rPr>
        <w:t xml:space="preserve">Treaty rights of aboriginal peoples must not be interpreted in a static or rigid </w:t>
      </w:r>
      <w:proofErr w:type="gramStart"/>
      <w:r w:rsidRPr="00FD0709">
        <w:rPr>
          <w:sz w:val="18"/>
          <w:szCs w:val="18"/>
        </w:rPr>
        <w:t>way,</w:t>
      </w:r>
      <w:proofErr w:type="gramEnd"/>
      <w:r w:rsidRPr="00FD0709">
        <w:rPr>
          <w:sz w:val="18"/>
          <w:szCs w:val="18"/>
        </w:rPr>
        <w:t xml:space="preserve"> they aren’t frozen at the date of signature.  Court must update treaty rights to provide for their modern exercise, which involves determining what modern practices are reasonably incidental to the core tr</w:t>
      </w:r>
      <w:r w:rsidR="004F3CE7">
        <w:rPr>
          <w:sz w:val="18"/>
          <w:szCs w:val="18"/>
        </w:rPr>
        <w:t>eaty right in its modern context</w:t>
      </w:r>
      <w:bookmarkStart w:id="0" w:name="_GoBack"/>
      <w:bookmarkEnd w:id="0"/>
    </w:p>
    <w:sectPr w:rsidR="004F3CE7" w:rsidRPr="004F3CE7" w:rsidSect="004F3CE7">
      <w:type w:val="continuous"/>
      <w:pgSz w:w="12240" w:h="15840"/>
      <w:pgMar w:top="568" w:right="47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E429A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A5B04B6"/>
    <w:multiLevelType w:val="hybridMultilevel"/>
    <w:tmpl w:val="AE44D246"/>
    <w:lvl w:ilvl="0" w:tplc="64101D8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208B9"/>
    <w:multiLevelType w:val="hybridMultilevel"/>
    <w:tmpl w:val="3BFCA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97124"/>
    <w:multiLevelType w:val="hybridMultilevel"/>
    <w:tmpl w:val="85929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89272B"/>
    <w:multiLevelType w:val="hybridMultilevel"/>
    <w:tmpl w:val="8B14E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80C7F"/>
    <w:multiLevelType w:val="hybridMultilevel"/>
    <w:tmpl w:val="232E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86FB7"/>
    <w:multiLevelType w:val="hybridMultilevel"/>
    <w:tmpl w:val="4418B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1F2303"/>
    <w:multiLevelType w:val="hybridMultilevel"/>
    <w:tmpl w:val="A334A70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9A21CB8"/>
    <w:multiLevelType w:val="hybridMultilevel"/>
    <w:tmpl w:val="DC820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410CC9"/>
    <w:multiLevelType w:val="hybridMultilevel"/>
    <w:tmpl w:val="5EBEF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F67F3"/>
    <w:multiLevelType w:val="hybridMultilevel"/>
    <w:tmpl w:val="384C1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90CFF"/>
    <w:multiLevelType w:val="hybridMultilevel"/>
    <w:tmpl w:val="B16E7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708CD"/>
    <w:multiLevelType w:val="hybridMultilevel"/>
    <w:tmpl w:val="BA62D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E173E"/>
    <w:multiLevelType w:val="hybridMultilevel"/>
    <w:tmpl w:val="BD6EB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C75AF4"/>
    <w:multiLevelType w:val="hybridMultilevel"/>
    <w:tmpl w:val="1D76A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914ED"/>
    <w:multiLevelType w:val="hybridMultilevel"/>
    <w:tmpl w:val="F1981184"/>
    <w:lvl w:ilvl="0" w:tplc="0409000F">
      <w:start w:val="1"/>
      <w:numFmt w:val="decimal"/>
      <w:lvlText w:val="%1."/>
      <w:lvlJc w:val="left"/>
      <w:pPr>
        <w:ind w:left="786"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2FB60F7E"/>
    <w:multiLevelType w:val="hybridMultilevel"/>
    <w:tmpl w:val="1136A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2591E"/>
    <w:multiLevelType w:val="hybridMultilevel"/>
    <w:tmpl w:val="45E840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C851F9"/>
    <w:multiLevelType w:val="hybridMultilevel"/>
    <w:tmpl w:val="ED3E2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10753"/>
    <w:multiLevelType w:val="hybridMultilevel"/>
    <w:tmpl w:val="AD5E6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F42C4"/>
    <w:multiLevelType w:val="hybridMultilevel"/>
    <w:tmpl w:val="1BE69E7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4D85709"/>
    <w:multiLevelType w:val="hybridMultilevel"/>
    <w:tmpl w:val="87729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452BD1"/>
    <w:multiLevelType w:val="hybridMultilevel"/>
    <w:tmpl w:val="76147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2722A8"/>
    <w:multiLevelType w:val="hybridMultilevel"/>
    <w:tmpl w:val="79681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D4A457A"/>
    <w:multiLevelType w:val="hybridMultilevel"/>
    <w:tmpl w:val="4EEC2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D2185D"/>
    <w:multiLevelType w:val="hybridMultilevel"/>
    <w:tmpl w:val="D0D4DF0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0DA766D"/>
    <w:multiLevelType w:val="hybridMultilevel"/>
    <w:tmpl w:val="F404D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E06F6A"/>
    <w:multiLevelType w:val="hybridMultilevel"/>
    <w:tmpl w:val="FBDCE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7719E4"/>
    <w:multiLevelType w:val="hybridMultilevel"/>
    <w:tmpl w:val="C0C4A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4E23602"/>
    <w:multiLevelType w:val="hybridMultilevel"/>
    <w:tmpl w:val="42B0B9D4"/>
    <w:lvl w:ilvl="0" w:tplc="0409000F">
      <w:start w:val="1"/>
      <w:numFmt w:val="decimal"/>
      <w:lvlText w:val="%1."/>
      <w:lvlJc w:val="left"/>
      <w:pPr>
        <w:ind w:left="2520"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70071F5"/>
    <w:multiLevelType w:val="hybridMultilevel"/>
    <w:tmpl w:val="405A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C69CB"/>
    <w:multiLevelType w:val="hybridMultilevel"/>
    <w:tmpl w:val="07827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6C1BA7"/>
    <w:multiLevelType w:val="hybridMultilevel"/>
    <w:tmpl w:val="2410F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332B3C"/>
    <w:multiLevelType w:val="hybridMultilevel"/>
    <w:tmpl w:val="AFBC3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61508F"/>
    <w:multiLevelType w:val="hybridMultilevel"/>
    <w:tmpl w:val="668ECEE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75A453CF"/>
    <w:multiLevelType w:val="hybridMultilevel"/>
    <w:tmpl w:val="D4BE089C"/>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535470"/>
    <w:multiLevelType w:val="hybridMultilevel"/>
    <w:tmpl w:val="4D622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5B40FD"/>
    <w:multiLevelType w:val="hybridMultilevel"/>
    <w:tmpl w:val="EF96E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1"/>
  </w:num>
  <w:num w:numId="3">
    <w:abstractNumId w:val="17"/>
  </w:num>
  <w:num w:numId="4">
    <w:abstractNumId w:val="8"/>
  </w:num>
  <w:num w:numId="5">
    <w:abstractNumId w:val="13"/>
  </w:num>
  <w:num w:numId="6">
    <w:abstractNumId w:val="23"/>
  </w:num>
  <w:num w:numId="7">
    <w:abstractNumId w:val="33"/>
  </w:num>
  <w:num w:numId="8">
    <w:abstractNumId w:val="3"/>
  </w:num>
  <w:num w:numId="9">
    <w:abstractNumId w:val="22"/>
  </w:num>
  <w:num w:numId="10">
    <w:abstractNumId w:val="15"/>
  </w:num>
  <w:num w:numId="11">
    <w:abstractNumId w:val="7"/>
  </w:num>
  <w:num w:numId="12">
    <w:abstractNumId w:val="20"/>
  </w:num>
  <w:num w:numId="13">
    <w:abstractNumId w:val="29"/>
  </w:num>
  <w:num w:numId="14">
    <w:abstractNumId w:val="32"/>
  </w:num>
  <w:num w:numId="15">
    <w:abstractNumId w:val="16"/>
  </w:num>
  <w:num w:numId="16">
    <w:abstractNumId w:val="12"/>
  </w:num>
  <w:num w:numId="17">
    <w:abstractNumId w:val="6"/>
  </w:num>
  <w:num w:numId="18">
    <w:abstractNumId w:val="36"/>
  </w:num>
  <w:num w:numId="19">
    <w:abstractNumId w:val="26"/>
  </w:num>
  <w:num w:numId="20">
    <w:abstractNumId w:val="19"/>
  </w:num>
  <w:num w:numId="21">
    <w:abstractNumId w:val="31"/>
  </w:num>
  <w:num w:numId="22">
    <w:abstractNumId w:val="24"/>
  </w:num>
  <w:num w:numId="23">
    <w:abstractNumId w:val="10"/>
  </w:num>
  <w:num w:numId="24">
    <w:abstractNumId w:val="37"/>
  </w:num>
  <w:num w:numId="25">
    <w:abstractNumId w:val="28"/>
  </w:num>
  <w:num w:numId="26">
    <w:abstractNumId w:val="4"/>
  </w:num>
  <w:num w:numId="27">
    <w:abstractNumId w:val="25"/>
  </w:num>
  <w:num w:numId="28">
    <w:abstractNumId w:val="5"/>
  </w:num>
  <w:num w:numId="29">
    <w:abstractNumId w:val="27"/>
  </w:num>
  <w:num w:numId="30">
    <w:abstractNumId w:val="34"/>
  </w:num>
  <w:num w:numId="31">
    <w:abstractNumId w:val="30"/>
  </w:num>
  <w:num w:numId="32">
    <w:abstractNumId w:val="1"/>
  </w:num>
  <w:num w:numId="33">
    <w:abstractNumId w:val="2"/>
  </w:num>
  <w:num w:numId="34">
    <w:abstractNumId w:val="18"/>
  </w:num>
  <w:num w:numId="35">
    <w:abstractNumId w:val="35"/>
  </w:num>
  <w:num w:numId="36">
    <w:abstractNumId w:val="14"/>
  </w:num>
  <w:num w:numId="37">
    <w:abstractNumId w:val="9"/>
  </w:num>
  <w:num w:numId="38">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3D"/>
    <w:rsid w:val="000F4831"/>
    <w:rsid w:val="0013653D"/>
    <w:rsid w:val="00160C60"/>
    <w:rsid w:val="00276332"/>
    <w:rsid w:val="00294197"/>
    <w:rsid w:val="002D351C"/>
    <w:rsid w:val="00303E19"/>
    <w:rsid w:val="004E0DE3"/>
    <w:rsid w:val="004F3CE7"/>
    <w:rsid w:val="005E3683"/>
    <w:rsid w:val="006367E9"/>
    <w:rsid w:val="007225AE"/>
    <w:rsid w:val="007F754B"/>
    <w:rsid w:val="0084414D"/>
    <w:rsid w:val="00895383"/>
    <w:rsid w:val="008B49C7"/>
    <w:rsid w:val="009F0A11"/>
    <w:rsid w:val="00A33164"/>
    <w:rsid w:val="00AB787A"/>
    <w:rsid w:val="00CF5B20"/>
    <w:rsid w:val="00D0331E"/>
    <w:rsid w:val="00E64EFB"/>
    <w:rsid w:val="00FD0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D7F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60"/>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60"/>
    <w:pPr>
      <w:ind w:left="720"/>
      <w:contextualSpacing/>
    </w:pPr>
  </w:style>
  <w:style w:type="paragraph" w:styleId="NoteLevel1">
    <w:name w:val="Note Level 1"/>
    <w:basedOn w:val="Normal"/>
    <w:uiPriority w:val="99"/>
    <w:unhideWhenUsed/>
    <w:rsid w:val="004F3CE7"/>
    <w:pPr>
      <w:keepNext/>
      <w:numPr>
        <w:numId w:val="38"/>
      </w:numPr>
      <w:contextualSpacing/>
      <w:outlineLvl w:val="0"/>
    </w:pPr>
    <w:rPr>
      <w:rFonts w:ascii="Verdana" w:eastAsia="ＭＳ ゴシック" w:hAnsi="Verdana"/>
      <w:sz w:val="24"/>
    </w:rPr>
  </w:style>
  <w:style w:type="paragraph" w:styleId="NoteLevel2">
    <w:name w:val="Note Level 2"/>
    <w:basedOn w:val="Normal"/>
    <w:uiPriority w:val="99"/>
    <w:unhideWhenUsed/>
    <w:rsid w:val="004F3CE7"/>
    <w:pPr>
      <w:keepNext/>
      <w:numPr>
        <w:ilvl w:val="1"/>
        <w:numId w:val="38"/>
      </w:numPr>
      <w:contextualSpacing/>
      <w:outlineLvl w:val="1"/>
    </w:pPr>
    <w:rPr>
      <w:rFonts w:ascii="Verdana" w:eastAsia="ＭＳ ゴシック" w:hAnsi="Verdana"/>
      <w:sz w:val="24"/>
    </w:rPr>
  </w:style>
  <w:style w:type="paragraph" w:styleId="NoteLevel3">
    <w:name w:val="Note Level 3"/>
    <w:basedOn w:val="Normal"/>
    <w:uiPriority w:val="99"/>
    <w:unhideWhenUsed/>
    <w:rsid w:val="004F3CE7"/>
    <w:pPr>
      <w:keepNext/>
      <w:numPr>
        <w:ilvl w:val="2"/>
        <w:numId w:val="38"/>
      </w:numPr>
      <w:contextualSpacing/>
      <w:outlineLvl w:val="2"/>
    </w:pPr>
    <w:rPr>
      <w:rFonts w:ascii="Verdana" w:eastAsia="ＭＳ ゴシック" w:hAnsi="Verdana"/>
      <w:sz w:val="24"/>
    </w:rPr>
  </w:style>
  <w:style w:type="paragraph" w:styleId="NoteLevel4">
    <w:name w:val="Note Level 4"/>
    <w:basedOn w:val="Normal"/>
    <w:uiPriority w:val="99"/>
    <w:unhideWhenUsed/>
    <w:rsid w:val="004F3CE7"/>
    <w:pPr>
      <w:keepNext/>
      <w:numPr>
        <w:ilvl w:val="3"/>
        <w:numId w:val="38"/>
      </w:numPr>
      <w:contextualSpacing/>
      <w:outlineLvl w:val="3"/>
    </w:pPr>
    <w:rPr>
      <w:rFonts w:ascii="Verdana" w:eastAsia="ＭＳ ゴシック" w:hAnsi="Verdana"/>
      <w:sz w:val="24"/>
    </w:rPr>
  </w:style>
  <w:style w:type="paragraph" w:styleId="NoteLevel5">
    <w:name w:val="Note Level 5"/>
    <w:basedOn w:val="Normal"/>
    <w:uiPriority w:val="99"/>
    <w:unhideWhenUsed/>
    <w:rsid w:val="004F3CE7"/>
    <w:pPr>
      <w:keepNext/>
      <w:numPr>
        <w:ilvl w:val="4"/>
        <w:numId w:val="38"/>
      </w:numPr>
      <w:contextualSpacing/>
      <w:outlineLvl w:val="4"/>
    </w:pPr>
    <w:rPr>
      <w:rFonts w:ascii="Verdana" w:eastAsia="ＭＳ ゴシック" w:hAnsi="Verdana"/>
      <w:sz w:val="24"/>
    </w:rPr>
  </w:style>
  <w:style w:type="paragraph" w:styleId="NoteLevel6">
    <w:name w:val="Note Level 6"/>
    <w:basedOn w:val="Normal"/>
    <w:uiPriority w:val="99"/>
    <w:semiHidden/>
    <w:unhideWhenUsed/>
    <w:rsid w:val="004F3CE7"/>
    <w:pPr>
      <w:keepNext/>
      <w:numPr>
        <w:ilvl w:val="5"/>
        <w:numId w:val="38"/>
      </w:numPr>
      <w:contextualSpacing/>
      <w:outlineLvl w:val="5"/>
    </w:pPr>
    <w:rPr>
      <w:rFonts w:ascii="Verdana" w:eastAsia="ＭＳ ゴシック" w:hAnsi="Verdana"/>
      <w:sz w:val="24"/>
    </w:rPr>
  </w:style>
  <w:style w:type="paragraph" w:styleId="NoteLevel7">
    <w:name w:val="Note Level 7"/>
    <w:basedOn w:val="Normal"/>
    <w:uiPriority w:val="99"/>
    <w:semiHidden/>
    <w:unhideWhenUsed/>
    <w:rsid w:val="004F3CE7"/>
    <w:pPr>
      <w:keepNext/>
      <w:numPr>
        <w:ilvl w:val="6"/>
        <w:numId w:val="38"/>
      </w:numPr>
      <w:contextualSpacing/>
      <w:outlineLvl w:val="6"/>
    </w:pPr>
    <w:rPr>
      <w:rFonts w:ascii="Verdana" w:eastAsia="ＭＳ ゴシック" w:hAnsi="Verdana"/>
      <w:sz w:val="24"/>
    </w:rPr>
  </w:style>
  <w:style w:type="paragraph" w:styleId="NoteLevel8">
    <w:name w:val="Note Level 8"/>
    <w:basedOn w:val="Normal"/>
    <w:uiPriority w:val="99"/>
    <w:semiHidden/>
    <w:unhideWhenUsed/>
    <w:rsid w:val="004F3CE7"/>
    <w:pPr>
      <w:keepNext/>
      <w:numPr>
        <w:ilvl w:val="7"/>
        <w:numId w:val="38"/>
      </w:numPr>
      <w:contextualSpacing/>
      <w:outlineLvl w:val="7"/>
    </w:pPr>
    <w:rPr>
      <w:rFonts w:ascii="Verdana" w:eastAsia="ＭＳ ゴシック" w:hAnsi="Verdana"/>
      <w:sz w:val="24"/>
    </w:rPr>
  </w:style>
  <w:style w:type="paragraph" w:styleId="NoteLevel9">
    <w:name w:val="Note Level 9"/>
    <w:basedOn w:val="Normal"/>
    <w:uiPriority w:val="99"/>
    <w:semiHidden/>
    <w:unhideWhenUsed/>
    <w:rsid w:val="004F3CE7"/>
    <w:pPr>
      <w:keepNext/>
      <w:numPr>
        <w:ilvl w:val="8"/>
        <w:numId w:val="38"/>
      </w:numPr>
      <w:contextualSpacing/>
      <w:outlineLvl w:val="8"/>
    </w:pPr>
    <w:rPr>
      <w:rFonts w:ascii="Verdana" w:eastAsia="ＭＳ ゴシック" w:hAnsi="Verdan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60"/>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60"/>
    <w:pPr>
      <w:ind w:left="720"/>
      <w:contextualSpacing/>
    </w:pPr>
  </w:style>
  <w:style w:type="paragraph" w:styleId="NoteLevel1">
    <w:name w:val="Note Level 1"/>
    <w:basedOn w:val="Normal"/>
    <w:uiPriority w:val="99"/>
    <w:unhideWhenUsed/>
    <w:rsid w:val="004F3CE7"/>
    <w:pPr>
      <w:keepNext/>
      <w:numPr>
        <w:numId w:val="38"/>
      </w:numPr>
      <w:contextualSpacing/>
      <w:outlineLvl w:val="0"/>
    </w:pPr>
    <w:rPr>
      <w:rFonts w:ascii="Verdana" w:eastAsia="ＭＳ ゴシック" w:hAnsi="Verdana"/>
      <w:sz w:val="24"/>
    </w:rPr>
  </w:style>
  <w:style w:type="paragraph" w:styleId="NoteLevel2">
    <w:name w:val="Note Level 2"/>
    <w:basedOn w:val="Normal"/>
    <w:uiPriority w:val="99"/>
    <w:unhideWhenUsed/>
    <w:rsid w:val="004F3CE7"/>
    <w:pPr>
      <w:keepNext/>
      <w:numPr>
        <w:ilvl w:val="1"/>
        <w:numId w:val="38"/>
      </w:numPr>
      <w:contextualSpacing/>
      <w:outlineLvl w:val="1"/>
    </w:pPr>
    <w:rPr>
      <w:rFonts w:ascii="Verdana" w:eastAsia="ＭＳ ゴシック" w:hAnsi="Verdana"/>
      <w:sz w:val="24"/>
    </w:rPr>
  </w:style>
  <w:style w:type="paragraph" w:styleId="NoteLevel3">
    <w:name w:val="Note Level 3"/>
    <w:basedOn w:val="Normal"/>
    <w:uiPriority w:val="99"/>
    <w:unhideWhenUsed/>
    <w:rsid w:val="004F3CE7"/>
    <w:pPr>
      <w:keepNext/>
      <w:numPr>
        <w:ilvl w:val="2"/>
        <w:numId w:val="38"/>
      </w:numPr>
      <w:contextualSpacing/>
      <w:outlineLvl w:val="2"/>
    </w:pPr>
    <w:rPr>
      <w:rFonts w:ascii="Verdana" w:eastAsia="ＭＳ ゴシック" w:hAnsi="Verdana"/>
      <w:sz w:val="24"/>
    </w:rPr>
  </w:style>
  <w:style w:type="paragraph" w:styleId="NoteLevel4">
    <w:name w:val="Note Level 4"/>
    <w:basedOn w:val="Normal"/>
    <w:uiPriority w:val="99"/>
    <w:unhideWhenUsed/>
    <w:rsid w:val="004F3CE7"/>
    <w:pPr>
      <w:keepNext/>
      <w:numPr>
        <w:ilvl w:val="3"/>
        <w:numId w:val="38"/>
      </w:numPr>
      <w:contextualSpacing/>
      <w:outlineLvl w:val="3"/>
    </w:pPr>
    <w:rPr>
      <w:rFonts w:ascii="Verdana" w:eastAsia="ＭＳ ゴシック" w:hAnsi="Verdana"/>
      <w:sz w:val="24"/>
    </w:rPr>
  </w:style>
  <w:style w:type="paragraph" w:styleId="NoteLevel5">
    <w:name w:val="Note Level 5"/>
    <w:basedOn w:val="Normal"/>
    <w:uiPriority w:val="99"/>
    <w:unhideWhenUsed/>
    <w:rsid w:val="004F3CE7"/>
    <w:pPr>
      <w:keepNext/>
      <w:numPr>
        <w:ilvl w:val="4"/>
        <w:numId w:val="38"/>
      </w:numPr>
      <w:contextualSpacing/>
      <w:outlineLvl w:val="4"/>
    </w:pPr>
    <w:rPr>
      <w:rFonts w:ascii="Verdana" w:eastAsia="ＭＳ ゴシック" w:hAnsi="Verdana"/>
      <w:sz w:val="24"/>
    </w:rPr>
  </w:style>
  <w:style w:type="paragraph" w:styleId="NoteLevel6">
    <w:name w:val="Note Level 6"/>
    <w:basedOn w:val="Normal"/>
    <w:uiPriority w:val="99"/>
    <w:semiHidden/>
    <w:unhideWhenUsed/>
    <w:rsid w:val="004F3CE7"/>
    <w:pPr>
      <w:keepNext/>
      <w:numPr>
        <w:ilvl w:val="5"/>
        <w:numId w:val="38"/>
      </w:numPr>
      <w:contextualSpacing/>
      <w:outlineLvl w:val="5"/>
    </w:pPr>
    <w:rPr>
      <w:rFonts w:ascii="Verdana" w:eastAsia="ＭＳ ゴシック" w:hAnsi="Verdana"/>
      <w:sz w:val="24"/>
    </w:rPr>
  </w:style>
  <w:style w:type="paragraph" w:styleId="NoteLevel7">
    <w:name w:val="Note Level 7"/>
    <w:basedOn w:val="Normal"/>
    <w:uiPriority w:val="99"/>
    <w:semiHidden/>
    <w:unhideWhenUsed/>
    <w:rsid w:val="004F3CE7"/>
    <w:pPr>
      <w:keepNext/>
      <w:numPr>
        <w:ilvl w:val="6"/>
        <w:numId w:val="38"/>
      </w:numPr>
      <w:contextualSpacing/>
      <w:outlineLvl w:val="6"/>
    </w:pPr>
    <w:rPr>
      <w:rFonts w:ascii="Verdana" w:eastAsia="ＭＳ ゴシック" w:hAnsi="Verdana"/>
      <w:sz w:val="24"/>
    </w:rPr>
  </w:style>
  <w:style w:type="paragraph" w:styleId="NoteLevel8">
    <w:name w:val="Note Level 8"/>
    <w:basedOn w:val="Normal"/>
    <w:uiPriority w:val="99"/>
    <w:semiHidden/>
    <w:unhideWhenUsed/>
    <w:rsid w:val="004F3CE7"/>
    <w:pPr>
      <w:keepNext/>
      <w:numPr>
        <w:ilvl w:val="7"/>
        <w:numId w:val="38"/>
      </w:numPr>
      <w:contextualSpacing/>
      <w:outlineLvl w:val="7"/>
    </w:pPr>
    <w:rPr>
      <w:rFonts w:ascii="Verdana" w:eastAsia="ＭＳ ゴシック" w:hAnsi="Verdana"/>
      <w:sz w:val="24"/>
    </w:rPr>
  </w:style>
  <w:style w:type="paragraph" w:styleId="NoteLevel9">
    <w:name w:val="Note Level 9"/>
    <w:basedOn w:val="Normal"/>
    <w:uiPriority w:val="99"/>
    <w:semiHidden/>
    <w:unhideWhenUsed/>
    <w:rsid w:val="004F3CE7"/>
    <w:pPr>
      <w:keepNext/>
      <w:numPr>
        <w:ilvl w:val="8"/>
        <w:numId w:val="38"/>
      </w:numPr>
      <w:contextualSpacing/>
      <w:outlineLvl w:val="8"/>
    </w:pPr>
    <w:rPr>
      <w:rFonts w:ascii="Verdana" w:eastAsia="ＭＳ ゴシック"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2869</Words>
  <Characters>16354</Characters>
  <Application>Microsoft Macintosh Word</Application>
  <DocSecurity>0</DocSecurity>
  <Lines>136</Lines>
  <Paragraphs>38</Paragraphs>
  <ScaleCrop>false</ScaleCrop>
  <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4</cp:revision>
  <dcterms:created xsi:type="dcterms:W3CDTF">2015-04-13T00:32:00Z</dcterms:created>
  <dcterms:modified xsi:type="dcterms:W3CDTF">2015-04-13T07:09:00Z</dcterms:modified>
</cp:coreProperties>
</file>