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6CB7" w:rsidRPr="006D5CAE" w:rsidRDefault="00BC6CB7" w:rsidP="006F6194">
      <w:pPr>
        <w:pStyle w:val="Heading1"/>
        <w:rPr>
          <w:rFonts w:ascii="Baskerville" w:hAnsi="Baskerville"/>
          <w:b/>
          <w:color w:val="auto"/>
          <w:sz w:val="30"/>
        </w:rPr>
      </w:pPr>
    </w:p>
    <w:sdt>
      <w:sdtPr>
        <w:rPr>
          <w:rFonts w:ascii="Baskerville Old Face" w:eastAsiaTheme="minorHAnsi" w:hAnsi="Baskerville Old Face" w:cstheme="minorBidi"/>
          <w:bCs w:val="0"/>
          <w:color w:val="auto"/>
          <w:szCs w:val="24"/>
          <w:u w:val="single"/>
        </w:rPr>
        <w:id w:val="1103276289"/>
        <w:docPartObj>
          <w:docPartGallery w:val="Table of Contents"/>
          <w:docPartUnique/>
        </w:docPartObj>
      </w:sdtPr>
      <w:sdtEndPr>
        <w:rPr>
          <w:sz w:val="20"/>
        </w:rPr>
      </w:sdtEndPr>
      <w:sdtContent>
        <w:p w:rsidR="00364672" w:rsidRPr="006D5CAE" w:rsidRDefault="00364672" w:rsidP="00364672">
          <w:pPr>
            <w:pStyle w:val="TOCHeading"/>
          </w:pPr>
          <w:r w:rsidRPr="006D5CAE">
            <w:t>Table of Contents</w:t>
          </w:r>
        </w:p>
        <w:p w:rsidR="00232974" w:rsidRDefault="00472F31">
          <w:pPr>
            <w:pStyle w:val="TOC1"/>
            <w:tabs>
              <w:tab w:val="right" w:pos="8630"/>
            </w:tabs>
            <w:rPr>
              <w:rFonts w:eastAsiaTheme="minorEastAsia"/>
              <w:b w:val="0"/>
              <w:caps w:val="0"/>
              <w:noProof/>
              <w:sz w:val="24"/>
              <w:szCs w:val="24"/>
              <w:u w:val="none"/>
            </w:rPr>
          </w:pPr>
          <w:r w:rsidRPr="006D5CAE">
            <w:fldChar w:fldCharType="begin"/>
          </w:r>
          <w:r w:rsidR="00364672" w:rsidRPr="006D5CAE">
            <w:instrText xml:space="preserve"> TOC \o "1-3" \h \z \u </w:instrText>
          </w:r>
          <w:r w:rsidRPr="006D5CAE">
            <w:fldChar w:fldCharType="separate"/>
          </w:r>
          <w:r w:rsidR="00232974" w:rsidRPr="00037640">
            <w:rPr>
              <w:rFonts w:ascii="Baskerville" w:hAnsi="Baskerville"/>
              <w:noProof/>
            </w:rPr>
            <w:t>CHAPTER XII – SPECIAL DUTIES OF CARE: MISCELLANEOUS CATEGORIES</w:t>
          </w:r>
          <w:r w:rsidR="00232974">
            <w:rPr>
              <w:noProof/>
            </w:rPr>
            <w:tab/>
          </w:r>
          <w:r w:rsidR="00232974">
            <w:rPr>
              <w:noProof/>
            </w:rPr>
            <w:fldChar w:fldCharType="begin"/>
          </w:r>
          <w:r w:rsidR="00232974">
            <w:rPr>
              <w:noProof/>
            </w:rPr>
            <w:instrText xml:space="preserve"> PAGEREF _Toc258695602 \h </w:instrText>
          </w:r>
          <w:r w:rsidR="00232974">
            <w:rPr>
              <w:noProof/>
            </w:rPr>
          </w:r>
          <w:r w:rsidR="00232974">
            <w:rPr>
              <w:noProof/>
            </w:rPr>
            <w:fldChar w:fldCharType="separate"/>
          </w:r>
          <w:r w:rsidR="00232974">
            <w:rPr>
              <w:noProof/>
            </w:rPr>
            <w:t>2</w:t>
          </w:r>
          <w:r w:rsidR="00232974">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12.6: A Manufacturer’s and supplier’s duty to warn</w:t>
          </w:r>
          <w:r>
            <w:rPr>
              <w:noProof/>
            </w:rPr>
            <w:tab/>
          </w:r>
          <w:r>
            <w:rPr>
              <w:noProof/>
            </w:rPr>
            <w:fldChar w:fldCharType="begin"/>
          </w:r>
          <w:r>
            <w:rPr>
              <w:noProof/>
            </w:rPr>
            <w:instrText xml:space="preserve"> PAGEREF _Toc258695603 \h </w:instrText>
          </w:r>
          <w:r>
            <w:rPr>
              <w:noProof/>
            </w:rPr>
          </w:r>
          <w:r>
            <w:rPr>
              <w:noProof/>
            </w:rPr>
            <w:fldChar w:fldCharType="separate"/>
          </w:r>
          <w:r>
            <w:rPr>
              <w:noProof/>
            </w:rPr>
            <w:t>2</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12.7: Duty of Care Owed by a Barrister</w:t>
          </w:r>
          <w:r>
            <w:rPr>
              <w:noProof/>
            </w:rPr>
            <w:tab/>
          </w:r>
          <w:r>
            <w:rPr>
              <w:noProof/>
            </w:rPr>
            <w:fldChar w:fldCharType="begin"/>
          </w:r>
          <w:r>
            <w:rPr>
              <w:noProof/>
            </w:rPr>
            <w:instrText xml:space="preserve"> PAGEREF _Toc258695604 \h </w:instrText>
          </w:r>
          <w:r>
            <w:rPr>
              <w:noProof/>
            </w:rPr>
          </w:r>
          <w:r>
            <w:rPr>
              <w:noProof/>
            </w:rPr>
            <w:fldChar w:fldCharType="separate"/>
          </w:r>
          <w:r>
            <w:rPr>
              <w:noProof/>
            </w:rPr>
            <w:t>3</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XIII — SPECIAL DUTIES OF CARE: NEGLIGENT MISREPRESENTATION</w:t>
          </w:r>
          <w:r>
            <w:rPr>
              <w:noProof/>
            </w:rPr>
            <w:tab/>
          </w:r>
          <w:r>
            <w:rPr>
              <w:noProof/>
            </w:rPr>
            <w:fldChar w:fldCharType="begin"/>
          </w:r>
          <w:r>
            <w:rPr>
              <w:noProof/>
            </w:rPr>
            <w:instrText xml:space="preserve"> PAGEREF _Toc258695605 \h </w:instrText>
          </w:r>
          <w:r>
            <w:rPr>
              <w:noProof/>
            </w:rPr>
          </w:r>
          <w:r>
            <w:rPr>
              <w:noProof/>
            </w:rPr>
            <w:fldChar w:fldCharType="separate"/>
          </w:r>
          <w:r>
            <w:rPr>
              <w:noProof/>
            </w:rPr>
            <w:t>3</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13.2: Negligent Misrepresentation Causing Pure Economic Loss</w:t>
          </w:r>
          <w:r>
            <w:rPr>
              <w:noProof/>
            </w:rPr>
            <w:tab/>
          </w:r>
          <w:r>
            <w:rPr>
              <w:noProof/>
            </w:rPr>
            <w:fldChar w:fldCharType="begin"/>
          </w:r>
          <w:r>
            <w:rPr>
              <w:noProof/>
            </w:rPr>
            <w:instrText xml:space="preserve"> PAGEREF _Toc258695606 \h </w:instrText>
          </w:r>
          <w:r>
            <w:rPr>
              <w:noProof/>
            </w:rPr>
          </w:r>
          <w:r>
            <w:rPr>
              <w:noProof/>
            </w:rPr>
            <w:fldChar w:fldCharType="separate"/>
          </w:r>
          <w:r>
            <w:rPr>
              <w:noProof/>
            </w:rPr>
            <w:t>4</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13.3 Negligent Misrepresentation and Contract</w:t>
          </w:r>
          <w:r>
            <w:rPr>
              <w:noProof/>
            </w:rPr>
            <w:tab/>
          </w:r>
          <w:r>
            <w:rPr>
              <w:noProof/>
            </w:rPr>
            <w:fldChar w:fldCharType="begin"/>
          </w:r>
          <w:r>
            <w:rPr>
              <w:noProof/>
            </w:rPr>
            <w:instrText xml:space="preserve"> PAGEREF _Toc258695607 \h </w:instrText>
          </w:r>
          <w:r>
            <w:rPr>
              <w:noProof/>
            </w:rPr>
          </w:r>
          <w:r>
            <w:rPr>
              <w:noProof/>
            </w:rPr>
            <w:fldChar w:fldCharType="separate"/>
          </w:r>
          <w:r>
            <w:rPr>
              <w:noProof/>
            </w:rPr>
            <w:t>4</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XIV — SPECIAL DUTIES OF CARE: RECOVERY OF PURE ECONOMIC LOSS IN NEGLIGENCE</w:t>
          </w:r>
          <w:r>
            <w:rPr>
              <w:noProof/>
            </w:rPr>
            <w:tab/>
          </w:r>
          <w:r>
            <w:rPr>
              <w:noProof/>
            </w:rPr>
            <w:fldChar w:fldCharType="begin"/>
          </w:r>
          <w:r>
            <w:rPr>
              <w:noProof/>
            </w:rPr>
            <w:instrText xml:space="preserve"> PAGEREF _Toc258695608 \h </w:instrText>
          </w:r>
          <w:r>
            <w:rPr>
              <w:noProof/>
            </w:rPr>
          </w:r>
          <w:r>
            <w:rPr>
              <w:noProof/>
            </w:rPr>
            <w:fldChar w:fldCharType="separate"/>
          </w:r>
          <w:r>
            <w:rPr>
              <w:noProof/>
            </w:rPr>
            <w:t>5</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14.2: New Categories of Pure Economic Loss</w:t>
          </w:r>
          <w:r>
            <w:rPr>
              <w:noProof/>
            </w:rPr>
            <w:tab/>
          </w:r>
          <w:r>
            <w:rPr>
              <w:noProof/>
            </w:rPr>
            <w:fldChar w:fldCharType="begin"/>
          </w:r>
          <w:r>
            <w:rPr>
              <w:noProof/>
            </w:rPr>
            <w:instrText xml:space="preserve"> PAGEREF _Toc258695609 \h </w:instrText>
          </w:r>
          <w:r>
            <w:rPr>
              <w:noProof/>
            </w:rPr>
          </w:r>
          <w:r>
            <w:rPr>
              <w:noProof/>
            </w:rPr>
            <w:fldChar w:fldCharType="separate"/>
          </w:r>
          <w:r>
            <w:rPr>
              <w:noProof/>
            </w:rPr>
            <w:t>5</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14.3: Negligent Performance of a Service</w:t>
          </w:r>
          <w:r>
            <w:rPr>
              <w:noProof/>
            </w:rPr>
            <w:tab/>
          </w:r>
          <w:r>
            <w:rPr>
              <w:noProof/>
            </w:rPr>
            <w:fldChar w:fldCharType="begin"/>
          </w:r>
          <w:r>
            <w:rPr>
              <w:noProof/>
            </w:rPr>
            <w:instrText xml:space="preserve"> PAGEREF _Toc258695610 \h </w:instrText>
          </w:r>
          <w:r>
            <w:rPr>
              <w:noProof/>
            </w:rPr>
          </w:r>
          <w:r>
            <w:rPr>
              <w:noProof/>
            </w:rPr>
            <w:fldChar w:fldCharType="separate"/>
          </w:r>
          <w:r>
            <w:rPr>
              <w:noProof/>
            </w:rPr>
            <w:t>5</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14.4: Negligent supply of shoddy goods or structures</w:t>
          </w:r>
          <w:r>
            <w:rPr>
              <w:noProof/>
            </w:rPr>
            <w:tab/>
          </w:r>
          <w:r>
            <w:rPr>
              <w:noProof/>
            </w:rPr>
            <w:fldChar w:fldCharType="begin"/>
          </w:r>
          <w:r>
            <w:rPr>
              <w:noProof/>
            </w:rPr>
            <w:instrText xml:space="preserve"> PAGEREF _Toc258695611 \h </w:instrText>
          </w:r>
          <w:r>
            <w:rPr>
              <w:noProof/>
            </w:rPr>
          </w:r>
          <w:r>
            <w:rPr>
              <w:noProof/>
            </w:rPr>
            <w:fldChar w:fldCharType="separate"/>
          </w:r>
          <w:r>
            <w:rPr>
              <w:noProof/>
            </w:rPr>
            <w:t>6</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14.5: Relational Economic Loss</w:t>
          </w:r>
          <w:r>
            <w:rPr>
              <w:noProof/>
            </w:rPr>
            <w:tab/>
          </w:r>
          <w:r>
            <w:rPr>
              <w:noProof/>
            </w:rPr>
            <w:fldChar w:fldCharType="begin"/>
          </w:r>
          <w:r>
            <w:rPr>
              <w:noProof/>
            </w:rPr>
            <w:instrText xml:space="preserve"> PAGEREF _Toc258695612 \h </w:instrText>
          </w:r>
          <w:r>
            <w:rPr>
              <w:noProof/>
            </w:rPr>
          </w:r>
          <w:r>
            <w:rPr>
              <w:noProof/>
            </w:rPr>
            <w:fldChar w:fldCharType="separate"/>
          </w:r>
          <w:r>
            <w:rPr>
              <w:noProof/>
            </w:rPr>
            <w:t>6</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XV — THE STANDARD OF CARE</w:t>
          </w:r>
          <w:r>
            <w:rPr>
              <w:noProof/>
            </w:rPr>
            <w:tab/>
          </w:r>
          <w:r>
            <w:rPr>
              <w:noProof/>
            </w:rPr>
            <w:fldChar w:fldCharType="begin"/>
          </w:r>
          <w:r>
            <w:rPr>
              <w:noProof/>
            </w:rPr>
            <w:instrText xml:space="preserve"> PAGEREF _Toc258695613 \h </w:instrText>
          </w:r>
          <w:r>
            <w:rPr>
              <w:noProof/>
            </w:rPr>
          </w:r>
          <w:r>
            <w:rPr>
              <w:noProof/>
            </w:rPr>
            <w:fldChar w:fldCharType="separate"/>
          </w:r>
          <w:r>
            <w:rPr>
              <w:noProof/>
            </w:rPr>
            <w:t>6</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15.2: The common law standard of care: the reasonable person test</w:t>
          </w:r>
          <w:r>
            <w:rPr>
              <w:noProof/>
            </w:rPr>
            <w:tab/>
          </w:r>
          <w:r>
            <w:rPr>
              <w:noProof/>
            </w:rPr>
            <w:fldChar w:fldCharType="begin"/>
          </w:r>
          <w:r>
            <w:rPr>
              <w:noProof/>
            </w:rPr>
            <w:instrText xml:space="preserve"> PAGEREF _Toc258695614 \h </w:instrText>
          </w:r>
          <w:r>
            <w:rPr>
              <w:noProof/>
            </w:rPr>
          </w:r>
          <w:r>
            <w:rPr>
              <w:noProof/>
            </w:rPr>
            <w:fldChar w:fldCharType="separate"/>
          </w:r>
          <w:r>
            <w:rPr>
              <w:noProof/>
            </w:rPr>
            <w:t>6</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15.3: Factors considered in determining breach of the standard of care</w:t>
          </w:r>
          <w:r>
            <w:rPr>
              <w:noProof/>
            </w:rPr>
            <w:tab/>
          </w:r>
          <w:r>
            <w:rPr>
              <w:noProof/>
            </w:rPr>
            <w:fldChar w:fldCharType="begin"/>
          </w:r>
          <w:r>
            <w:rPr>
              <w:noProof/>
            </w:rPr>
            <w:instrText xml:space="preserve"> PAGEREF _Toc258695615 \h </w:instrText>
          </w:r>
          <w:r>
            <w:rPr>
              <w:noProof/>
            </w:rPr>
          </w:r>
          <w:r>
            <w:rPr>
              <w:noProof/>
            </w:rPr>
            <w:fldChar w:fldCharType="separate"/>
          </w:r>
          <w:r>
            <w:rPr>
              <w:noProof/>
            </w:rPr>
            <w:t>7</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XVI — CAUSATION</w:t>
          </w:r>
          <w:r>
            <w:rPr>
              <w:noProof/>
            </w:rPr>
            <w:tab/>
          </w:r>
          <w:r>
            <w:rPr>
              <w:noProof/>
            </w:rPr>
            <w:fldChar w:fldCharType="begin"/>
          </w:r>
          <w:r>
            <w:rPr>
              <w:noProof/>
            </w:rPr>
            <w:instrText xml:space="preserve"> PAGEREF _Toc258695616 \h </w:instrText>
          </w:r>
          <w:r>
            <w:rPr>
              <w:noProof/>
            </w:rPr>
          </w:r>
          <w:r>
            <w:rPr>
              <w:noProof/>
            </w:rPr>
            <w:fldChar w:fldCharType="separate"/>
          </w:r>
          <w:r>
            <w:rPr>
              <w:noProof/>
            </w:rPr>
            <w:t>8</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16.2: The But-for Test</w:t>
          </w:r>
          <w:r>
            <w:rPr>
              <w:noProof/>
            </w:rPr>
            <w:tab/>
          </w:r>
          <w:r>
            <w:rPr>
              <w:noProof/>
            </w:rPr>
            <w:fldChar w:fldCharType="begin"/>
          </w:r>
          <w:r>
            <w:rPr>
              <w:noProof/>
            </w:rPr>
            <w:instrText xml:space="preserve"> PAGEREF _Toc258695617 \h </w:instrText>
          </w:r>
          <w:r>
            <w:rPr>
              <w:noProof/>
            </w:rPr>
          </w:r>
          <w:r>
            <w:rPr>
              <w:noProof/>
            </w:rPr>
            <w:fldChar w:fldCharType="separate"/>
          </w:r>
          <w:r>
            <w:rPr>
              <w:noProof/>
            </w:rPr>
            <w:t>9</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16.5: Multiple Causes and Probabilities</w:t>
          </w:r>
          <w:r>
            <w:rPr>
              <w:noProof/>
            </w:rPr>
            <w:tab/>
          </w:r>
          <w:r>
            <w:rPr>
              <w:noProof/>
            </w:rPr>
            <w:fldChar w:fldCharType="begin"/>
          </w:r>
          <w:r>
            <w:rPr>
              <w:noProof/>
            </w:rPr>
            <w:instrText xml:space="preserve"> PAGEREF _Toc258695618 \h </w:instrText>
          </w:r>
          <w:r>
            <w:rPr>
              <w:noProof/>
            </w:rPr>
          </w:r>
          <w:r>
            <w:rPr>
              <w:noProof/>
            </w:rPr>
            <w:fldChar w:fldCharType="separate"/>
          </w:r>
          <w:r>
            <w:rPr>
              <w:noProof/>
            </w:rPr>
            <w:t>9</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16.6: Issues in assessing the plaintiff’s loss</w:t>
          </w:r>
          <w:r>
            <w:rPr>
              <w:noProof/>
            </w:rPr>
            <w:tab/>
          </w:r>
          <w:r>
            <w:rPr>
              <w:noProof/>
            </w:rPr>
            <w:fldChar w:fldCharType="begin"/>
          </w:r>
          <w:r>
            <w:rPr>
              <w:noProof/>
            </w:rPr>
            <w:instrText xml:space="preserve"> PAGEREF _Toc258695619 \h </w:instrText>
          </w:r>
          <w:r>
            <w:rPr>
              <w:noProof/>
            </w:rPr>
          </w:r>
          <w:r>
            <w:rPr>
              <w:noProof/>
            </w:rPr>
            <w:fldChar w:fldCharType="separate"/>
          </w:r>
          <w:r>
            <w:rPr>
              <w:noProof/>
            </w:rPr>
            <w:t>10</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 xml:space="preserve">CHAPTER XVII — REMOTENESS </w:t>
          </w:r>
          <w:r w:rsidRPr="00037640">
            <w:rPr>
              <w:noProof/>
              <w:u w:val="none"/>
            </w:rPr>
            <w:t xml:space="preserve"> </w:t>
          </w:r>
          <w:r w:rsidRPr="00037640">
            <w:rPr>
              <w:rFonts w:ascii="Baskerville Old Face" w:hAnsi="Baskerville Old Face"/>
              <w:noProof/>
            </w:rPr>
            <w:t>17.1: Remoteness and Causation, Forseeability in Negligence</w:t>
          </w:r>
          <w:r>
            <w:rPr>
              <w:noProof/>
            </w:rPr>
            <w:tab/>
          </w:r>
          <w:r>
            <w:rPr>
              <w:noProof/>
            </w:rPr>
            <w:fldChar w:fldCharType="begin"/>
          </w:r>
          <w:r>
            <w:rPr>
              <w:noProof/>
            </w:rPr>
            <w:instrText xml:space="preserve"> PAGEREF _Toc258695620 \h </w:instrText>
          </w:r>
          <w:r>
            <w:rPr>
              <w:noProof/>
            </w:rPr>
          </w:r>
          <w:r>
            <w:rPr>
              <w:noProof/>
            </w:rPr>
            <w:fldChar w:fldCharType="separate"/>
          </w:r>
          <w:r>
            <w:rPr>
              <w:noProof/>
            </w:rPr>
            <w:t>11</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Old Face" w:hAnsi="Baskerville Old Face"/>
              <w:noProof/>
            </w:rPr>
            <w:t>17.2: Directness v Forseeability</w:t>
          </w:r>
          <w:r>
            <w:rPr>
              <w:noProof/>
            </w:rPr>
            <w:tab/>
          </w:r>
          <w:r>
            <w:rPr>
              <w:noProof/>
            </w:rPr>
            <w:fldChar w:fldCharType="begin"/>
          </w:r>
          <w:r>
            <w:rPr>
              <w:noProof/>
            </w:rPr>
            <w:instrText xml:space="preserve"> PAGEREF _Toc258695621 \h </w:instrText>
          </w:r>
          <w:r>
            <w:rPr>
              <w:noProof/>
            </w:rPr>
          </w:r>
          <w:r>
            <w:rPr>
              <w:noProof/>
            </w:rPr>
            <w:fldChar w:fldCharType="separate"/>
          </w:r>
          <w:r>
            <w:rPr>
              <w:noProof/>
            </w:rPr>
            <w:t>11</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Old Face" w:hAnsi="Baskerville Old Face"/>
              <w:noProof/>
            </w:rPr>
            <w:t>17.3: Modifications of the Foreseeablity Test</w:t>
          </w:r>
          <w:r>
            <w:rPr>
              <w:noProof/>
            </w:rPr>
            <w:tab/>
          </w:r>
          <w:r>
            <w:rPr>
              <w:noProof/>
            </w:rPr>
            <w:fldChar w:fldCharType="begin"/>
          </w:r>
          <w:r>
            <w:rPr>
              <w:noProof/>
            </w:rPr>
            <w:instrText xml:space="preserve"> PAGEREF _Toc258695622 \h </w:instrText>
          </w:r>
          <w:r>
            <w:rPr>
              <w:noProof/>
            </w:rPr>
          </w:r>
          <w:r>
            <w:rPr>
              <w:noProof/>
            </w:rPr>
            <w:fldChar w:fldCharType="separate"/>
          </w:r>
          <w:r>
            <w:rPr>
              <w:noProof/>
            </w:rPr>
            <w:t>11</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Old Face" w:hAnsi="Baskerville Old Face"/>
              <w:noProof/>
            </w:rPr>
            <w:t>17.4: Intervening Causes</w:t>
          </w:r>
          <w:r>
            <w:rPr>
              <w:noProof/>
            </w:rPr>
            <w:tab/>
          </w:r>
          <w:r>
            <w:rPr>
              <w:noProof/>
            </w:rPr>
            <w:fldChar w:fldCharType="begin"/>
          </w:r>
          <w:r>
            <w:rPr>
              <w:noProof/>
            </w:rPr>
            <w:instrText xml:space="preserve"> PAGEREF _Toc258695623 \h </w:instrText>
          </w:r>
          <w:r>
            <w:rPr>
              <w:noProof/>
            </w:rPr>
          </w:r>
          <w:r>
            <w:rPr>
              <w:noProof/>
            </w:rPr>
            <w:fldChar w:fldCharType="separate"/>
          </w:r>
          <w:r>
            <w:rPr>
              <w:noProof/>
            </w:rPr>
            <w:t>12</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XIX – DEFENCES TO NEGLIGENCE</w:t>
          </w:r>
          <w:r>
            <w:rPr>
              <w:noProof/>
            </w:rPr>
            <w:tab/>
          </w:r>
          <w:r>
            <w:rPr>
              <w:noProof/>
            </w:rPr>
            <w:fldChar w:fldCharType="begin"/>
          </w:r>
          <w:r>
            <w:rPr>
              <w:noProof/>
            </w:rPr>
            <w:instrText xml:space="preserve"> PAGEREF _Toc258695624 \h </w:instrText>
          </w:r>
          <w:r>
            <w:rPr>
              <w:noProof/>
            </w:rPr>
          </w:r>
          <w:r>
            <w:rPr>
              <w:noProof/>
            </w:rPr>
            <w:fldChar w:fldCharType="separate"/>
          </w:r>
          <w:r>
            <w:rPr>
              <w:noProof/>
            </w:rPr>
            <w:t>13</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19.4: Participation in Criminal or Immoral Act</w:t>
          </w:r>
          <w:r>
            <w:rPr>
              <w:noProof/>
            </w:rPr>
            <w:tab/>
          </w:r>
          <w:r>
            <w:rPr>
              <w:noProof/>
            </w:rPr>
            <w:fldChar w:fldCharType="begin"/>
          </w:r>
          <w:r>
            <w:rPr>
              <w:noProof/>
            </w:rPr>
            <w:instrText xml:space="preserve"> PAGEREF _Toc258695625 \h </w:instrText>
          </w:r>
          <w:r>
            <w:rPr>
              <w:noProof/>
            </w:rPr>
          </w:r>
          <w:r>
            <w:rPr>
              <w:noProof/>
            </w:rPr>
            <w:fldChar w:fldCharType="separate"/>
          </w:r>
          <w:r>
            <w:rPr>
              <w:noProof/>
            </w:rPr>
            <w:t>13</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XX — PROOF OF NEGLIGENCE</w:t>
          </w:r>
          <w:r>
            <w:rPr>
              <w:noProof/>
            </w:rPr>
            <w:tab/>
          </w:r>
          <w:r>
            <w:rPr>
              <w:noProof/>
            </w:rPr>
            <w:fldChar w:fldCharType="begin"/>
          </w:r>
          <w:r>
            <w:rPr>
              <w:noProof/>
            </w:rPr>
            <w:instrText xml:space="preserve"> PAGEREF _Toc258695626 \h </w:instrText>
          </w:r>
          <w:r>
            <w:rPr>
              <w:noProof/>
            </w:rPr>
          </w:r>
          <w:r>
            <w:rPr>
              <w:noProof/>
            </w:rPr>
            <w:fldChar w:fldCharType="separate"/>
          </w:r>
          <w:r>
            <w:rPr>
              <w:noProof/>
            </w:rPr>
            <w:t>13</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20.2: Exceptions to the general principles governing burden of proof.</w:t>
          </w:r>
          <w:r>
            <w:rPr>
              <w:noProof/>
            </w:rPr>
            <w:tab/>
          </w:r>
          <w:r>
            <w:rPr>
              <w:noProof/>
            </w:rPr>
            <w:fldChar w:fldCharType="begin"/>
          </w:r>
          <w:r>
            <w:rPr>
              <w:noProof/>
            </w:rPr>
            <w:instrText xml:space="preserve"> PAGEREF _Toc258695627 \h </w:instrText>
          </w:r>
          <w:r>
            <w:rPr>
              <w:noProof/>
            </w:rPr>
          </w:r>
          <w:r>
            <w:rPr>
              <w:noProof/>
            </w:rPr>
            <w:fldChar w:fldCharType="separate"/>
          </w:r>
          <w:r>
            <w:rPr>
              <w:noProof/>
            </w:rPr>
            <w:t>13</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20.3: Res ipsa loquitur</w:t>
          </w:r>
          <w:r>
            <w:rPr>
              <w:noProof/>
            </w:rPr>
            <w:tab/>
          </w:r>
          <w:r>
            <w:rPr>
              <w:noProof/>
            </w:rPr>
            <w:fldChar w:fldCharType="begin"/>
          </w:r>
          <w:r>
            <w:rPr>
              <w:noProof/>
            </w:rPr>
            <w:instrText xml:space="preserve"> PAGEREF _Toc258695628 \h </w:instrText>
          </w:r>
          <w:r>
            <w:rPr>
              <w:noProof/>
            </w:rPr>
          </w:r>
          <w:r>
            <w:rPr>
              <w:noProof/>
            </w:rPr>
            <w:fldChar w:fldCharType="separate"/>
          </w:r>
          <w:r>
            <w:rPr>
              <w:noProof/>
            </w:rPr>
            <w:t>14</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XXI – THE TORT LIABILITY OF PUBLIC AUTHORITIES</w:t>
          </w:r>
          <w:r>
            <w:rPr>
              <w:noProof/>
            </w:rPr>
            <w:tab/>
          </w:r>
          <w:r>
            <w:rPr>
              <w:noProof/>
            </w:rPr>
            <w:fldChar w:fldCharType="begin"/>
          </w:r>
          <w:r>
            <w:rPr>
              <w:noProof/>
            </w:rPr>
            <w:instrText xml:space="preserve"> PAGEREF _Toc258695629 \h </w:instrText>
          </w:r>
          <w:r>
            <w:rPr>
              <w:noProof/>
            </w:rPr>
          </w:r>
          <w:r>
            <w:rPr>
              <w:noProof/>
            </w:rPr>
            <w:fldChar w:fldCharType="separate"/>
          </w:r>
          <w:r>
            <w:rPr>
              <w:noProof/>
            </w:rPr>
            <w:t>14</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21.3: The negligence liability of public authorities</w:t>
          </w:r>
          <w:r>
            <w:rPr>
              <w:noProof/>
            </w:rPr>
            <w:tab/>
          </w:r>
          <w:r>
            <w:rPr>
              <w:noProof/>
            </w:rPr>
            <w:fldChar w:fldCharType="begin"/>
          </w:r>
          <w:r>
            <w:rPr>
              <w:noProof/>
            </w:rPr>
            <w:instrText xml:space="preserve"> PAGEREF _Toc258695630 \h </w:instrText>
          </w:r>
          <w:r>
            <w:rPr>
              <w:noProof/>
            </w:rPr>
          </w:r>
          <w:r>
            <w:rPr>
              <w:noProof/>
            </w:rPr>
            <w:fldChar w:fldCharType="separate"/>
          </w:r>
          <w:r>
            <w:rPr>
              <w:noProof/>
            </w:rPr>
            <w:t>14</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21.4: Misfeasance in Public Office</w:t>
          </w:r>
          <w:r>
            <w:rPr>
              <w:noProof/>
            </w:rPr>
            <w:tab/>
          </w:r>
          <w:r>
            <w:rPr>
              <w:noProof/>
            </w:rPr>
            <w:fldChar w:fldCharType="begin"/>
          </w:r>
          <w:r>
            <w:rPr>
              <w:noProof/>
            </w:rPr>
            <w:instrText xml:space="preserve"> PAGEREF _Toc258695631 \h </w:instrText>
          </w:r>
          <w:r>
            <w:rPr>
              <w:noProof/>
            </w:rPr>
          </w:r>
          <w:r>
            <w:rPr>
              <w:noProof/>
            </w:rPr>
            <w:fldChar w:fldCharType="separate"/>
          </w:r>
          <w:r>
            <w:rPr>
              <w:noProof/>
            </w:rPr>
            <w:t>14</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XXII — STATUTORY PROVISIONS AND TORT LIABILITY</w:t>
          </w:r>
          <w:r>
            <w:rPr>
              <w:noProof/>
            </w:rPr>
            <w:tab/>
          </w:r>
          <w:r>
            <w:rPr>
              <w:noProof/>
            </w:rPr>
            <w:fldChar w:fldCharType="begin"/>
          </w:r>
          <w:r>
            <w:rPr>
              <w:noProof/>
            </w:rPr>
            <w:instrText xml:space="preserve"> PAGEREF _Toc258695632 \h </w:instrText>
          </w:r>
          <w:r>
            <w:rPr>
              <w:noProof/>
            </w:rPr>
          </w:r>
          <w:r>
            <w:rPr>
              <w:noProof/>
            </w:rPr>
            <w:fldChar w:fldCharType="separate"/>
          </w:r>
          <w:r>
            <w:rPr>
              <w:noProof/>
            </w:rPr>
            <w:t>15</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XXIV — NUISANCE</w:t>
          </w:r>
          <w:r>
            <w:rPr>
              <w:noProof/>
            </w:rPr>
            <w:tab/>
          </w:r>
          <w:r>
            <w:rPr>
              <w:noProof/>
            </w:rPr>
            <w:fldChar w:fldCharType="begin"/>
          </w:r>
          <w:r>
            <w:rPr>
              <w:noProof/>
            </w:rPr>
            <w:instrText xml:space="preserve"> PAGEREF _Toc258695633 \h </w:instrText>
          </w:r>
          <w:r>
            <w:rPr>
              <w:noProof/>
            </w:rPr>
          </w:r>
          <w:r>
            <w:rPr>
              <w:noProof/>
            </w:rPr>
            <w:fldChar w:fldCharType="separate"/>
          </w:r>
          <w:r>
            <w:rPr>
              <w:noProof/>
            </w:rPr>
            <w:t>15</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24.2: Private Nuisance</w:t>
          </w:r>
          <w:r>
            <w:rPr>
              <w:noProof/>
            </w:rPr>
            <w:tab/>
          </w:r>
          <w:r>
            <w:rPr>
              <w:noProof/>
            </w:rPr>
            <w:fldChar w:fldCharType="begin"/>
          </w:r>
          <w:r>
            <w:rPr>
              <w:noProof/>
            </w:rPr>
            <w:instrText xml:space="preserve"> PAGEREF _Toc258695634 \h </w:instrText>
          </w:r>
          <w:r>
            <w:rPr>
              <w:noProof/>
            </w:rPr>
          </w:r>
          <w:r>
            <w:rPr>
              <w:noProof/>
            </w:rPr>
            <w:fldChar w:fldCharType="separate"/>
          </w:r>
          <w:r>
            <w:rPr>
              <w:noProof/>
            </w:rPr>
            <w:t>15</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25 — STRICT AND VICARIOUS LIABILITY</w:t>
          </w:r>
          <w:r>
            <w:rPr>
              <w:noProof/>
            </w:rPr>
            <w:tab/>
          </w:r>
          <w:r>
            <w:rPr>
              <w:noProof/>
            </w:rPr>
            <w:fldChar w:fldCharType="begin"/>
          </w:r>
          <w:r>
            <w:rPr>
              <w:noProof/>
            </w:rPr>
            <w:instrText xml:space="preserve"> PAGEREF _Toc258695635 \h </w:instrText>
          </w:r>
          <w:r>
            <w:rPr>
              <w:noProof/>
            </w:rPr>
          </w:r>
          <w:r>
            <w:rPr>
              <w:noProof/>
            </w:rPr>
            <w:fldChar w:fldCharType="separate"/>
          </w:r>
          <w:r>
            <w:rPr>
              <w:noProof/>
            </w:rPr>
            <w:t>17</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24.2: Strict Liability for escape of dangerous substances: Rylands v Fletcher tort</w:t>
          </w:r>
          <w:r>
            <w:rPr>
              <w:noProof/>
            </w:rPr>
            <w:tab/>
          </w:r>
          <w:r>
            <w:rPr>
              <w:noProof/>
            </w:rPr>
            <w:fldChar w:fldCharType="begin"/>
          </w:r>
          <w:r>
            <w:rPr>
              <w:noProof/>
            </w:rPr>
            <w:instrText xml:space="preserve"> PAGEREF _Toc258695636 \h </w:instrText>
          </w:r>
          <w:r>
            <w:rPr>
              <w:noProof/>
            </w:rPr>
          </w:r>
          <w:r>
            <w:rPr>
              <w:noProof/>
            </w:rPr>
            <w:fldChar w:fldCharType="separate"/>
          </w:r>
          <w:r>
            <w:rPr>
              <w:noProof/>
            </w:rPr>
            <w:t>17</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25.5 Vicarious Liability</w:t>
          </w:r>
          <w:r>
            <w:rPr>
              <w:noProof/>
            </w:rPr>
            <w:tab/>
          </w:r>
          <w:r>
            <w:rPr>
              <w:noProof/>
            </w:rPr>
            <w:fldChar w:fldCharType="begin"/>
          </w:r>
          <w:r>
            <w:rPr>
              <w:noProof/>
            </w:rPr>
            <w:instrText xml:space="preserve"> PAGEREF _Toc258695637 \h </w:instrText>
          </w:r>
          <w:r>
            <w:rPr>
              <w:noProof/>
            </w:rPr>
          </w:r>
          <w:r>
            <w:rPr>
              <w:noProof/>
            </w:rPr>
            <w:fldChar w:fldCharType="separate"/>
          </w:r>
          <w:r>
            <w:rPr>
              <w:noProof/>
            </w:rPr>
            <w:t>18</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CHAPTER XXVII — DEFAMATION</w:t>
          </w:r>
          <w:r>
            <w:rPr>
              <w:noProof/>
            </w:rPr>
            <w:tab/>
          </w:r>
          <w:r>
            <w:rPr>
              <w:noProof/>
            </w:rPr>
            <w:fldChar w:fldCharType="begin"/>
          </w:r>
          <w:r>
            <w:rPr>
              <w:noProof/>
            </w:rPr>
            <w:instrText xml:space="preserve"> PAGEREF _Toc258695638 \h </w:instrText>
          </w:r>
          <w:r>
            <w:rPr>
              <w:noProof/>
            </w:rPr>
          </w:r>
          <w:r>
            <w:rPr>
              <w:noProof/>
            </w:rPr>
            <w:fldChar w:fldCharType="separate"/>
          </w:r>
          <w:r>
            <w:rPr>
              <w:noProof/>
            </w:rPr>
            <w:t>19</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27.2: Elements of a defamation action.</w:t>
          </w:r>
          <w:r>
            <w:rPr>
              <w:noProof/>
            </w:rPr>
            <w:tab/>
          </w:r>
          <w:r>
            <w:rPr>
              <w:noProof/>
            </w:rPr>
            <w:fldChar w:fldCharType="begin"/>
          </w:r>
          <w:r>
            <w:rPr>
              <w:noProof/>
            </w:rPr>
            <w:instrText xml:space="preserve"> PAGEREF _Toc258695639 \h </w:instrText>
          </w:r>
          <w:r>
            <w:rPr>
              <w:noProof/>
            </w:rPr>
          </w:r>
          <w:r>
            <w:rPr>
              <w:noProof/>
            </w:rPr>
            <w:fldChar w:fldCharType="separate"/>
          </w:r>
          <w:r>
            <w:rPr>
              <w:noProof/>
            </w:rPr>
            <w:t>19</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27.3: Defences to Defamation</w:t>
          </w:r>
          <w:r>
            <w:rPr>
              <w:noProof/>
            </w:rPr>
            <w:tab/>
          </w:r>
          <w:r>
            <w:rPr>
              <w:noProof/>
            </w:rPr>
            <w:fldChar w:fldCharType="begin"/>
          </w:r>
          <w:r>
            <w:rPr>
              <w:noProof/>
            </w:rPr>
            <w:instrText xml:space="preserve"> PAGEREF _Toc258695640 \h </w:instrText>
          </w:r>
          <w:r>
            <w:rPr>
              <w:noProof/>
            </w:rPr>
          </w:r>
          <w:r>
            <w:rPr>
              <w:noProof/>
            </w:rPr>
            <w:fldChar w:fldCharType="separate"/>
          </w:r>
          <w:r>
            <w:rPr>
              <w:noProof/>
            </w:rPr>
            <w:t>19</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27.4: Remedies</w:t>
          </w:r>
          <w:r>
            <w:rPr>
              <w:noProof/>
            </w:rPr>
            <w:tab/>
          </w:r>
          <w:r>
            <w:rPr>
              <w:noProof/>
            </w:rPr>
            <w:fldChar w:fldCharType="begin"/>
          </w:r>
          <w:r>
            <w:rPr>
              <w:noProof/>
            </w:rPr>
            <w:instrText xml:space="preserve"> PAGEREF _Toc258695641 \h </w:instrText>
          </w:r>
          <w:r>
            <w:rPr>
              <w:noProof/>
            </w:rPr>
          </w:r>
          <w:r>
            <w:rPr>
              <w:noProof/>
            </w:rPr>
            <w:fldChar w:fldCharType="separate"/>
          </w:r>
          <w:r>
            <w:rPr>
              <w:noProof/>
            </w:rPr>
            <w:t>21</w:t>
          </w:r>
          <w:r>
            <w:rPr>
              <w:noProof/>
            </w:rPr>
            <w:fldChar w:fldCharType="end"/>
          </w:r>
        </w:p>
        <w:p w:rsidR="00232974" w:rsidRDefault="00232974">
          <w:pPr>
            <w:pStyle w:val="TOC1"/>
            <w:tabs>
              <w:tab w:val="right" w:pos="8630"/>
            </w:tabs>
            <w:rPr>
              <w:rFonts w:eastAsiaTheme="minorEastAsia"/>
              <w:b w:val="0"/>
              <w:caps w:val="0"/>
              <w:noProof/>
              <w:sz w:val="24"/>
              <w:szCs w:val="24"/>
              <w:u w:val="none"/>
            </w:rPr>
          </w:pPr>
          <w:r w:rsidRPr="00037640">
            <w:rPr>
              <w:rFonts w:ascii="Baskerville" w:hAnsi="Baskerville"/>
              <w:noProof/>
            </w:rPr>
            <w:t>STATUTES AND MISCELLANEOUS</w:t>
          </w:r>
          <w:r>
            <w:rPr>
              <w:noProof/>
            </w:rPr>
            <w:tab/>
          </w:r>
          <w:r>
            <w:rPr>
              <w:noProof/>
            </w:rPr>
            <w:fldChar w:fldCharType="begin"/>
          </w:r>
          <w:r>
            <w:rPr>
              <w:noProof/>
            </w:rPr>
            <w:instrText xml:space="preserve"> PAGEREF _Toc258695642 \h </w:instrText>
          </w:r>
          <w:r>
            <w:rPr>
              <w:noProof/>
            </w:rPr>
          </w:r>
          <w:r>
            <w:rPr>
              <w:noProof/>
            </w:rPr>
            <w:fldChar w:fldCharType="separate"/>
          </w:r>
          <w:r>
            <w:rPr>
              <w:noProof/>
            </w:rPr>
            <w:t>21</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Class Action Law Suits – Class Proceedings Act</w:t>
          </w:r>
          <w:r>
            <w:rPr>
              <w:noProof/>
            </w:rPr>
            <w:tab/>
          </w:r>
          <w:r>
            <w:rPr>
              <w:noProof/>
            </w:rPr>
            <w:fldChar w:fldCharType="begin"/>
          </w:r>
          <w:r>
            <w:rPr>
              <w:noProof/>
            </w:rPr>
            <w:instrText xml:space="preserve"> PAGEREF _Toc258695643 \h </w:instrText>
          </w:r>
          <w:r>
            <w:rPr>
              <w:noProof/>
            </w:rPr>
          </w:r>
          <w:r>
            <w:rPr>
              <w:noProof/>
            </w:rPr>
            <w:fldChar w:fldCharType="separate"/>
          </w:r>
          <w:r>
            <w:rPr>
              <w:noProof/>
            </w:rPr>
            <w:t>21</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Good Samaritan Act – Emergency Medical Assistance</w:t>
          </w:r>
          <w:r>
            <w:rPr>
              <w:noProof/>
            </w:rPr>
            <w:tab/>
          </w:r>
          <w:r>
            <w:rPr>
              <w:noProof/>
            </w:rPr>
            <w:fldChar w:fldCharType="begin"/>
          </w:r>
          <w:r>
            <w:rPr>
              <w:noProof/>
            </w:rPr>
            <w:instrText xml:space="preserve"> PAGEREF _Toc258695644 \h </w:instrText>
          </w:r>
          <w:r>
            <w:rPr>
              <w:noProof/>
            </w:rPr>
          </w:r>
          <w:r>
            <w:rPr>
              <w:noProof/>
            </w:rPr>
            <w:fldChar w:fldCharType="separate"/>
          </w:r>
          <w:r>
            <w:rPr>
              <w:noProof/>
            </w:rPr>
            <w:t>22</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Occupiers Liability Act – General duty of Care</w:t>
          </w:r>
          <w:r>
            <w:rPr>
              <w:noProof/>
            </w:rPr>
            <w:tab/>
          </w:r>
          <w:r>
            <w:rPr>
              <w:noProof/>
            </w:rPr>
            <w:fldChar w:fldCharType="begin"/>
          </w:r>
          <w:r>
            <w:rPr>
              <w:noProof/>
            </w:rPr>
            <w:instrText xml:space="preserve"> PAGEREF _Toc258695645 \h </w:instrText>
          </w:r>
          <w:r>
            <w:rPr>
              <w:noProof/>
            </w:rPr>
          </w:r>
          <w:r>
            <w:rPr>
              <w:noProof/>
            </w:rPr>
            <w:fldChar w:fldCharType="separate"/>
          </w:r>
          <w:r>
            <w:rPr>
              <w:noProof/>
            </w:rPr>
            <w:t>22</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Insurance (Vehicle) Act – “Structured Judgment”</w:t>
          </w:r>
          <w:r>
            <w:rPr>
              <w:noProof/>
            </w:rPr>
            <w:tab/>
          </w:r>
          <w:r>
            <w:rPr>
              <w:noProof/>
            </w:rPr>
            <w:fldChar w:fldCharType="begin"/>
          </w:r>
          <w:r>
            <w:rPr>
              <w:noProof/>
            </w:rPr>
            <w:instrText xml:space="preserve"> PAGEREF _Toc258695646 \h </w:instrText>
          </w:r>
          <w:r>
            <w:rPr>
              <w:noProof/>
            </w:rPr>
          </w:r>
          <w:r>
            <w:rPr>
              <w:noProof/>
            </w:rPr>
            <w:fldChar w:fldCharType="separate"/>
          </w:r>
          <w:r>
            <w:rPr>
              <w:noProof/>
            </w:rPr>
            <w:t>22</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Estate Administrations Act and Negligence Act– Claims against the estate of a deceased wrongdoer</w:t>
          </w:r>
          <w:r>
            <w:rPr>
              <w:noProof/>
            </w:rPr>
            <w:tab/>
          </w:r>
          <w:r>
            <w:rPr>
              <w:noProof/>
            </w:rPr>
            <w:fldChar w:fldCharType="begin"/>
          </w:r>
          <w:r>
            <w:rPr>
              <w:noProof/>
            </w:rPr>
            <w:instrText xml:space="preserve"> PAGEREF _Toc258695647 \h </w:instrText>
          </w:r>
          <w:r>
            <w:rPr>
              <w:noProof/>
            </w:rPr>
          </w:r>
          <w:r>
            <w:rPr>
              <w:noProof/>
            </w:rPr>
            <w:fldChar w:fldCharType="separate"/>
          </w:r>
          <w:r>
            <w:rPr>
              <w:noProof/>
            </w:rPr>
            <w:t>22</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Family Compensation Act (BC) and Family Law Act – Claims by family of decased against the wrongdoer who caused death for personal loss</w:t>
          </w:r>
          <w:r>
            <w:rPr>
              <w:noProof/>
            </w:rPr>
            <w:tab/>
          </w:r>
          <w:r>
            <w:rPr>
              <w:noProof/>
            </w:rPr>
            <w:fldChar w:fldCharType="begin"/>
          </w:r>
          <w:r>
            <w:rPr>
              <w:noProof/>
            </w:rPr>
            <w:instrText xml:space="preserve"> PAGEREF _Toc258695648 \h </w:instrText>
          </w:r>
          <w:r>
            <w:rPr>
              <w:noProof/>
            </w:rPr>
          </w:r>
          <w:r>
            <w:rPr>
              <w:noProof/>
            </w:rPr>
            <w:fldChar w:fldCharType="separate"/>
          </w:r>
          <w:r>
            <w:rPr>
              <w:noProof/>
            </w:rPr>
            <w:t>22</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Workplace Compensation Act – abolition of civil liability for workplace injury</w:t>
          </w:r>
          <w:r>
            <w:rPr>
              <w:noProof/>
            </w:rPr>
            <w:tab/>
          </w:r>
          <w:r>
            <w:rPr>
              <w:noProof/>
            </w:rPr>
            <w:fldChar w:fldCharType="begin"/>
          </w:r>
          <w:r>
            <w:rPr>
              <w:noProof/>
            </w:rPr>
            <w:instrText xml:space="preserve"> PAGEREF _Toc258695649 \h </w:instrText>
          </w:r>
          <w:r>
            <w:rPr>
              <w:noProof/>
            </w:rPr>
          </w:r>
          <w:r>
            <w:rPr>
              <w:noProof/>
            </w:rPr>
            <w:fldChar w:fldCharType="separate"/>
          </w:r>
          <w:r>
            <w:rPr>
              <w:noProof/>
            </w:rPr>
            <w:t>22</w:t>
          </w:r>
          <w:r>
            <w:rPr>
              <w:noProof/>
            </w:rPr>
            <w:fldChar w:fldCharType="end"/>
          </w:r>
        </w:p>
        <w:p w:rsidR="00232974" w:rsidRDefault="00232974">
          <w:pPr>
            <w:pStyle w:val="TOC2"/>
            <w:tabs>
              <w:tab w:val="right" w:pos="8630"/>
            </w:tabs>
            <w:rPr>
              <w:rFonts w:eastAsiaTheme="minorEastAsia"/>
              <w:b w:val="0"/>
              <w:smallCaps w:val="0"/>
              <w:noProof/>
              <w:sz w:val="24"/>
              <w:szCs w:val="24"/>
            </w:rPr>
          </w:pPr>
          <w:r w:rsidRPr="00037640">
            <w:rPr>
              <w:rFonts w:ascii="Baskerville Old Face" w:hAnsi="Baskerville Old Face"/>
              <w:noProof/>
            </w:rPr>
            <w:t>NEGLIGENCE ACT – Contributory negligence and apportionment of fault</w:t>
          </w:r>
          <w:r>
            <w:rPr>
              <w:noProof/>
            </w:rPr>
            <w:tab/>
          </w:r>
          <w:r>
            <w:rPr>
              <w:noProof/>
            </w:rPr>
            <w:fldChar w:fldCharType="begin"/>
          </w:r>
          <w:r>
            <w:rPr>
              <w:noProof/>
            </w:rPr>
            <w:instrText xml:space="preserve"> PAGEREF _Toc258695650 \h </w:instrText>
          </w:r>
          <w:r>
            <w:rPr>
              <w:noProof/>
            </w:rPr>
          </w:r>
          <w:r>
            <w:rPr>
              <w:noProof/>
            </w:rPr>
            <w:fldChar w:fldCharType="separate"/>
          </w:r>
          <w:r>
            <w:rPr>
              <w:noProof/>
            </w:rPr>
            <w:t>23</w:t>
          </w:r>
          <w:r>
            <w:rPr>
              <w:noProof/>
            </w:rPr>
            <w:fldChar w:fldCharType="end"/>
          </w:r>
        </w:p>
        <w:p w:rsidR="00E87746" w:rsidRPr="006D5CAE" w:rsidRDefault="00472F31" w:rsidP="00364672">
          <w:pPr>
            <w:rPr>
              <w:sz w:val="20"/>
            </w:rPr>
          </w:pPr>
          <w:r w:rsidRPr="006D5CAE">
            <w:fldChar w:fldCharType="end"/>
          </w:r>
        </w:p>
      </w:sdtContent>
    </w:sdt>
    <w:p w:rsidR="001C3CFE" w:rsidRPr="006D5CAE" w:rsidRDefault="001C3CFE" w:rsidP="001C3CFE">
      <w:pPr>
        <w:pStyle w:val="Heading1"/>
        <w:rPr>
          <w:rFonts w:ascii="Baskerville" w:hAnsi="Baskerville"/>
          <w:b/>
          <w:color w:val="auto"/>
        </w:rPr>
      </w:pPr>
    </w:p>
    <w:p w:rsidR="001C3CFE" w:rsidRPr="006D5CAE" w:rsidRDefault="001C3CFE" w:rsidP="001C3CFE">
      <w:pPr>
        <w:pStyle w:val="Heading1"/>
        <w:rPr>
          <w:rFonts w:ascii="Baskerville" w:hAnsi="Baskerville"/>
          <w:b/>
          <w:color w:val="auto"/>
        </w:rPr>
      </w:pPr>
    </w:p>
    <w:p w:rsidR="001C3CFE" w:rsidRPr="006D5CAE" w:rsidRDefault="001C3CFE" w:rsidP="001C3CFE">
      <w:pPr>
        <w:rPr>
          <w:sz w:val="20"/>
        </w:rPr>
      </w:pPr>
    </w:p>
    <w:p w:rsidR="001C3CFE" w:rsidRPr="006D5CAE" w:rsidRDefault="006F6194" w:rsidP="001C3CFE">
      <w:pPr>
        <w:pStyle w:val="Heading1"/>
        <w:rPr>
          <w:rFonts w:ascii="Baskerville" w:hAnsi="Baskerville"/>
          <w:b/>
          <w:color w:val="auto"/>
        </w:rPr>
      </w:pPr>
      <w:bookmarkStart w:id="0" w:name="_Toc258695602"/>
      <w:r w:rsidRPr="006D5CAE">
        <w:rPr>
          <w:rFonts w:ascii="Baskerville" w:hAnsi="Baskerville"/>
          <w:b/>
          <w:color w:val="auto"/>
        </w:rPr>
        <w:t>CHAPTER XII – SPECIAL DUTIES OF CARE: MISCELLANEOUS CATEGORIES</w:t>
      </w:r>
      <w:bookmarkEnd w:id="0"/>
    </w:p>
    <w:p w:rsidR="00603E0F" w:rsidRPr="006D5CAE" w:rsidRDefault="006F6194" w:rsidP="001C3CFE">
      <w:pPr>
        <w:pStyle w:val="Heading2"/>
        <w:rPr>
          <w:rFonts w:ascii="Baskerville" w:hAnsi="Baskerville"/>
          <w:b/>
          <w:color w:val="auto"/>
          <w:sz w:val="32"/>
        </w:rPr>
      </w:pPr>
      <w:bookmarkStart w:id="1" w:name="_Toc258695603"/>
      <w:r w:rsidRPr="006D5CAE">
        <w:rPr>
          <w:rFonts w:ascii="Baskerville Old Face" w:hAnsi="Baskerville Old Face"/>
          <w:b/>
          <w:color w:val="auto"/>
        </w:rPr>
        <w:t>12.6: A Manufacturer’s and supplier’s duty to warn</w:t>
      </w:r>
      <w:bookmarkEnd w:id="1"/>
    </w:p>
    <w:p w:rsidR="007C437E" w:rsidRPr="006D5CAE" w:rsidRDefault="007C437E" w:rsidP="00603E0F">
      <w:pPr>
        <w:rPr>
          <w:sz w:val="22"/>
        </w:rPr>
      </w:pPr>
    </w:p>
    <w:p w:rsidR="007C437E" w:rsidRPr="006D5CAE" w:rsidRDefault="007C437E" w:rsidP="007C437E">
      <w:pPr>
        <w:rPr>
          <w:b w:val="0"/>
          <w:sz w:val="22"/>
        </w:rPr>
      </w:pPr>
      <w:r w:rsidRPr="006D5CAE">
        <w:rPr>
          <w:b w:val="0"/>
          <w:sz w:val="22"/>
          <w:highlight w:val="yellow"/>
        </w:rPr>
        <w:t>Hollis v Dow Corning Corp</w:t>
      </w:r>
      <w:r w:rsidRPr="006D5CAE">
        <w:rPr>
          <w:b w:val="0"/>
          <w:i/>
          <w:sz w:val="22"/>
          <w:highlight w:val="yellow"/>
        </w:rPr>
        <w:t xml:space="preserve"> </w:t>
      </w:r>
      <w:r w:rsidRPr="006D5CAE">
        <w:rPr>
          <w:b w:val="0"/>
          <w:sz w:val="22"/>
          <w:highlight w:val="yellow"/>
        </w:rPr>
        <w:t>(1955 SCC)</w:t>
      </w:r>
    </w:p>
    <w:p w:rsidR="00603E0F" w:rsidRPr="006D5CAE" w:rsidRDefault="00603E0F" w:rsidP="00603E0F">
      <w:pPr>
        <w:rPr>
          <w:b w:val="0"/>
          <w:sz w:val="22"/>
          <w:u w:val="none"/>
        </w:rPr>
      </w:pPr>
      <w:r w:rsidRPr="006D5CAE">
        <w:rPr>
          <w:b w:val="0"/>
          <w:sz w:val="22"/>
          <w:u w:val="none"/>
        </w:rPr>
        <w:t xml:space="preserve">A manufacturer of a product has a duty in to tort to warn consumers of dangers inherent in the use of its product of which it </w:t>
      </w:r>
      <w:r w:rsidRPr="006D5CAE">
        <w:rPr>
          <w:color w:val="800000"/>
          <w:sz w:val="22"/>
          <w:u w:val="none"/>
        </w:rPr>
        <w:t>has knowledge or ought to have knowledge</w:t>
      </w:r>
      <w:r w:rsidRPr="006D5CAE">
        <w:rPr>
          <w:b w:val="0"/>
          <w:sz w:val="22"/>
          <w:u w:val="none"/>
        </w:rPr>
        <w:t>.</w:t>
      </w:r>
    </w:p>
    <w:p w:rsidR="00603E0F" w:rsidRPr="006D5CAE" w:rsidRDefault="00603E0F" w:rsidP="00603E0F">
      <w:pPr>
        <w:rPr>
          <w:b w:val="0"/>
          <w:sz w:val="22"/>
          <w:u w:val="none"/>
        </w:rPr>
      </w:pPr>
      <w:r w:rsidRPr="006D5CAE">
        <w:rPr>
          <w:b w:val="0"/>
          <w:sz w:val="22"/>
          <w:u w:val="none"/>
        </w:rPr>
        <w:t xml:space="preserve">This is a </w:t>
      </w:r>
      <w:r w:rsidRPr="006D5CAE">
        <w:rPr>
          <w:color w:val="800000"/>
          <w:sz w:val="22"/>
          <w:u w:val="none"/>
        </w:rPr>
        <w:t>continuing duty</w:t>
      </w:r>
      <w:r w:rsidRPr="006D5CAE">
        <w:rPr>
          <w:b w:val="0"/>
          <w:sz w:val="22"/>
          <w:u w:val="none"/>
        </w:rPr>
        <w:t>, which applies not only to dangers known at the time of sale, but also of dangers discovered after the product has been sold and delivered.</w:t>
      </w:r>
    </w:p>
    <w:p w:rsidR="00603E0F" w:rsidRPr="006D5CAE" w:rsidRDefault="00603E0F" w:rsidP="00603E0F">
      <w:pPr>
        <w:rPr>
          <w:b w:val="0"/>
          <w:sz w:val="22"/>
          <w:u w:val="none"/>
        </w:rPr>
      </w:pPr>
      <w:r w:rsidRPr="006D5CAE">
        <w:rPr>
          <w:b w:val="0"/>
          <w:sz w:val="22"/>
          <w:u w:val="none"/>
        </w:rPr>
        <w:t xml:space="preserve">The scope and nature of the manufacturer’s duty </w:t>
      </w:r>
      <w:r w:rsidRPr="006D5CAE">
        <w:rPr>
          <w:color w:val="800000"/>
          <w:sz w:val="22"/>
          <w:u w:val="none"/>
        </w:rPr>
        <w:t>depends on the level of danger</w:t>
      </w:r>
      <w:r w:rsidRPr="006D5CAE">
        <w:rPr>
          <w:b w:val="0"/>
          <w:sz w:val="22"/>
          <w:u w:val="none"/>
        </w:rPr>
        <w:t xml:space="preserve"> entailed by the ordinary use of the product. General warnings concerning dangers are rarely sufficient, specific and detailed warnings are required. </w:t>
      </w:r>
    </w:p>
    <w:p w:rsidR="00EA7DBA" w:rsidRPr="006D5CAE" w:rsidRDefault="00603E0F" w:rsidP="00603E0F">
      <w:pPr>
        <w:rPr>
          <w:b w:val="0"/>
          <w:sz w:val="22"/>
          <w:u w:val="none"/>
        </w:rPr>
      </w:pPr>
      <w:r w:rsidRPr="006D5CAE">
        <w:rPr>
          <w:b w:val="0"/>
          <w:sz w:val="22"/>
          <w:u w:val="none"/>
        </w:rPr>
        <w:t>Manufacturers of products that are ingested, consumed or otherwise placed in the body, and thereby have a great capacity to cause injury, are subject to a correspondingly high standard of care.</w:t>
      </w:r>
    </w:p>
    <w:p w:rsidR="00EA7DBA" w:rsidRPr="006D5CAE" w:rsidRDefault="00EA7DBA" w:rsidP="00603E0F">
      <w:pPr>
        <w:rPr>
          <w:b w:val="0"/>
          <w:sz w:val="22"/>
          <w:u w:val="none"/>
        </w:rPr>
      </w:pPr>
      <w:r w:rsidRPr="006D5CAE">
        <w:rPr>
          <w:b w:val="0"/>
          <w:sz w:val="22"/>
          <w:u w:val="none"/>
        </w:rPr>
        <w:t xml:space="preserve">A duty to warn is owed directly by the manufacturer to the ultimate consumer, but sometimes a manufacturer may satisfy its duty to the consumer by providing a warning to a </w:t>
      </w:r>
      <w:r w:rsidRPr="006D5CAE">
        <w:rPr>
          <w:color w:val="800000"/>
          <w:sz w:val="22"/>
          <w:u w:val="none"/>
        </w:rPr>
        <w:t>“learned intermediary”</w:t>
      </w:r>
      <w:r w:rsidRPr="006D5CAE">
        <w:rPr>
          <w:b w:val="0"/>
          <w:sz w:val="22"/>
          <w:u w:val="none"/>
        </w:rPr>
        <w:t xml:space="preserve"> (surgeon, doctor, or other expert).</w:t>
      </w:r>
    </w:p>
    <w:p w:rsidR="00462AE0" w:rsidRPr="006D5CAE" w:rsidRDefault="00462AE0" w:rsidP="00603E0F">
      <w:pPr>
        <w:rPr>
          <w:b w:val="0"/>
          <w:sz w:val="22"/>
          <w:u w:val="none"/>
        </w:rPr>
      </w:pPr>
      <w:r w:rsidRPr="006D5CAE">
        <w:rPr>
          <w:b w:val="0"/>
          <w:sz w:val="22"/>
          <w:u w:val="none"/>
        </w:rPr>
        <w:t>The intermediary’s knowledge must approximate the manufacturer’s for the latter to discharge its duty.</w:t>
      </w:r>
    </w:p>
    <w:p w:rsidR="00603E0F" w:rsidRPr="006D5CAE" w:rsidRDefault="00462AE0" w:rsidP="00603E0F">
      <w:pPr>
        <w:rPr>
          <w:b w:val="0"/>
          <w:sz w:val="22"/>
          <w:u w:val="none"/>
        </w:rPr>
      </w:pPr>
      <w:r w:rsidRPr="006D5CAE">
        <w:rPr>
          <w:b w:val="0"/>
          <w:sz w:val="22"/>
          <w:u w:val="none"/>
        </w:rPr>
        <w:t xml:space="preserve">In assessing causation, a </w:t>
      </w:r>
      <w:r w:rsidRPr="006D5CAE">
        <w:rPr>
          <w:i/>
          <w:color w:val="800000"/>
          <w:sz w:val="22"/>
          <w:u w:val="none"/>
        </w:rPr>
        <w:t>subjective test</w:t>
      </w:r>
      <w:r w:rsidRPr="006D5CAE">
        <w:rPr>
          <w:b w:val="0"/>
          <w:sz w:val="22"/>
          <w:u w:val="none"/>
        </w:rPr>
        <w:t xml:space="preserve"> of whether the consumer would have elected to purchase the product had they been properly warned applies.</w:t>
      </w:r>
    </w:p>
    <w:p w:rsidR="00D72DE6" w:rsidRPr="006D5CAE" w:rsidRDefault="006B0DC8">
      <w:pPr>
        <w:pBdr>
          <w:bottom w:val="single" w:sz="12" w:space="1" w:color="auto"/>
        </w:pBdr>
        <w:rPr>
          <w:b w:val="0"/>
          <w:sz w:val="22"/>
          <w:u w:val="none"/>
        </w:rPr>
      </w:pPr>
      <w:r w:rsidRPr="006D5CAE">
        <w:rPr>
          <w:b w:val="0"/>
          <w:sz w:val="22"/>
          <w:u w:val="none"/>
        </w:rPr>
        <w:t xml:space="preserve">The duty to warn is specific to the </w:t>
      </w:r>
      <w:r w:rsidRPr="006D5CAE">
        <w:rPr>
          <w:color w:val="800000"/>
          <w:sz w:val="22"/>
          <w:u w:val="none"/>
        </w:rPr>
        <w:t>primary user of the product</w:t>
      </w:r>
      <w:r w:rsidRPr="006D5CAE">
        <w:rPr>
          <w:b w:val="0"/>
          <w:sz w:val="22"/>
          <w:u w:val="none"/>
        </w:rPr>
        <w:t>. (</w:t>
      </w:r>
      <w:proofErr w:type="spellStart"/>
      <w:r w:rsidRPr="006D5CAE">
        <w:rPr>
          <w:b w:val="0"/>
          <w:color w:val="1F497D" w:themeColor="text2"/>
          <w:sz w:val="22"/>
          <w:u w:val="none"/>
        </w:rPr>
        <w:t>Amin</w:t>
      </w:r>
      <w:proofErr w:type="spellEnd"/>
      <w:r w:rsidRPr="006D5CAE">
        <w:rPr>
          <w:b w:val="0"/>
          <w:color w:val="1F497D" w:themeColor="text2"/>
          <w:sz w:val="22"/>
          <w:u w:val="none"/>
        </w:rPr>
        <w:t xml:space="preserve"> v </w:t>
      </w:r>
      <w:proofErr w:type="spellStart"/>
      <w:r w:rsidRPr="006D5CAE">
        <w:rPr>
          <w:b w:val="0"/>
          <w:color w:val="1F497D" w:themeColor="text2"/>
          <w:sz w:val="22"/>
          <w:u w:val="none"/>
        </w:rPr>
        <w:t>Klironomos</w:t>
      </w:r>
      <w:proofErr w:type="spellEnd"/>
      <w:r w:rsidRPr="006D5CAE">
        <w:rPr>
          <w:b w:val="0"/>
          <w:sz w:val="22"/>
          <w:u w:val="none"/>
        </w:rPr>
        <w:t>)</w:t>
      </w:r>
    </w:p>
    <w:p w:rsidR="00D72DE6" w:rsidRPr="006D5CAE" w:rsidRDefault="00D72DE6">
      <w:pPr>
        <w:pBdr>
          <w:bottom w:val="single" w:sz="12" w:space="1" w:color="auto"/>
        </w:pBdr>
        <w:rPr>
          <w:b w:val="0"/>
          <w:sz w:val="22"/>
          <w:u w:val="none"/>
        </w:rPr>
      </w:pPr>
      <w:r w:rsidRPr="006D5CAE">
        <w:rPr>
          <w:b w:val="0"/>
          <w:sz w:val="22"/>
          <w:u w:val="none"/>
        </w:rPr>
        <w:t xml:space="preserve">In this case, the plaintiff was benefitted by a </w:t>
      </w:r>
      <w:proofErr w:type="spellStart"/>
      <w:r w:rsidRPr="006D5CAE">
        <w:rPr>
          <w:b w:val="0"/>
          <w:sz w:val="22"/>
          <w:u w:val="none"/>
        </w:rPr>
        <w:t>favourable</w:t>
      </w:r>
      <w:proofErr w:type="spellEnd"/>
      <w:r w:rsidRPr="006D5CAE">
        <w:rPr>
          <w:b w:val="0"/>
          <w:sz w:val="22"/>
          <w:u w:val="none"/>
        </w:rPr>
        <w:t xml:space="preserve"> presumption that the doctor would have warned her if he </w:t>
      </w:r>
      <w:proofErr w:type="gramStart"/>
      <w:r w:rsidRPr="006D5CAE">
        <w:rPr>
          <w:b w:val="0"/>
          <w:sz w:val="22"/>
          <w:u w:val="none"/>
        </w:rPr>
        <w:t>was</w:t>
      </w:r>
      <w:proofErr w:type="gramEnd"/>
      <w:r w:rsidRPr="006D5CAE">
        <w:rPr>
          <w:b w:val="0"/>
          <w:sz w:val="22"/>
          <w:u w:val="none"/>
        </w:rPr>
        <w:t xml:space="preserve"> properly informed. </w:t>
      </w:r>
    </w:p>
    <w:p w:rsidR="00C86679" w:rsidRPr="006D5CAE" w:rsidRDefault="00D72DE6" w:rsidP="00C86679">
      <w:pPr>
        <w:pBdr>
          <w:bottom w:val="single" w:sz="12" w:space="1" w:color="auto"/>
        </w:pBdr>
        <w:rPr>
          <w:b w:val="0"/>
          <w:sz w:val="22"/>
          <w:u w:val="none"/>
        </w:rPr>
      </w:pPr>
      <w:r w:rsidRPr="006D5CAE">
        <w:rPr>
          <w:b w:val="0"/>
          <w:sz w:val="22"/>
          <w:u w:val="none"/>
        </w:rPr>
        <w:t xml:space="preserve">In </w:t>
      </w:r>
      <w:r w:rsidRPr="006D5CAE">
        <w:rPr>
          <w:b w:val="0"/>
          <w:i/>
          <w:color w:val="1F497D" w:themeColor="text2"/>
          <w:sz w:val="22"/>
          <w:u w:val="none"/>
        </w:rPr>
        <w:t>Walker v York-Finch Gen. Hospital</w:t>
      </w:r>
      <w:r w:rsidRPr="006D5CAE">
        <w:rPr>
          <w:b w:val="0"/>
          <w:sz w:val="22"/>
          <w:u w:val="none"/>
        </w:rPr>
        <w:t xml:space="preserve"> (in the book at 568), where the question what a third party (the blood donor) would have done, had the Red Cross used proper screening advice, was not presumed in </w:t>
      </w:r>
      <w:proofErr w:type="spellStart"/>
      <w:r w:rsidRPr="006D5CAE">
        <w:rPr>
          <w:b w:val="0"/>
          <w:sz w:val="22"/>
          <w:u w:val="none"/>
        </w:rPr>
        <w:t>favour</w:t>
      </w:r>
      <w:proofErr w:type="spellEnd"/>
      <w:r w:rsidRPr="006D5CAE">
        <w:rPr>
          <w:b w:val="0"/>
          <w:sz w:val="22"/>
          <w:u w:val="none"/>
        </w:rPr>
        <w:t xml:space="preserve"> of the plaintiff but the plaintiff was said to be able to satisfy the onus of proof, on what the donor would have done, on a “material contribution” standard rather than a but-for standard.</w:t>
      </w:r>
    </w:p>
    <w:p w:rsidR="00C86679" w:rsidRPr="006D5CAE" w:rsidRDefault="00C86679" w:rsidP="00C86679">
      <w:pPr>
        <w:pBdr>
          <w:bottom w:val="single" w:sz="12" w:space="1" w:color="auto"/>
        </w:pBdr>
        <w:rPr>
          <w:b w:val="0"/>
          <w:sz w:val="22"/>
          <w:u w:val="none"/>
        </w:rPr>
      </w:pPr>
    </w:p>
    <w:p w:rsidR="00D75696" w:rsidRPr="006D5CAE" w:rsidRDefault="00D75696" w:rsidP="00C86679">
      <w:pPr>
        <w:pStyle w:val="Heading2"/>
        <w:rPr>
          <w:rFonts w:ascii="Baskerville Old Face" w:hAnsi="Baskerville Old Face"/>
          <w:b/>
          <w:color w:val="auto"/>
        </w:rPr>
      </w:pPr>
      <w:bookmarkStart w:id="2" w:name="_Toc258695604"/>
      <w:r w:rsidRPr="006D5CAE">
        <w:rPr>
          <w:rFonts w:ascii="Baskerville Old Face" w:hAnsi="Baskerville Old Face"/>
          <w:b/>
          <w:color w:val="auto"/>
        </w:rPr>
        <w:t>12.7: Duty of Care Owed by a Barrister</w:t>
      </w:r>
      <w:bookmarkEnd w:id="2"/>
    </w:p>
    <w:p w:rsidR="00D75696" w:rsidRPr="006D5CAE" w:rsidRDefault="00D75696">
      <w:pPr>
        <w:pBdr>
          <w:bottom w:val="single" w:sz="12" w:space="1" w:color="auto"/>
        </w:pBdr>
        <w:rPr>
          <w:b w:val="0"/>
          <w:sz w:val="22"/>
          <w:u w:val="none"/>
        </w:rPr>
      </w:pPr>
      <w:r w:rsidRPr="006D5CAE">
        <w:rPr>
          <w:b w:val="0"/>
          <w:sz w:val="22"/>
          <w:u w:val="none"/>
        </w:rPr>
        <w:t>Lawyers are subject to a duty of professional competence like other professionals; they can be sued in contract or in tort and that a successful claim must show what the plaintiff’s position would have been if the lawyer had not been negligent.</w:t>
      </w:r>
    </w:p>
    <w:p w:rsidR="00C86679" w:rsidRPr="006D5CAE" w:rsidRDefault="00D75696">
      <w:pPr>
        <w:pBdr>
          <w:bottom w:val="single" w:sz="12" w:space="1" w:color="auto"/>
        </w:pBdr>
        <w:rPr>
          <w:b w:val="0"/>
          <w:sz w:val="22"/>
          <w:u w:val="none"/>
        </w:rPr>
      </w:pPr>
      <w:r w:rsidRPr="006D5CAE">
        <w:rPr>
          <w:b w:val="0"/>
          <w:sz w:val="22"/>
          <w:u w:val="none"/>
        </w:rPr>
        <w:t xml:space="preserve">It is against public policy to sue a criminal </w:t>
      </w:r>
      <w:proofErr w:type="spellStart"/>
      <w:r w:rsidRPr="006D5CAE">
        <w:rPr>
          <w:b w:val="0"/>
          <w:sz w:val="22"/>
          <w:u w:val="none"/>
        </w:rPr>
        <w:t>defence</w:t>
      </w:r>
      <w:proofErr w:type="spellEnd"/>
      <w:r w:rsidRPr="006D5CAE">
        <w:rPr>
          <w:b w:val="0"/>
          <w:sz w:val="22"/>
          <w:u w:val="none"/>
        </w:rPr>
        <w:t xml:space="preserve"> lawyer in negligence if it </w:t>
      </w:r>
      <w:r w:rsidR="00C86679" w:rsidRPr="006D5CAE">
        <w:rPr>
          <w:b w:val="0"/>
          <w:sz w:val="22"/>
          <w:u w:val="none"/>
        </w:rPr>
        <w:t>amounts</w:t>
      </w:r>
      <w:r w:rsidRPr="006D5CAE">
        <w:rPr>
          <w:b w:val="0"/>
          <w:sz w:val="22"/>
          <w:u w:val="none"/>
        </w:rPr>
        <w:t xml:space="preserve"> to a collateral attack on the conviction duly arrived at.</w:t>
      </w:r>
    </w:p>
    <w:p w:rsidR="006B0DC8" w:rsidRPr="006D5CAE" w:rsidRDefault="006B0DC8">
      <w:pPr>
        <w:pBdr>
          <w:bottom w:val="single" w:sz="12" w:space="1" w:color="auto"/>
        </w:pBdr>
        <w:rPr>
          <w:b w:val="0"/>
          <w:sz w:val="20"/>
          <w:u w:val="none"/>
        </w:rPr>
      </w:pPr>
    </w:p>
    <w:p w:rsidR="00D72DE6" w:rsidRPr="006D5CAE" w:rsidRDefault="00D75696" w:rsidP="00C86679">
      <w:pPr>
        <w:pStyle w:val="Heading1"/>
        <w:rPr>
          <w:rFonts w:ascii="Baskerville" w:hAnsi="Baskerville"/>
          <w:b/>
          <w:color w:val="auto"/>
        </w:rPr>
      </w:pPr>
      <w:bookmarkStart w:id="3" w:name="_Toc258695605"/>
      <w:r w:rsidRPr="006D5CAE">
        <w:rPr>
          <w:rFonts w:ascii="Baskerville" w:hAnsi="Baskerville"/>
          <w:b/>
          <w:color w:val="auto"/>
        </w:rPr>
        <w:t>CHAPTER XIII — SPECIAL DUTIES OF CARE: NEGLIGENT MISREPRESENTATION</w:t>
      </w:r>
      <w:bookmarkEnd w:id="3"/>
    </w:p>
    <w:p w:rsidR="00C86679" w:rsidRPr="006D5CAE" w:rsidRDefault="00C86679">
      <w:pPr>
        <w:rPr>
          <w:b w:val="0"/>
          <w:sz w:val="22"/>
          <w:u w:val="none"/>
        </w:rPr>
      </w:pPr>
    </w:p>
    <w:p w:rsidR="00C86679" w:rsidRPr="006D5CAE" w:rsidRDefault="00D80FD3">
      <w:pPr>
        <w:rPr>
          <w:b w:val="0"/>
          <w:sz w:val="22"/>
          <w:u w:val="none"/>
        </w:rPr>
      </w:pPr>
      <w:r w:rsidRPr="006D5CAE">
        <w:rPr>
          <w:b w:val="0"/>
          <w:i/>
          <w:color w:val="1F497D" w:themeColor="text2"/>
          <w:sz w:val="22"/>
          <w:u w:val="none"/>
        </w:rPr>
        <w:t>Hedley Byrne</w:t>
      </w:r>
      <w:r w:rsidRPr="006D5CAE">
        <w:rPr>
          <w:b w:val="0"/>
          <w:i/>
          <w:sz w:val="22"/>
          <w:u w:val="none"/>
        </w:rPr>
        <w:t xml:space="preserve"> </w:t>
      </w:r>
      <w:r w:rsidRPr="006D5CAE">
        <w:rPr>
          <w:b w:val="0"/>
          <w:sz w:val="22"/>
          <w:u w:val="none"/>
        </w:rPr>
        <w:t xml:space="preserve">affirmed that a person giving information or advice could be under a duty of care in respect of purely financial risk loss that the recipient incurred because of reliance on the representation. The line between careless but casual </w:t>
      </w:r>
      <w:r w:rsidR="008F65D2" w:rsidRPr="006D5CAE">
        <w:rPr>
          <w:b w:val="0"/>
          <w:sz w:val="22"/>
          <w:u w:val="none"/>
        </w:rPr>
        <w:t>mis</w:t>
      </w:r>
      <w:r w:rsidRPr="006D5CAE">
        <w:rPr>
          <w:b w:val="0"/>
          <w:sz w:val="22"/>
          <w:u w:val="none"/>
        </w:rPr>
        <w:t>information, and careless, serious misinformation is very difficult to define precisely.</w:t>
      </w:r>
    </w:p>
    <w:p w:rsidR="00C86679" w:rsidRPr="006D5CAE" w:rsidRDefault="00E46FEE" w:rsidP="00C86679">
      <w:pPr>
        <w:pStyle w:val="Heading2"/>
        <w:rPr>
          <w:rFonts w:ascii="Baskerville Old Face" w:hAnsi="Baskerville Old Face"/>
          <w:b/>
          <w:color w:val="auto"/>
        </w:rPr>
      </w:pPr>
      <w:bookmarkStart w:id="4" w:name="_Toc258695606"/>
      <w:r w:rsidRPr="006D5CAE">
        <w:rPr>
          <w:rFonts w:ascii="Baskerville Old Face" w:hAnsi="Baskerville Old Face"/>
          <w:b/>
          <w:color w:val="auto"/>
        </w:rPr>
        <w:t>13.</w:t>
      </w:r>
      <w:r w:rsidR="00C86679" w:rsidRPr="006D5CAE">
        <w:rPr>
          <w:rFonts w:ascii="Baskerville Old Face" w:hAnsi="Baskerville Old Face"/>
          <w:b/>
          <w:color w:val="auto"/>
        </w:rPr>
        <w:t>2: Negligent Misrepresentation Causing Pure Economic Loss</w:t>
      </w:r>
      <w:bookmarkEnd w:id="4"/>
    </w:p>
    <w:p w:rsidR="00C86679" w:rsidRPr="006D5CAE" w:rsidRDefault="00C86679" w:rsidP="00C86679">
      <w:pPr>
        <w:rPr>
          <w:b w:val="0"/>
          <w:sz w:val="22"/>
          <w:u w:val="none"/>
        </w:rPr>
      </w:pPr>
    </w:p>
    <w:p w:rsidR="006F1255" w:rsidRPr="006D5CAE" w:rsidRDefault="00963195" w:rsidP="00C5030A">
      <w:pPr>
        <w:rPr>
          <w:b w:val="0"/>
          <w:sz w:val="22"/>
        </w:rPr>
      </w:pPr>
      <w:r w:rsidRPr="006D5CAE">
        <w:rPr>
          <w:b w:val="0"/>
          <w:sz w:val="22"/>
          <w:highlight w:val="yellow"/>
        </w:rPr>
        <w:t>Hercules Managements Ltd v Ernst &amp; Young (1997 SCC)</w:t>
      </w:r>
    </w:p>
    <w:p w:rsidR="006F1255" w:rsidRPr="006D5CAE" w:rsidRDefault="006F1255" w:rsidP="00C5030A">
      <w:pPr>
        <w:rPr>
          <w:b w:val="0"/>
          <w:sz w:val="22"/>
          <w:u w:val="none"/>
        </w:rPr>
      </w:pPr>
      <w:r w:rsidRPr="006D5CAE">
        <w:rPr>
          <w:b w:val="0"/>
          <w:sz w:val="22"/>
          <w:u w:val="none"/>
        </w:rPr>
        <w:t xml:space="preserve">Whether a duty of care exists in negligent misrepresentation must be determined through the </w:t>
      </w:r>
      <w:proofErr w:type="gramStart"/>
      <w:r w:rsidRPr="006D5CAE">
        <w:rPr>
          <w:b w:val="0"/>
          <w:sz w:val="22"/>
          <w:u w:val="none"/>
        </w:rPr>
        <w:t>two step</w:t>
      </w:r>
      <w:proofErr w:type="gramEnd"/>
      <w:r w:rsidRPr="006D5CAE">
        <w:rPr>
          <w:b w:val="0"/>
          <w:sz w:val="22"/>
          <w:u w:val="none"/>
        </w:rPr>
        <w:t xml:space="preserve"> </w:t>
      </w:r>
      <w:proofErr w:type="spellStart"/>
      <w:r w:rsidRPr="006D5CAE">
        <w:rPr>
          <w:b w:val="0"/>
          <w:i/>
          <w:sz w:val="22"/>
          <w:u w:val="none"/>
        </w:rPr>
        <w:t>Anns</w:t>
      </w:r>
      <w:proofErr w:type="spellEnd"/>
      <w:r w:rsidRPr="006D5CAE">
        <w:rPr>
          <w:b w:val="0"/>
          <w:sz w:val="22"/>
          <w:u w:val="none"/>
        </w:rPr>
        <w:t xml:space="preserve"> test.</w:t>
      </w:r>
    </w:p>
    <w:p w:rsidR="00C5030A" w:rsidRPr="006D5CAE" w:rsidRDefault="006F1255" w:rsidP="00C5030A">
      <w:pPr>
        <w:rPr>
          <w:b w:val="0"/>
          <w:sz w:val="22"/>
          <w:u w:val="none"/>
        </w:rPr>
      </w:pPr>
      <w:r w:rsidRPr="006D5CAE">
        <w:rPr>
          <w:b w:val="0"/>
          <w:sz w:val="22"/>
          <w:u w:val="none"/>
        </w:rPr>
        <w:t xml:space="preserve">Proximity exists between a </w:t>
      </w:r>
      <w:proofErr w:type="spellStart"/>
      <w:r w:rsidRPr="006D5CAE">
        <w:rPr>
          <w:b w:val="0"/>
          <w:sz w:val="22"/>
          <w:u w:val="none"/>
        </w:rPr>
        <w:t>representor</w:t>
      </w:r>
      <w:proofErr w:type="spellEnd"/>
      <w:r w:rsidRPr="006D5CAE">
        <w:rPr>
          <w:b w:val="0"/>
          <w:sz w:val="22"/>
          <w:u w:val="none"/>
        </w:rPr>
        <w:t xml:space="preserve">-defendant and a </w:t>
      </w:r>
      <w:proofErr w:type="spellStart"/>
      <w:r w:rsidRPr="006D5CAE">
        <w:rPr>
          <w:b w:val="0"/>
          <w:sz w:val="22"/>
          <w:u w:val="none"/>
        </w:rPr>
        <w:t>representee</w:t>
      </w:r>
      <w:proofErr w:type="spellEnd"/>
      <w:r w:rsidRPr="006D5CAE">
        <w:rPr>
          <w:b w:val="0"/>
          <w:sz w:val="22"/>
          <w:u w:val="none"/>
        </w:rPr>
        <w:t>-plaintiff when:</w:t>
      </w:r>
      <w:r w:rsidR="00C5030A" w:rsidRPr="006D5CAE">
        <w:rPr>
          <w:b w:val="0"/>
          <w:sz w:val="22"/>
          <w:u w:val="none"/>
        </w:rPr>
        <w:t xml:space="preserve"> </w:t>
      </w:r>
    </w:p>
    <w:p w:rsidR="00C5030A" w:rsidRPr="006D5CAE" w:rsidRDefault="006F1255" w:rsidP="00C5030A">
      <w:pPr>
        <w:pStyle w:val="ListParagraph"/>
        <w:numPr>
          <w:ilvl w:val="0"/>
          <w:numId w:val="10"/>
        </w:numPr>
        <w:rPr>
          <w:b w:val="0"/>
          <w:sz w:val="22"/>
          <w:u w:val="none"/>
        </w:rPr>
      </w:pPr>
      <w:proofErr w:type="gramStart"/>
      <w:r w:rsidRPr="006D5CAE">
        <w:rPr>
          <w:b w:val="0"/>
          <w:sz w:val="22"/>
          <w:u w:val="none"/>
        </w:rPr>
        <w:t>the</w:t>
      </w:r>
      <w:proofErr w:type="gramEnd"/>
      <w:r w:rsidRPr="006D5CAE">
        <w:rPr>
          <w:b w:val="0"/>
          <w:sz w:val="22"/>
          <w:u w:val="none"/>
        </w:rPr>
        <w:t xml:space="preserve"> defendant ought </w:t>
      </w:r>
      <w:r w:rsidRPr="006D5CAE">
        <w:rPr>
          <w:color w:val="800000"/>
          <w:sz w:val="22"/>
          <w:u w:val="none"/>
        </w:rPr>
        <w:t>reasonably to foresee that the plaintiff will rely</w:t>
      </w:r>
      <w:r w:rsidRPr="006D5CAE">
        <w:rPr>
          <w:b w:val="0"/>
          <w:sz w:val="22"/>
          <w:u w:val="none"/>
        </w:rPr>
        <w:t xml:space="preserve"> on his or her representation; and</w:t>
      </w:r>
      <w:r w:rsidR="00C5030A" w:rsidRPr="006D5CAE">
        <w:rPr>
          <w:b w:val="0"/>
          <w:sz w:val="22"/>
          <w:u w:val="none"/>
        </w:rPr>
        <w:t xml:space="preserve"> </w:t>
      </w:r>
    </w:p>
    <w:p w:rsidR="00C5030A" w:rsidRPr="006D5CAE" w:rsidRDefault="00C5030A" w:rsidP="00C5030A">
      <w:pPr>
        <w:pStyle w:val="ListParagraph"/>
        <w:numPr>
          <w:ilvl w:val="0"/>
          <w:numId w:val="10"/>
        </w:numPr>
        <w:rPr>
          <w:b w:val="0"/>
          <w:sz w:val="22"/>
          <w:u w:val="none"/>
        </w:rPr>
      </w:pPr>
      <w:proofErr w:type="gramStart"/>
      <w:r w:rsidRPr="006D5CAE">
        <w:rPr>
          <w:color w:val="800000"/>
          <w:sz w:val="22"/>
          <w:u w:val="none"/>
        </w:rPr>
        <w:t>reliance</w:t>
      </w:r>
      <w:proofErr w:type="gramEnd"/>
      <w:r w:rsidRPr="006D5CAE">
        <w:rPr>
          <w:color w:val="800000"/>
          <w:sz w:val="22"/>
          <w:u w:val="none"/>
        </w:rPr>
        <w:t xml:space="preserve"> by the plaintiff would be reasonable</w:t>
      </w:r>
      <w:r w:rsidRPr="006D5CAE">
        <w:rPr>
          <w:b w:val="0"/>
          <w:sz w:val="22"/>
          <w:u w:val="none"/>
        </w:rPr>
        <w:t xml:space="preserve"> in the particular circumstances of the case</w:t>
      </w:r>
    </w:p>
    <w:p w:rsidR="00C5030A" w:rsidRPr="006D5CAE" w:rsidRDefault="00C5030A" w:rsidP="00C5030A">
      <w:pPr>
        <w:rPr>
          <w:b w:val="0"/>
          <w:sz w:val="22"/>
          <w:u w:val="none"/>
        </w:rPr>
      </w:pPr>
      <w:r w:rsidRPr="006D5CAE">
        <w:rPr>
          <w:b w:val="0"/>
          <w:sz w:val="22"/>
          <w:u w:val="none"/>
        </w:rPr>
        <w:t xml:space="preserve">Two further requirements come up in the </w:t>
      </w:r>
      <w:r w:rsidRPr="006D5CAE">
        <w:rPr>
          <w:b w:val="0"/>
          <w:i/>
          <w:sz w:val="22"/>
          <w:u w:val="none"/>
        </w:rPr>
        <w:t>second stage</w:t>
      </w:r>
      <w:r w:rsidRPr="006D5CAE">
        <w:rPr>
          <w:b w:val="0"/>
          <w:sz w:val="22"/>
          <w:u w:val="none"/>
        </w:rPr>
        <w:t xml:space="preserve">: </w:t>
      </w:r>
    </w:p>
    <w:p w:rsidR="00C5030A" w:rsidRPr="006D5CAE" w:rsidRDefault="00C5030A" w:rsidP="00C5030A">
      <w:pPr>
        <w:pStyle w:val="ListParagraph"/>
        <w:numPr>
          <w:ilvl w:val="0"/>
          <w:numId w:val="14"/>
        </w:numPr>
        <w:rPr>
          <w:b w:val="0"/>
          <w:sz w:val="22"/>
          <w:u w:val="none"/>
        </w:rPr>
      </w:pPr>
      <w:proofErr w:type="gramStart"/>
      <w:r w:rsidRPr="006D5CAE">
        <w:rPr>
          <w:b w:val="0"/>
          <w:sz w:val="22"/>
          <w:u w:val="none"/>
        </w:rPr>
        <w:t>the</w:t>
      </w:r>
      <w:proofErr w:type="gramEnd"/>
      <w:r w:rsidRPr="006D5CAE">
        <w:rPr>
          <w:b w:val="0"/>
          <w:sz w:val="22"/>
          <w:u w:val="none"/>
        </w:rPr>
        <w:t xml:space="preserve"> defendant </w:t>
      </w:r>
      <w:r w:rsidRPr="006D5CAE">
        <w:rPr>
          <w:color w:val="800000"/>
          <w:sz w:val="22"/>
          <w:u w:val="none"/>
        </w:rPr>
        <w:t>know the identity</w:t>
      </w:r>
      <w:r w:rsidRPr="006D5CAE">
        <w:rPr>
          <w:b w:val="0"/>
          <w:sz w:val="22"/>
          <w:u w:val="none"/>
        </w:rPr>
        <w:t xml:space="preserve"> of either the plaintiff or the class of plaintiffs who will rely on the statement,</w:t>
      </w:r>
    </w:p>
    <w:p w:rsidR="00C5030A" w:rsidRPr="006D5CAE" w:rsidRDefault="00C5030A" w:rsidP="00C5030A">
      <w:pPr>
        <w:pStyle w:val="ListParagraph"/>
        <w:numPr>
          <w:ilvl w:val="0"/>
          <w:numId w:val="14"/>
        </w:numPr>
        <w:rPr>
          <w:b w:val="0"/>
          <w:sz w:val="22"/>
          <w:u w:val="none"/>
        </w:rPr>
      </w:pPr>
      <w:proofErr w:type="gramStart"/>
      <w:r w:rsidRPr="006D5CAE">
        <w:rPr>
          <w:b w:val="0"/>
          <w:sz w:val="22"/>
          <w:u w:val="none"/>
        </w:rPr>
        <w:t>that</w:t>
      </w:r>
      <w:proofErr w:type="gramEnd"/>
      <w:r w:rsidRPr="006D5CAE">
        <w:rPr>
          <w:b w:val="0"/>
          <w:sz w:val="22"/>
          <w:u w:val="none"/>
        </w:rPr>
        <w:t xml:space="preserve"> the reliance losses claimed by the plaintiff stem from the </w:t>
      </w:r>
      <w:r w:rsidRPr="006D5CAE">
        <w:rPr>
          <w:color w:val="800000"/>
          <w:sz w:val="22"/>
          <w:u w:val="none"/>
        </w:rPr>
        <w:t>particular transaction</w:t>
      </w:r>
      <w:r w:rsidRPr="006D5CAE">
        <w:rPr>
          <w:b w:val="0"/>
          <w:sz w:val="22"/>
          <w:u w:val="none"/>
        </w:rPr>
        <w:t xml:space="preserve"> in respect of which the statement at issue was made</w:t>
      </w:r>
    </w:p>
    <w:p w:rsidR="00E46FEE" w:rsidRPr="006D5CAE" w:rsidRDefault="00C5030A" w:rsidP="00C5030A">
      <w:pPr>
        <w:rPr>
          <w:b w:val="0"/>
          <w:sz w:val="22"/>
          <w:u w:val="none"/>
        </w:rPr>
      </w:pPr>
      <w:r w:rsidRPr="006D5CAE">
        <w:rPr>
          <w:b w:val="0"/>
          <w:sz w:val="22"/>
          <w:u w:val="none"/>
        </w:rPr>
        <w:t xml:space="preserve">These two requirements are necessary to prove indeterminate liability will not arise, which would negative the </w:t>
      </w:r>
      <w:r w:rsidRPr="006D5CAE">
        <w:rPr>
          <w:b w:val="0"/>
          <w:i/>
          <w:sz w:val="22"/>
          <w:u w:val="none"/>
        </w:rPr>
        <w:t xml:space="preserve">prima facie </w:t>
      </w:r>
      <w:r w:rsidRPr="006D5CAE">
        <w:rPr>
          <w:b w:val="0"/>
          <w:sz w:val="22"/>
          <w:u w:val="none"/>
        </w:rPr>
        <w:t>duty of care.</w:t>
      </w:r>
      <w:r w:rsidR="00E46FEE" w:rsidRPr="006D5CAE">
        <w:rPr>
          <w:b w:val="0"/>
          <w:sz w:val="22"/>
          <w:u w:val="none"/>
        </w:rPr>
        <w:t xml:space="preserve"> Prof thinks they are better addressed in the first stage because they are facts about the particular plaintiff-defendant relationship.</w:t>
      </w:r>
    </w:p>
    <w:p w:rsidR="00E46FEE" w:rsidRPr="006D5CAE" w:rsidRDefault="00E46FEE" w:rsidP="00E46FEE">
      <w:pPr>
        <w:pStyle w:val="Heading2"/>
        <w:rPr>
          <w:rFonts w:ascii="Baskerville Old Face" w:hAnsi="Baskerville Old Face"/>
          <w:b/>
          <w:color w:val="auto"/>
        </w:rPr>
      </w:pPr>
      <w:bookmarkStart w:id="5" w:name="_Toc258695607"/>
      <w:r w:rsidRPr="006D5CAE">
        <w:rPr>
          <w:rFonts w:ascii="Baskerville Old Face" w:hAnsi="Baskerville Old Face"/>
          <w:b/>
          <w:color w:val="auto"/>
        </w:rPr>
        <w:t>13.3 Negligent Misrepresentation and Contract</w:t>
      </w:r>
      <w:bookmarkEnd w:id="5"/>
    </w:p>
    <w:p w:rsidR="00E46FEE" w:rsidRPr="006D5CAE" w:rsidRDefault="00E46FEE" w:rsidP="00C5030A">
      <w:pPr>
        <w:rPr>
          <w:b w:val="0"/>
          <w:sz w:val="22"/>
          <w:highlight w:val="yellow"/>
        </w:rPr>
      </w:pPr>
    </w:p>
    <w:p w:rsidR="001D0568" w:rsidRPr="006D5CAE" w:rsidRDefault="00E46FEE" w:rsidP="00C5030A">
      <w:pPr>
        <w:rPr>
          <w:b w:val="0"/>
          <w:sz w:val="22"/>
        </w:rPr>
      </w:pPr>
      <w:r w:rsidRPr="006D5CAE">
        <w:rPr>
          <w:b w:val="0"/>
          <w:sz w:val="22"/>
          <w:highlight w:val="yellow"/>
        </w:rPr>
        <w:t xml:space="preserve">BG </w:t>
      </w:r>
      <w:proofErr w:type="spellStart"/>
      <w:r w:rsidRPr="006D5CAE">
        <w:rPr>
          <w:b w:val="0"/>
          <w:sz w:val="22"/>
          <w:highlight w:val="yellow"/>
        </w:rPr>
        <w:t>Checo</w:t>
      </w:r>
      <w:proofErr w:type="spellEnd"/>
      <w:r w:rsidRPr="006D5CAE">
        <w:rPr>
          <w:b w:val="0"/>
          <w:sz w:val="22"/>
          <w:highlight w:val="yellow"/>
        </w:rPr>
        <w:t xml:space="preserve"> International Ltd v BC Hydro &amp; Power Attorney</w:t>
      </w:r>
      <w:r w:rsidRPr="006D5CAE">
        <w:rPr>
          <w:b w:val="0"/>
          <w:i/>
          <w:sz w:val="22"/>
          <w:highlight w:val="yellow"/>
        </w:rPr>
        <w:t xml:space="preserve"> </w:t>
      </w:r>
      <w:r w:rsidRPr="006D5CAE">
        <w:rPr>
          <w:b w:val="0"/>
          <w:sz w:val="22"/>
          <w:highlight w:val="yellow"/>
        </w:rPr>
        <w:t>(1993 SCC)</w:t>
      </w:r>
    </w:p>
    <w:p w:rsidR="006F1255" w:rsidRPr="006D5CAE" w:rsidRDefault="001D0568" w:rsidP="00C5030A">
      <w:pPr>
        <w:rPr>
          <w:b w:val="0"/>
          <w:sz w:val="22"/>
        </w:rPr>
      </w:pPr>
      <w:r w:rsidRPr="006D5CAE">
        <w:rPr>
          <w:b w:val="0"/>
          <w:sz w:val="22"/>
          <w:highlight w:val="yellow"/>
        </w:rPr>
        <w:t xml:space="preserve">Queen v </w:t>
      </w:r>
      <w:proofErr w:type="spellStart"/>
      <w:r w:rsidRPr="006D5CAE">
        <w:rPr>
          <w:b w:val="0"/>
          <w:sz w:val="22"/>
          <w:highlight w:val="yellow"/>
        </w:rPr>
        <w:t>Cognos</w:t>
      </w:r>
      <w:proofErr w:type="spellEnd"/>
      <w:r w:rsidRPr="006D5CAE">
        <w:rPr>
          <w:b w:val="0"/>
          <w:sz w:val="22"/>
          <w:highlight w:val="yellow"/>
        </w:rPr>
        <w:t xml:space="preserve"> Inc (1993 SCC)</w:t>
      </w:r>
    </w:p>
    <w:p w:rsidR="00E46FEE" w:rsidRPr="006D5CAE" w:rsidRDefault="00E46FEE" w:rsidP="00C5030A">
      <w:pPr>
        <w:rPr>
          <w:b w:val="0"/>
          <w:sz w:val="22"/>
          <w:u w:val="none"/>
        </w:rPr>
      </w:pPr>
      <w:r w:rsidRPr="006D5CAE">
        <w:rPr>
          <w:b w:val="0"/>
          <w:sz w:val="22"/>
          <w:u w:val="none"/>
        </w:rPr>
        <w:t>Contract and tort duties can simultaneously exist with respect to the same act or omission.</w:t>
      </w:r>
    </w:p>
    <w:p w:rsidR="00E46FEE" w:rsidRPr="006D5CAE" w:rsidRDefault="00E46FEE" w:rsidP="00C5030A">
      <w:pPr>
        <w:rPr>
          <w:b w:val="0"/>
          <w:sz w:val="22"/>
          <w:u w:val="none"/>
        </w:rPr>
      </w:pPr>
      <w:r w:rsidRPr="006D5CAE">
        <w:rPr>
          <w:b w:val="0"/>
          <w:sz w:val="22"/>
          <w:u w:val="none"/>
        </w:rPr>
        <w:t>If there is a tort claim for negligent misrepresentation on the same basis as a breach of contract claim the following rules apply:</w:t>
      </w:r>
    </w:p>
    <w:p w:rsidR="00E46FEE" w:rsidRPr="006D5CAE" w:rsidRDefault="00E46FEE" w:rsidP="00C5030A">
      <w:pPr>
        <w:rPr>
          <w:b w:val="0"/>
          <w:sz w:val="22"/>
          <w:u w:val="none"/>
        </w:rPr>
      </w:pPr>
      <w:r w:rsidRPr="006D5CAE">
        <w:rPr>
          <w:b w:val="0"/>
          <w:sz w:val="22"/>
          <w:u w:val="none"/>
        </w:rPr>
        <w:t xml:space="preserve">If the contract </w:t>
      </w:r>
      <w:r w:rsidRPr="006D5CAE">
        <w:rPr>
          <w:color w:val="800000"/>
          <w:sz w:val="22"/>
          <w:u w:val="none"/>
        </w:rPr>
        <w:t>amplifies or cuts down the tort duty</w:t>
      </w:r>
      <w:r w:rsidRPr="006D5CAE">
        <w:rPr>
          <w:b w:val="0"/>
          <w:sz w:val="22"/>
          <w:u w:val="none"/>
        </w:rPr>
        <w:t xml:space="preserve"> or the liability for breach of it, you have to </w:t>
      </w:r>
      <w:r w:rsidRPr="006D5CAE">
        <w:rPr>
          <w:color w:val="800000"/>
          <w:sz w:val="22"/>
          <w:u w:val="none"/>
        </w:rPr>
        <w:t>apply the contract</w:t>
      </w:r>
      <w:r w:rsidRPr="006D5CAE">
        <w:rPr>
          <w:b w:val="0"/>
          <w:sz w:val="22"/>
          <w:u w:val="none"/>
        </w:rPr>
        <w:t>.</w:t>
      </w:r>
    </w:p>
    <w:p w:rsidR="006F1255" w:rsidRPr="006D5CAE" w:rsidRDefault="00E46FEE" w:rsidP="00C5030A">
      <w:pPr>
        <w:rPr>
          <w:b w:val="0"/>
          <w:sz w:val="22"/>
          <w:u w:val="none"/>
        </w:rPr>
      </w:pPr>
      <w:r w:rsidRPr="006D5CAE">
        <w:rPr>
          <w:b w:val="0"/>
          <w:sz w:val="22"/>
          <w:u w:val="none"/>
        </w:rPr>
        <w:t xml:space="preserve">If the contract and tort duties can </w:t>
      </w:r>
      <w:r w:rsidRPr="006D5CAE">
        <w:rPr>
          <w:color w:val="800000"/>
          <w:sz w:val="22"/>
          <w:u w:val="none"/>
        </w:rPr>
        <w:t>co-exist</w:t>
      </w:r>
      <w:r w:rsidRPr="006D5CAE">
        <w:rPr>
          <w:b w:val="0"/>
          <w:sz w:val="22"/>
          <w:u w:val="none"/>
        </w:rPr>
        <w:t xml:space="preserve">, you go with </w:t>
      </w:r>
      <w:r w:rsidRPr="006D5CAE">
        <w:rPr>
          <w:color w:val="800000"/>
          <w:sz w:val="22"/>
          <w:u w:val="none"/>
        </w:rPr>
        <w:t>either</w:t>
      </w:r>
      <w:r w:rsidRPr="006D5CAE">
        <w:rPr>
          <w:b w:val="0"/>
          <w:sz w:val="22"/>
          <w:u w:val="none"/>
        </w:rPr>
        <w:t xml:space="preserve">, whichever suits the </w:t>
      </w:r>
      <w:proofErr w:type="gramStart"/>
      <w:r w:rsidRPr="006D5CAE">
        <w:rPr>
          <w:b w:val="0"/>
          <w:sz w:val="22"/>
          <w:u w:val="none"/>
        </w:rPr>
        <w:t>plaintiff.</w:t>
      </w:r>
      <w:proofErr w:type="gramEnd"/>
    </w:p>
    <w:p w:rsidR="00974C4B" w:rsidRPr="006D5CAE" w:rsidRDefault="004D65E2" w:rsidP="00C5030A">
      <w:pPr>
        <w:rPr>
          <w:b w:val="0"/>
          <w:sz w:val="22"/>
          <w:u w:val="none"/>
        </w:rPr>
      </w:pPr>
      <w:r w:rsidRPr="006D5CAE">
        <w:rPr>
          <w:b w:val="0"/>
          <w:sz w:val="22"/>
          <w:u w:val="none"/>
        </w:rPr>
        <w:t>Breaches of contract are actionable without proof of damage.</w:t>
      </w:r>
    </w:p>
    <w:p w:rsidR="004D65E2" w:rsidRPr="006D5CAE" w:rsidRDefault="00974C4B" w:rsidP="00C5030A">
      <w:pPr>
        <w:rPr>
          <w:b w:val="0"/>
          <w:i/>
          <w:sz w:val="22"/>
        </w:rPr>
      </w:pPr>
      <w:r w:rsidRPr="006D5CAE">
        <w:rPr>
          <w:b w:val="0"/>
          <w:i/>
          <w:sz w:val="22"/>
        </w:rPr>
        <w:t>Causation issues:</w:t>
      </w:r>
    </w:p>
    <w:p w:rsidR="00974C4B" w:rsidRPr="006D5CAE" w:rsidRDefault="004D65E2" w:rsidP="00C5030A">
      <w:pPr>
        <w:pBdr>
          <w:bottom w:val="single" w:sz="12" w:space="1" w:color="auto"/>
        </w:pBdr>
        <w:rPr>
          <w:b w:val="0"/>
          <w:sz w:val="22"/>
          <w:u w:val="none"/>
        </w:rPr>
      </w:pPr>
      <w:r w:rsidRPr="006D5CAE">
        <w:rPr>
          <w:b w:val="0"/>
          <w:sz w:val="22"/>
          <w:u w:val="none"/>
        </w:rPr>
        <w:t xml:space="preserve">Contract remedy leaves plaintiff in the position of if the duty had been done. </w:t>
      </w:r>
      <w:r w:rsidRPr="006D5CAE">
        <w:rPr>
          <w:b w:val="0"/>
          <w:sz w:val="22"/>
          <w:u w:val="none"/>
        </w:rPr>
        <w:br/>
      </w:r>
      <w:r w:rsidRPr="006D5CAE">
        <w:rPr>
          <w:b w:val="0"/>
          <w:sz w:val="22"/>
          <w:u w:val="none"/>
        </w:rPr>
        <w:br/>
        <w:t xml:space="preserve">Tort puts you back in the position of had the tort not been completed (pre-contractual), and can compensate for </w:t>
      </w:r>
      <w:r w:rsidRPr="006D5CAE">
        <w:rPr>
          <w:color w:val="800000"/>
          <w:sz w:val="22"/>
          <w:u w:val="none"/>
        </w:rPr>
        <w:t>expectation damages</w:t>
      </w:r>
      <w:r w:rsidRPr="006D5CAE">
        <w:rPr>
          <w:b w:val="0"/>
          <w:sz w:val="22"/>
          <w:u w:val="none"/>
        </w:rPr>
        <w:t>.</w:t>
      </w:r>
    </w:p>
    <w:p w:rsidR="006F1255" w:rsidRPr="006D5CAE" w:rsidRDefault="00974C4B" w:rsidP="00974C4B">
      <w:pPr>
        <w:pStyle w:val="Heading1"/>
        <w:rPr>
          <w:rFonts w:ascii="Baskerville" w:hAnsi="Baskerville"/>
          <w:b/>
          <w:color w:val="auto"/>
        </w:rPr>
      </w:pPr>
      <w:bookmarkStart w:id="6" w:name="_Toc258695608"/>
      <w:r w:rsidRPr="006D5CAE">
        <w:rPr>
          <w:rFonts w:ascii="Baskerville" w:hAnsi="Baskerville"/>
          <w:b/>
          <w:color w:val="auto"/>
        </w:rPr>
        <w:t>CHAPTER XIV — SPECIAL DUTIES OF CARE: RECOVERY OF PURE ECONOMIC LOSS IN NEGLIGENCE</w:t>
      </w:r>
      <w:bookmarkEnd w:id="6"/>
    </w:p>
    <w:p w:rsidR="00974C4B" w:rsidRPr="006D5CAE" w:rsidRDefault="00974C4B" w:rsidP="00C5030A">
      <w:pPr>
        <w:rPr>
          <w:b w:val="0"/>
          <w:sz w:val="22"/>
          <w:u w:val="none"/>
        </w:rPr>
      </w:pPr>
    </w:p>
    <w:p w:rsidR="00974C4B" w:rsidRPr="006D5CAE" w:rsidRDefault="00974C4B" w:rsidP="00C5030A">
      <w:pPr>
        <w:rPr>
          <w:b w:val="0"/>
          <w:sz w:val="22"/>
          <w:u w:val="none"/>
        </w:rPr>
      </w:pPr>
      <w:r w:rsidRPr="006D5CAE">
        <w:rPr>
          <w:b w:val="0"/>
          <w:sz w:val="22"/>
          <w:u w:val="none"/>
        </w:rPr>
        <w:t>Five established categories of pure economic loss:</w:t>
      </w:r>
    </w:p>
    <w:p w:rsidR="00974C4B" w:rsidRPr="006D5CAE" w:rsidRDefault="00974C4B" w:rsidP="00881F7A">
      <w:pPr>
        <w:pStyle w:val="ListParagraph"/>
        <w:numPr>
          <w:ilvl w:val="0"/>
          <w:numId w:val="16"/>
        </w:numPr>
        <w:rPr>
          <w:b w:val="0"/>
          <w:sz w:val="22"/>
          <w:u w:val="none"/>
        </w:rPr>
      </w:pPr>
      <w:proofErr w:type="gramStart"/>
      <w:r w:rsidRPr="006D5CAE">
        <w:rPr>
          <w:b w:val="0"/>
          <w:sz w:val="22"/>
          <w:u w:val="none"/>
        </w:rPr>
        <w:t>negligent</w:t>
      </w:r>
      <w:proofErr w:type="gramEnd"/>
      <w:r w:rsidRPr="006D5CAE">
        <w:rPr>
          <w:b w:val="0"/>
          <w:sz w:val="22"/>
          <w:u w:val="none"/>
        </w:rPr>
        <w:t xml:space="preserve"> misrepresentation</w:t>
      </w:r>
    </w:p>
    <w:p w:rsidR="00881F7A" w:rsidRPr="006D5CAE" w:rsidRDefault="00974C4B" w:rsidP="00881F7A">
      <w:pPr>
        <w:pStyle w:val="ListParagraph"/>
        <w:numPr>
          <w:ilvl w:val="0"/>
          <w:numId w:val="16"/>
        </w:numPr>
        <w:rPr>
          <w:b w:val="0"/>
          <w:sz w:val="22"/>
          <w:u w:val="none"/>
        </w:rPr>
      </w:pPr>
      <w:proofErr w:type="gramStart"/>
      <w:r w:rsidRPr="006D5CAE">
        <w:rPr>
          <w:b w:val="0"/>
          <w:sz w:val="22"/>
          <w:u w:val="none"/>
        </w:rPr>
        <w:t>independent</w:t>
      </w:r>
      <w:proofErr w:type="gramEnd"/>
      <w:r w:rsidRPr="006D5CAE">
        <w:rPr>
          <w:b w:val="0"/>
          <w:sz w:val="22"/>
          <w:u w:val="none"/>
        </w:rPr>
        <w:t xml:space="preserve"> liability of statutory public </w:t>
      </w:r>
      <w:r w:rsidR="00881F7A" w:rsidRPr="006D5CAE">
        <w:rPr>
          <w:b w:val="0"/>
          <w:sz w:val="22"/>
          <w:u w:val="none"/>
        </w:rPr>
        <w:t>authorities</w:t>
      </w:r>
    </w:p>
    <w:p w:rsidR="00881F7A" w:rsidRPr="006D5CAE" w:rsidRDefault="00881F7A" w:rsidP="00881F7A">
      <w:pPr>
        <w:pStyle w:val="ListParagraph"/>
        <w:numPr>
          <w:ilvl w:val="0"/>
          <w:numId w:val="16"/>
        </w:numPr>
        <w:rPr>
          <w:b w:val="0"/>
          <w:sz w:val="22"/>
          <w:u w:val="none"/>
        </w:rPr>
      </w:pPr>
      <w:proofErr w:type="gramStart"/>
      <w:r w:rsidRPr="006D5CAE">
        <w:rPr>
          <w:b w:val="0"/>
          <w:sz w:val="22"/>
          <w:u w:val="none"/>
        </w:rPr>
        <w:t>negligent</w:t>
      </w:r>
      <w:proofErr w:type="gramEnd"/>
      <w:r w:rsidRPr="006D5CAE">
        <w:rPr>
          <w:b w:val="0"/>
          <w:sz w:val="22"/>
          <w:u w:val="none"/>
        </w:rPr>
        <w:t xml:space="preserve"> performance of a service</w:t>
      </w:r>
    </w:p>
    <w:p w:rsidR="00881F7A" w:rsidRPr="006D5CAE" w:rsidRDefault="00881F7A" w:rsidP="00881F7A">
      <w:pPr>
        <w:pStyle w:val="ListParagraph"/>
        <w:numPr>
          <w:ilvl w:val="0"/>
          <w:numId w:val="16"/>
        </w:numPr>
        <w:rPr>
          <w:b w:val="0"/>
          <w:sz w:val="22"/>
          <w:u w:val="none"/>
        </w:rPr>
      </w:pPr>
      <w:proofErr w:type="gramStart"/>
      <w:r w:rsidRPr="006D5CAE">
        <w:rPr>
          <w:b w:val="0"/>
          <w:sz w:val="22"/>
          <w:u w:val="none"/>
        </w:rPr>
        <w:t>negligent</w:t>
      </w:r>
      <w:proofErr w:type="gramEnd"/>
      <w:r w:rsidRPr="006D5CAE">
        <w:rPr>
          <w:b w:val="0"/>
          <w:sz w:val="22"/>
          <w:u w:val="none"/>
        </w:rPr>
        <w:t xml:space="preserve"> supply of shoddy goods or structures, and</w:t>
      </w:r>
    </w:p>
    <w:p w:rsidR="00881F7A" w:rsidRPr="006D5CAE" w:rsidRDefault="00881F7A" w:rsidP="00881F7A">
      <w:pPr>
        <w:pStyle w:val="ListParagraph"/>
        <w:numPr>
          <w:ilvl w:val="0"/>
          <w:numId w:val="16"/>
        </w:numPr>
        <w:rPr>
          <w:b w:val="0"/>
          <w:sz w:val="22"/>
          <w:u w:val="none"/>
        </w:rPr>
      </w:pPr>
      <w:proofErr w:type="gramStart"/>
      <w:r w:rsidRPr="006D5CAE">
        <w:rPr>
          <w:b w:val="0"/>
          <w:sz w:val="22"/>
          <w:u w:val="none"/>
        </w:rPr>
        <w:t>relational</w:t>
      </w:r>
      <w:proofErr w:type="gramEnd"/>
      <w:r w:rsidRPr="006D5CAE">
        <w:rPr>
          <w:b w:val="0"/>
          <w:sz w:val="22"/>
          <w:u w:val="none"/>
        </w:rPr>
        <w:t xml:space="preserve"> economic loss</w:t>
      </w:r>
    </w:p>
    <w:p w:rsidR="00974C4B" w:rsidRPr="006D5CAE" w:rsidRDefault="00974C4B" w:rsidP="00C5030A">
      <w:pPr>
        <w:rPr>
          <w:b w:val="0"/>
          <w:sz w:val="22"/>
          <w:u w:val="none"/>
        </w:rPr>
      </w:pPr>
    </w:p>
    <w:p w:rsidR="00974C4B" w:rsidRPr="006D5CAE" w:rsidRDefault="00974C4B" w:rsidP="00974C4B">
      <w:pPr>
        <w:pStyle w:val="Heading2"/>
        <w:rPr>
          <w:rFonts w:ascii="Baskerville Old Face" w:hAnsi="Baskerville Old Face"/>
          <w:b/>
          <w:color w:val="auto"/>
        </w:rPr>
      </w:pPr>
      <w:bookmarkStart w:id="7" w:name="_Toc258695609"/>
      <w:r w:rsidRPr="006D5CAE">
        <w:rPr>
          <w:rFonts w:ascii="Baskerville Old Face" w:hAnsi="Baskerville Old Face"/>
          <w:b/>
          <w:color w:val="auto"/>
        </w:rPr>
        <w:t>14.2</w:t>
      </w:r>
      <w:r w:rsidR="0084548A" w:rsidRPr="006D5CAE">
        <w:rPr>
          <w:rFonts w:ascii="Baskerville Old Face" w:hAnsi="Baskerville Old Face"/>
          <w:b/>
          <w:color w:val="auto"/>
        </w:rPr>
        <w:t>:</w:t>
      </w:r>
      <w:r w:rsidRPr="006D5CAE">
        <w:rPr>
          <w:rFonts w:ascii="Baskerville Old Face" w:hAnsi="Baskerville Old Face"/>
          <w:b/>
          <w:color w:val="auto"/>
        </w:rPr>
        <w:t xml:space="preserve"> New Categories of Pure Economic Loss</w:t>
      </w:r>
      <w:bookmarkEnd w:id="7"/>
    </w:p>
    <w:p w:rsidR="00974C4B" w:rsidRPr="006D5CAE" w:rsidRDefault="00974C4B" w:rsidP="00974C4B">
      <w:pPr>
        <w:rPr>
          <w:sz w:val="22"/>
        </w:rPr>
      </w:pPr>
    </w:p>
    <w:p w:rsidR="00974C4B" w:rsidRPr="006D5CAE" w:rsidRDefault="00974C4B" w:rsidP="00974C4B">
      <w:pPr>
        <w:rPr>
          <w:b w:val="0"/>
          <w:sz w:val="22"/>
        </w:rPr>
      </w:pPr>
      <w:r w:rsidRPr="006D5CAE">
        <w:rPr>
          <w:b w:val="0"/>
          <w:sz w:val="22"/>
          <w:highlight w:val="yellow"/>
        </w:rPr>
        <w:t>Martel Building Ltd v Canada (2000 SCC)</w:t>
      </w:r>
    </w:p>
    <w:p w:rsidR="00974C4B" w:rsidRPr="006D5CAE" w:rsidRDefault="00974C4B" w:rsidP="00974C4B">
      <w:pPr>
        <w:rPr>
          <w:b w:val="0"/>
          <w:sz w:val="22"/>
          <w:u w:val="none"/>
        </w:rPr>
      </w:pPr>
      <w:r w:rsidRPr="006D5CAE">
        <w:rPr>
          <w:b w:val="0"/>
          <w:sz w:val="22"/>
          <w:u w:val="none"/>
        </w:rPr>
        <w:t xml:space="preserve">Martel was an attempt to introduce a duty of care in conducting contract renewal negotiations. It failed on various policy grounds all of which had to do with the idea that parties who are in </w:t>
      </w:r>
      <w:proofErr w:type="spellStart"/>
      <w:r w:rsidRPr="006D5CAE">
        <w:rPr>
          <w:b w:val="0"/>
          <w:sz w:val="22"/>
          <w:u w:val="none"/>
        </w:rPr>
        <w:t>negotation</w:t>
      </w:r>
      <w:proofErr w:type="spellEnd"/>
      <w:r w:rsidRPr="006D5CAE">
        <w:rPr>
          <w:b w:val="0"/>
          <w:sz w:val="22"/>
          <w:u w:val="none"/>
        </w:rPr>
        <w:t xml:space="preserve"> are looking after their own interests, not each other’s and that a tort duty would be inconsistent with that basic stance.</w:t>
      </w:r>
    </w:p>
    <w:p w:rsidR="00881F7A" w:rsidRPr="006D5CAE" w:rsidRDefault="00974C4B" w:rsidP="00881F7A">
      <w:pPr>
        <w:rPr>
          <w:b w:val="0"/>
          <w:sz w:val="22"/>
          <w:u w:val="none"/>
        </w:rPr>
      </w:pPr>
      <w:r w:rsidRPr="006D5CAE">
        <w:rPr>
          <w:b w:val="0"/>
          <w:sz w:val="22"/>
          <w:u w:val="none"/>
        </w:rPr>
        <w:t xml:space="preserve">The </w:t>
      </w:r>
      <w:r w:rsidRPr="006D5CAE">
        <w:rPr>
          <w:b w:val="0"/>
          <w:i/>
          <w:color w:val="1F497D" w:themeColor="text2"/>
          <w:sz w:val="22"/>
          <w:u w:val="none"/>
        </w:rPr>
        <w:t>Design Services</w:t>
      </w:r>
      <w:r w:rsidRPr="006D5CAE">
        <w:rPr>
          <w:b w:val="0"/>
          <w:sz w:val="22"/>
          <w:u w:val="none"/>
        </w:rPr>
        <w:t xml:space="preserve"> case similarly held that the subcontractors could not make up in tort what they failed to gain in contract because they were not parties to the “contract A” in which Public Works had promised Olympic to conduct the bidding process in a particular way.</w:t>
      </w:r>
    </w:p>
    <w:p w:rsidR="00881F7A" w:rsidRPr="006D5CAE" w:rsidRDefault="00881F7A" w:rsidP="00B817A9">
      <w:pPr>
        <w:pStyle w:val="Heading2"/>
        <w:rPr>
          <w:rFonts w:ascii="Baskerville Old Face" w:hAnsi="Baskerville Old Face"/>
          <w:b/>
          <w:color w:val="auto"/>
        </w:rPr>
      </w:pPr>
      <w:bookmarkStart w:id="8" w:name="_Toc258695610"/>
      <w:r w:rsidRPr="006D5CAE">
        <w:rPr>
          <w:rFonts w:ascii="Baskerville Old Face" w:hAnsi="Baskerville Old Face"/>
          <w:b/>
          <w:color w:val="auto"/>
        </w:rPr>
        <w:t>14.3</w:t>
      </w:r>
      <w:r w:rsidR="0084548A" w:rsidRPr="006D5CAE">
        <w:rPr>
          <w:rFonts w:ascii="Baskerville Old Face" w:hAnsi="Baskerville Old Face"/>
          <w:b/>
          <w:color w:val="auto"/>
        </w:rPr>
        <w:t>:</w:t>
      </w:r>
      <w:r w:rsidRPr="006D5CAE">
        <w:rPr>
          <w:rFonts w:ascii="Baskerville Old Face" w:hAnsi="Baskerville Old Face"/>
          <w:b/>
          <w:color w:val="auto"/>
        </w:rPr>
        <w:t xml:space="preserve"> Negligent Performance of a Service</w:t>
      </w:r>
      <w:bookmarkEnd w:id="8"/>
      <w:r w:rsidRPr="006D5CAE">
        <w:rPr>
          <w:rFonts w:ascii="Baskerville Old Face" w:hAnsi="Baskerville Old Face"/>
          <w:b/>
          <w:color w:val="auto"/>
        </w:rPr>
        <w:br/>
      </w:r>
    </w:p>
    <w:p w:rsidR="00881F7A" w:rsidRPr="006D5CAE" w:rsidRDefault="00881F7A" w:rsidP="00B817A9">
      <w:pPr>
        <w:rPr>
          <w:b w:val="0"/>
          <w:sz w:val="22"/>
        </w:rPr>
      </w:pPr>
      <w:r w:rsidRPr="006D5CAE">
        <w:rPr>
          <w:b w:val="0"/>
          <w:sz w:val="22"/>
          <w:highlight w:val="yellow"/>
        </w:rPr>
        <w:t xml:space="preserve">BDC Ltd v </w:t>
      </w:r>
      <w:proofErr w:type="spellStart"/>
      <w:r w:rsidRPr="006D5CAE">
        <w:rPr>
          <w:b w:val="0"/>
          <w:sz w:val="22"/>
          <w:highlight w:val="yellow"/>
        </w:rPr>
        <w:t>Hofstrand</w:t>
      </w:r>
      <w:proofErr w:type="spellEnd"/>
      <w:r w:rsidRPr="006D5CAE">
        <w:rPr>
          <w:b w:val="0"/>
          <w:sz w:val="22"/>
          <w:highlight w:val="yellow"/>
        </w:rPr>
        <w:t xml:space="preserve"> Farms Ltd (1986 SCC), James v British Columbia (2005 BCCA)</w:t>
      </w:r>
    </w:p>
    <w:p w:rsidR="0084548A" w:rsidRPr="006D5CAE" w:rsidRDefault="0084548A" w:rsidP="00926C99">
      <w:pPr>
        <w:rPr>
          <w:b w:val="0"/>
          <w:sz w:val="22"/>
          <w:u w:val="none"/>
        </w:rPr>
      </w:pPr>
      <w:r w:rsidRPr="006D5CAE">
        <w:rPr>
          <w:b w:val="0"/>
          <w:sz w:val="22"/>
          <w:u w:val="none"/>
        </w:rPr>
        <w:t>Sometimes a person dealing (usually contractually) with A and undertakes to perform a service for A, can owe a duty to B if that service is not done carefully.</w:t>
      </w:r>
      <w:r w:rsidRPr="006D5CAE">
        <w:rPr>
          <w:b w:val="0"/>
          <w:sz w:val="22"/>
          <w:u w:val="none"/>
        </w:rPr>
        <w:br/>
      </w:r>
      <w:r w:rsidRPr="006D5CAE">
        <w:rPr>
          <w:b w:val="0"/>
          <w:sz w:val="22"/>
          <w:u w:val="none"/>
        </w:rPr>
        <w:br/>
      </w:r>
      <w:r w:rsidRPr="006D5CAE">
        <w:rPr>
          <w:b w:val="0"/>
          <w:i/>
          <w:color w:val="1F497D" w:themeColor="text2"/>
          <w:sz w:val="22"/>
          <w:u w:val="none"/>
        </w:rPr>
        <w:t>BDC</w:t>
      </w:r>
      <w:r w:rsidRPr="006D5CAE">
        <w:rPr>
          <w:b w:val="0"/>
          <w:sz w:val="22"/>
          <w:u w:val="none"/>
        </w:rPr>
        <w:t xml:space="preserve"> failed on proximity (stage 1) when the Court held that there was no duty of care between a courier, and a </w:t>
      </w:r>
      <w:proofErr w:type="gramStart"/>
      <w:r w:rsidRPr="006D5CAE">
        <w:rPr>
          <w:b w:val="0"/>
          <w:sz w:val="22"/>
          <w:u w:val="none"/>
        </w:rPr>
        <w:t>third-party</w:t>
      </w:r>
      <w:proofErr w:type="gramEnd"/>
      <w:r w:rsidRPr="006D5CAE">
        <w:rPr>
          <w:b w:val="0"/>
          <w:sz w:val="22"/>
          <w:u w:val="none"/>
        </w:rPr>
        <w:t xml:space="preserve"> (unknown to the </w:t>
      </w:r>
      <w:proofErr w:type="spellStart"/>
      <w:r w:rsidRPr="006D5CAE">
        <w:rPr>
          <w:b w:val="0"/>
          <w:sz w:val="22"/>
          <w:u w:val="none"/>
        </w:rPr>
        <w:t>courirer</w:t>
      </w:r>
      <w:proofErr w:type="spellEnd"/>
      <w:r w:rsidRPr="006D5CAE">
        <w:rPr>
          <w:b w:val="0"/>
          <w:sz w:val="22"/>
          <w:u w:val="none"/>
        </w:rPr>
        <w:t>) relying on timely delivery.</w:t>
      </w:r>
      <w:r w:rsidR="00033D4D" w:rsidRPr="006D5CAE">
        <w:rPr>
          <w:b w:val="0"/>
          <w:sz w:val="22"/>
          <w:u w:val="none"/>
        </w:rPr>
        <w:t xml:space="preserve"> Court held there was no proximity because courier had no knowledge of the respondent’s existence and so could not have brought him within the reasonable contemplation of the appellant. Furthermore, there was no reliance because the risk of loss was between the </w:t>
      </w:r>
      <w:proofErr w:type="gramStart"/>
      <w:r w:rsidR="00033D4D" w:rsidRPr="006D5CAE">
        <w:rPr>
          <w:b w:val="0"/>
          <w:sz w:val="22"/>
          <w:u w:val="none"/>
        </w:rPr>
        <w:t>Crown</w:t>
      </w:r>
      <w:proofErr w:type="gramEnd"/>
      <w:r w:rsidR="00033D4D" w:rsidRPr="006D5CAE">
        <w:rPr>
          <w:b w:val="0"/>
          <w:sz w:val="22"/>
          <w:u w:val="none"/>
        </w:rPr>
        <w:t xml:space="preserve"> and respondent an arrangement the courier service was not a party to.</w:t>
      </w:r>
      <w:r w:rsidRPr="006D5CAE">
        <w:rPr>
          <w:b w:val="0"/>
          <w:sz w:val="22"/>
          <w:u w:val="none"/>
        </w:rPr>
        <w:br/>
      </w:r>
      <w:r w:rsidRPr="006D5CAE">
        <w:rPr>
          <w:b w:val="0"/>
          <w:sz w:val="22"/>
          <w:u w:val="none"/>
        </w:rPr>
        <w:br/>
        <w:t xml:space="preserve">In </w:t>
      </w:r>
      <w:r w:rsidRPr="006D5CAE">
        <w:rPr>
          <w:b w:val="0"/>
          <w:i/>
          <w:color w:val="1F497D" w:themeColor="text2"/>
          <w:sz w:val="22"/>
          <w:u w:val="none"/>
        </w:rPr>
        <w:t>James</w:t>
      </w:r>
      <w:r w:rsidRPr="006D5CAE">
        <w:rPr>
          <w:b w:val="0"/>
          <w:sz w:val="22"/>
          <w:u w:val="none"/>
        </w:rPr>
        <w:t xml:space="preserve"> the BCCA was not prepared to rule out the </w:t>
      </w:r>
      <w:proofErr w:type="spellStart"/>
      <w:r w:rsidRPr="006D5CAE">
        <w:rPr>
          <w:b w:val="0"/>
          <w:sz w:val="22"/>
          <w:u w:val="none"/>
        </w:rPr>
        <w:t>the</w:t>
      </w:r>
      <w:proofErr w:type="spellEnd"/>
      <w:r w:rsidRPr="006D5CAE">
        <w:rPr>
          <w:b w:val="0"/>
          <w:sz w:val="22"/>
          <w:u w:val="none"/>
        </w:rPr>
        <w:t xml:space="preserve"> Minister owed a duty of care to the workers of a mill when in deciding to approve the terms of the mills’ new license he did not take reasonable care to ensure that the employees’ interests were protected by retaining the power to prohibit closure of the mill. </w:t>
      </w:r>
      <w:r w:rsidRPr="006D5CAE">
        <w:rPr>
          <w:b w:val="0"/>
          <w:sz w:val="22"/>
          <w:u w:val="none"/>
        </w:rPr>
        <w:br/>
      </w:r>
      <w:r w:rsidRPr="006D5CAE">
        <w:rPr>
          <w:b w:val="0"/>
          <w:sz w:val="22"/>
          <w:u w:val="none"/>
        </w:rPr>
        <w:br/>
        <w:t>Not all pure economic loss duties of care turn on reliance. This is only true of the duties where the casual link involves the plaintiff doing something different from what he or she otherwise would have done (like negligent misstatement).</w:t>
      </w:r>
    </w:p>
    <w:p w:rsidR="0084548A" w:rsidRPr="006D5CAE" w:rsidRDefault="0084548A" w:rsidP="00926C99">
      <w:pPr>
        <w:pStyle w:val="Heading2"/>
        <w:rPr>
          <w:rFonts w:ascii="Baskerville Old Face" w:hAnsi="Baskerville Old Face"/>
          <w:b/>
          <w:color w:val="auto"/>
        </w:rPr>
      </w:pPr>
      <w:bookmarkStart w:id="9" w:name="_Toc258695611"/>
      <w:r w:rsidRPr="006D5CAE">
        <w:rPr>
          <w:rFonts w:ascii="Baskerville Old Face" w:hAnsi="Baskerville Old Face"/>
          <w:b/>
          <w:color w:val="auto"/>
        </w:rPr>
        <w:t>14.4: Negligent supply of shoddy goods or structures</w:t>
      </w:r>
      <w:bookmarkEnd w:id="9"/>
    </w:p>
    <w:p w:rsidR="00881F7A" w:rsidRPr="006D5CAE" w:rsidRDefault="00033D4D" w:rsidP="00926C99">
      <w:pPr>
        <w:rPr>
          <w:b w:val="0"/>
          <w:sz w:val="22"/>
        </w:rPr>
      </w:pPr>
      <w:r w:rsidRPr="006D5CAE">
        <w:rPr>
          <w:b w:val="0"/>
          <w:sz w:val="22"/>
          <w:highlight w:val="yellow"/>
        </w:rPr>
        <w:br/>
      </w:r>
      <w:r w:rsidR="0084548A" w:rsidRPr="006D5CAE">
        <w:rPr>
          <w:b w:val="0"/>
          <w:sz w:val="22"/>
          <w:highlight w:val="yellow"/>
        </w:rPr>
        <w:t xml:space="preserve">Winnipeg Condominium Corp No 36 v Bird Construction Co </w:t>
      </w:r>
      <w:r w:rsidR="00926C99" w:rsidRPr="006D5CAE">
        <w:rPr>
          <w:b w:val="0"/>
          <w:sz w:val="22"/>
          <w:highlight w:val="yellow"/>
        </w:rPr>
        <w:t>(1995 SCC)</w:t>
      </w:r>
    </w:p>
    <w:p w:rsidR="002D30E2" w:rsidRPr="006D5CAE" w:rsidRDefault="002D30E2" w:rsidP="00926C99">
      <w:pPr>
        <w:rPr>
          <w:b w:val="0"/>
          <w:sz w:val="22"/>
          <w:u w:val="none"/>
        </w:rPr>
      </w:pPr>
      <w:r w:rsidRPr="006D5CAE">
        <w:rPr>
          <w:b w:val="0"/>
          <w:i/>
          <w:color w:val="1F497D" w:themeColor="text2"/>
          <w:sz w:val="22"/>
          <w:u w:val="none"/>
        </w:rPr>
        <w:t>Winnipeg Condo</w:t>
      </w:r>
      <w:r w:rsidRPr="006D5CAE">
        <w:rPr>
          <w:b w:val="0"/>
          <w:sz w:val="22"/>
          <w:u w:val="none"/>
        </w:rPr>
        <w:t xml:space="preserve"> found those responsible for the construction of the apartment building were under a duty of care to eventual owners of the building to ensure that the owners would not have to spend money on fixing construction defects. It applies only to </w:t>
      </w:r>
      <w:r w:rsidRPr="006D5CAE">
        <w:rPr>
          <w:color w:val="800000"/>
          <w:sz w:val="22"/>
          <w:u w:val="none"/>
        </w:rPr>
        <w:t>latent defects</w:t>
      </w:r>
      <w:r w:rsidRPr="006D5CAE">
        <w:rPr>
          <w:b w:val="0"/>
          <w:sz w:val="22"/>
          <w:u w:val="none"/>
        </w:rPr>
        <w:t xml:space="preserve"> (if they were patent, they would have been taken into account in fixing the purchase price), and only to dangerous defects (because the tort duty is a duty geared to physical safety, not to other aspects of construction quality). </w:t>
      </w:r>
    </w:p>
    <w:p w:rsidR="002D30E2" w:rsidRPr="006D5CAE" w:rsidRDefault="002D30E2" w:rsidP="00926C99">
      <w:pPr>
        <w:rPr>
          <w:b w:val="0"/>
          <w:sz w:val="22"/>
          <w:u w:val="none"/>
        </w:rPr>
      </w:pPr>
      <w:r w:rsidRPr="006D5CAE">
        <w:rPr>
          <w:color w:val="800000"/>
          <w:sz w:val="22"/>
          <w:u w:val="none"/>
        </w:rPr>
        <w:t>“Dangerous”,</w:t>
      </w:r>
      <w:r w:rsidRPr="006D5CAE">
        <w:rPr>
          <w:b w:val="0"/>
          <w:sz w:val="22"/>
          <w:u w:val="none"/>
        </w:rPr>
        <w:t xml:space="preserve"> for this purpose, has been pretty generously interpreted – any defect that, if left </w:t>
      </w:r>
      <w:proofErr w:type="spellStart"/>
      <w:r w:rsidRPr="006D5CAE">
        <w:rPr>
          <w:b w:val="0"/>
          <w:sz w:val="22"/>
          <w:u w:val="none"/>
        </w:rPr>
        <w:t>unremedied</w:t>
      </w:r>
      <w:proofErr w:type="spellEnd"/>
      <w:r w:rsidRPr="006D5CAE">
        <w:rPr>
          <w:b w:val="0"/>
          <w:sz w:val="22"/>
          <w:u w:val="none"/>
        </w:rPr>
        <w:t xml:space="preserve">, threatens </w:t>
      </w:r>
      <w:r w:rsidRPr="006D5CAE">
        <w:rPr>
          <w:b w:val="0"/>
          <w:color w:val="800000"/>
          <w:sz w:val="22"/>
          <w:u w:val="none"/>
        </w:rPr>
        <w:t>the eventual structural failure of the building or some other physical harm</w:t>
      </w:r>
      <w:r w:rsidRPr="006D5CAE">
        <w:rPr>
          <w:b w:val="0"/>
          <w:sz w:val="22"/>
          <w:u w:val="none"/>
        </w:rPr>
        <w:t xml:space="preserve"> (such as the leakage of pollution).</w:t>
      </w:r>
    </w:p>
    <w:p w:rsidR="00926C99" w:rsidRPr="006D5CAE" w:rsidRDefault="00926C99" w:rsidP="00926C99">
      <w:pPr>
        <w:pStyle w:val="Heading2"/>
        <w:rPr>
          <w:rFonts w:ascii="Baskerville Old Face" w:hAnsi="Baskerville Old Face"/>
          <w:b/>
          <w:color w:val="auto"/>
        </w:rPr>
      </w:pPr>
      <w:bookmarkStart w:id="10" w:name="_Toc258695612"/>
      <w:r w:rsidRPr="006D5CAE">
        <w:rPr>
          <w:rFonts w:ascii="Baskerville Old Face" w:hAnsi="Baskerville Old Face"/>
          <w:b/>
          <w:color w:val="auto"/>
        </w:rPr>
        <w:t>14.5: Relational Economic Loss</w:t>
      </w:r>
      <w:bookmarkEnd w:id="10"/>
    </w:p>
    <w:p w:rsidR="00926C99" w:rsidRPr="006D5CAE" w:rsidRDefault="00926C99" w:rsidP="00926C99">
      <w:pPr>
        <w:rPr>
          <w:b w:val="0"/>
          <w:sz w:val="22"/>
        </w:rPr>
      </w:pPr>
      <w:r w:rsidRPr="006D5CAE">
        <w:rPr>
          <w:sz w:val="22"/>
        </w:rPr>
        <w:br/>
      </w:r>
      <w:r w:rsidRPr="006D5CAE">
        <w:rPr>
          <w:b w:val="0"/>
          <w:sz w:val="22"/>
          <w:highlight w:val="yellow"/>
        </w:rPr>
        <w:t>Bow Valley Husky (Bermuda) Ltd v Saint John Shipbuilding Ltd (1997 SCC)</w:t>
      </w:r>
    </w:p>
    <w:p w:rsidR="00E350C0" w:rsidRPr="006D5CAE" w:rsidRDefault="001A6877" w:rsidP="00926C99">
      <w:pPr>
        <w:rPr>
          <w:b w:val="0"/>
          <w:sz w:val="22"/>
          <w:u w:val="none"/>
        </w:rPr>
      </w:pPr>
      <w:r w:rsidRPr="006D5CAE">
        <w:rPr>
          <w:b w:val="0"/>
          <w:sz w:val="22"/>
          <w:u w:val="none"/>
        </w:rPr>
        <w:t>Relational Economic loss refers to situations where the defendant, as a result of negligently damaging property belonging to a third-party, also causes a pure economic loss to the plaintiff with whom the third party had a relationship.</w:t>
      </w:r>
      <w:r w:rsidR="00E76D83" w:rsidRPr="006D5CAE">
        <w:rPr>
          <w:b w:val="0"/>
          <w:sz w:val="22"/>
          <w:u w:val="none"/>
        </w:rPr>
        <w:t xml:space="preserve"> These are very hard to prove, because of proximity grounds and </w:t>
      </w:r>
      <w:r w:rsidR="00E350C0" w:rsidRPr="006D5CAE">
        <w:rPr>
          <w:b w:val="0"/>
          <w:sz w:val="22"/>
          <w:u w:val="none"/>
        </w:rPr>
        <w:t>policy considerations (indeterminate liability).</w:t>
      </w:r>
    </w:p>
    <w:p w:rsidR="001D2553" w:rsidRPr="006D5CAE" w:rsidRDefault="00E350C0" w:rsidP="00926C99">
      <w:pPr>
        <w:pBdr>
          <w:bottom w:val="single" w:sz="12" w:space="1" w:color="auto"/>
        </w:pBdr>
        <w:rPr>
          <w:b w:val="0"/>
          <w:sz w:val="22"/>
          <w:u w:val="none"/>
        </w:rPr>
      </w:pPr>
      <w:proofErr w:type="spellStart"/>
      <w:r w:rsidRPr="006D5CAE">
        <w:rPr>
          <w:b w:val="0"/>
          <w:i/>
          <w:sz w:val="22"/>
          <w:u w:val="none"/>
        </w:rPr>
        <w:t>Norsk</w:t>
      </w:r>
      <w:proofErr w:type="spellEnd"/>
      <w:r w:rsidRPr="006D5CAE">
        <w:rPr>
          <w:b w:val="0"/>
          <w:sz w:val="22"/>
          <w:u w:val="none"/>
        </w:rPr>
        <w:t xml:space="preserve"> and </w:t>
      </w:r>
      <w:r w:rsidRPr="006D5CAE">
        <w:rPr>
          <w:b w:val="0"/>
          <w:i/>
          <w:sz w:val="22"/>
          <w:u w:val="none"/>
        </w:rPr>
        <w:t>Cattle</w:t>
      </w:r>
      <w:r w:rsidRPr="006D5CAE">
        <w:rPr>
          <w:b w:val="0"/>
          <w:sz w:val="22"/>
          <w:u w:val="none"/>
        </w:rPr>
        <w:t xml:space="preserve"> were the predecessors of </w:t>
      </w:r>
      <w:r w:rsidRPr="006D5CAE">
        <w:rPr>
          <w:b w:val="0"/>
          <w:i/>
          <w:sz w:val="22"/>
          <w:u w:val="none"/>
        </w:rPr>
        <w:t>Bow Valley Husky</w:t>
      </w:r>
      <w:r w:rsidRPr="006D5CAE">
        <w:rPr>
          <w:b w:val="0"/>
          <w:sz w:val="22"/>
          <w:u w:val="none"/>
        </w:rPr>
        <w:t xml:space="preserve">. </w:t>
      </w:r>
      <w:proofErr w:type="spellStart"/>
      <w:r w:rsidRPr="006D5CAE">
        <w:rPr>
          <w:b w:val="0"/>
          <w:i/>
          <w:sz w:val="22"/>
          <w:u w:val="none"/>
        </w:rPr>
        <w:t>Norsk</w:t>
      </w:r>
      <w:proofErr w:type="spellEnd"/>
      <w:r w:rsidRPr="006D5CAE">
        <w:rPr>
          <w:b w:val="0"/>
          <w:sz w:val="22"/>
          <w:u w:val="none"/>
        </w:rPr>
        <w:t xml:space="preserve"> avoided indeterminate liability by stipulating a “joint-venture” requirement. </w:t>
      </w:r>
      <w:r w:rsidRPr="006D5CAE">
        <w:rPr>
          <w:b w:val="0"/>
          <w:i/>
          <w:sz w:val="22"/>
          <w:u w:val="none"/>
        </w:rPr>
        <w:t>D’</w:t>
      </w:r>
      <w:r w:rsidRPr="006D5CAE">
        <w:rPr>
          <w:b w:val="0"/>
          <w:sz w:val="22"/>
          <w:u w:val="none"/>
        </w:rPr>
        <w:t>Amato shows that you can’t claim relational economic loss for physical injury to an employee</w:t>
      </w:r>
      <w:r w:rsidR="00D332EA" w:rsidRPr="006D5CAE">
        <w:rPr>
          <w:b w:val="0"/>
          <w:sz w:val="22"/>
          <w:u w:val="none"/>
        </w:rPr>
        <w:t>,</w:t>
      </w:r>
      <w:r w:rsidRPr="006D5CAE">
        <w:rPr>
          <w:b w:val="0"/>
          <w:sz w:val="22"/>
          <w:u w:val="none"/>
        </w:rPr>
        <w:t xml:space="preserve"> which you depend on. The courts usually rely on the plaintiff to financially manage his own risk of damage to third-party property (insurance) and do not want to run into indeterminate liability by being unable to reasonably define a limited class of plaintiffs. </w:t>
      </w:r>
      <w:r w:rsidR="00D332EA" w:rsidRPr="006D5CAE">
        <w:rPr>
          <w:b w:val="0"/>
          <w:sz w:val="22"/>
          <w:u w:val="none"/>
        </w:rPr>
        <w:br/>
        <w:t xml:space="preserve">In addition to the </w:t>
      </w:r>
      <w:proofErr w:type="spellStart"/>
      <w:r w:rsidR="00D332EA" w:rsidRPr="006D5CAE">
        <w:rPr>
          <w:b w:val="0"/>
          <w:i/>
          <w:sz w:val="22"/>
          <w:u w:val="none"/>
        </w:rPr>
        <w:t>Norsk</w:t>
      </w:r>
      <w:proofErr w:type="spellEnd"/>
      <w:r w:rsidR="00D332EA" w:rsidRPr="006D5CAE">
        <w:rPr>
          <w:b w:val="0"/>
          <w:sz w:val="22"/>
          <w:u w:val="none"/>
        </w:rPr>
        <w:t xml:space="preserve"> “joint venture” exception, there are also exceptions when the claimant has a possessory or proprietary interest in the damaged property (not relational economic loss though) and “general average” cases.</w:t>
      </w:r>
      <w:r w:rsidR="00D332EA" w:rsidRPr="006D5CAE">
        <w:rPr>
          <w:b w:val="0"/>
          <w:sz w:val="22"/>
          <w:u w:val="none"/>
        </w:rPr>
        <w:br/>
      </w:r>
    </w:p>
    <w:p w:rsidR="001D2553" w:rsidRPr="006D5CAE" w:rsidRDefault="001D2553" w:rsidP="001D2553">
      <w:pPr>
        <w:pStyle w:val="Heading1"/>
        <w:rPr>
          <w:rFonts w:ascii="Baskerville" w:hAnsi="Baskerville"/>
          <w:b/>
          <w:color w:val="auto"/>
        </w:rPr>
      </w:pPr>
      <w:bookmarkStart w:id="11" w:name="_Toc258695613"/>
      <w:r w:rsidRPr="006D5CAE">
        <w:rPr>
          <w:rFonts w:ascii="Baskerville" w:hAnsi="Baskerville"/>
          <w:b/>
          <w:color w:val="auto"/>
        </w:rPr>
        <w:t>CHAPTER XV — THE STANDARD OF CARE</w:t>
      </w:r>
      <w:bookmarkEnd w:id="11"/>
    </w:p>
    <w:p w:rsidR="001A6877" w:rsidRPr="006D5CAE" w:rsidRDefault="001D2553" w:rsidP="001D2553">
      <w:pPr>
        <w:pStyle w:val="Heading2"/>
        <w:rPr>
          <w:rFonts w:ascii="Baskerville Old Face" w:hAnsi="Baskerville Old Face"/>
          <w:b/>
          <w:color w:val="auto"/>
        </w:rPr>
      </w:pPr>
      <w:bookmarkStart w:id="12" w:name="_Toc258695614"/>
      <w:r w:rsidRPr="006D5CAE">
        <w:rPr>
          <w:rFonts w:ascii="Baskerville Old Face" w:hAnsi="Baskerville Old Face"/>
          <w:b/>
          <w:color w:val="auto"/>
        </w:rPr>
        <w:t>15.2: The common law standard of care: the reasonable person test</w:t>
      </w:r>
      <w:bookmarkEnd w:id="12"/>
    </w:p>
    <w:p w:rsidR="002D30E2" w:rsidRPr="006D5CAE" w:rsidRDefault="001D2553" w:rsidP="00926C99">
      <w:pPr>
        <w:rPr>
          <w:b w:val="0"/>
          <w:sz w:val="22"/>
        </w:rPr>
      </w:pPr>
      <w:r w:rsidRPr="006D5CAE">
        <w:rPr>
          <w:b w:val="0"/>
          <w:sz w:val="22"/>
          <w:u w:val="none"/>
        </w:rPr>
        <w:br/>
      </w:r>
      <w:proofErr w:type="spellStart"/>
      <w:r w:rsidRPr="006D5CAE">
        <w:rPr>
          <w:b w:val="0"/>
          <w:sz w:val="22"/>
          <w:highlight w:val="yellow"/>
        </w:rPr>
        <w:t>Arland</w:t>
      </w:r>
      <w:proofErr w:type="spellEnd"/>
      <w:r w:rsidRPr="006D5CAE">
        <w:rPr>
          <w:b w:val="0"/>
          <w:sz w:val="22"/>
          <w:highlight w:val="yellow"/>
        </w:rPr>
        <w:t xml:space="preserve"> v Taylor (1955 </w:t>
      </w:r>
      <w:proofErr w:type="spellStart"/>
      <w:r w:rsidRPr="006D5CAE">
        <w:rPr>
          <w:b w:val="0"/>
          <w:sz w:val="22"/>
          <w:highlight w:val="yellow"/>
        </w:rPr>
        <w:t>Ont</w:t>
      </w:r>
      <w:proofErr w:type="spellEnd"/>
      <w:r w:rsidRPr="006D5CAE">
        <w:rPr>
          <w:b w:val="0"/>
          <w:sz w:val="22"/>
          <w:highlight w:val="yellow"/>
        </w:rPr>
        <w:t xml:space="preserve"> CA)</w:t>
      </w:r>
    </w:p>
    <w:p w:rsidR="000B5120" w:rsidRPr="006D5CAE" w:rsidRDefault="000B5120" w:rsidP="00A44377">
      <w:pPr>
        <w:rPr>
          <w:b w:val="0"/>
          <w:sz w:val="22"/>
          <w:u w:val="none"/>
        </w:rPr>
      </w:pPr>
      <w:r w:rsidRPr="006D5CAE">
        <w:rPr>
          <w:b w:val="0"/>
          <w:sz w:val="22"/>
          <w:u w:val="none"/>
        </w:rPr>
        <w:t xml:space="preserve">The standard of care for negligence is the </w:t>
      </w:r>
      <w:r w:rsidRPr="006D5CAE">
        <w:rPr>
          <w:color w:val="800000"/>
          <w:sz w:val="22"/>
          <w:u w:val="none"/>
        </w:rPr>
        <w:t>conduct of a reasonable person</w:t>
      </w:r>
      <w:r w:rsidRPr="006D5CAE">
        <w:rPr>
          <w:b w:val="0"/>
          <w:sz w:val="22"/>
          <w:u w:val="none"/>
        </w:rPr>
        <w:t xml:space="preserve">. </w:t>
      </w:r>
      <w:r w:rsidR="00E46EA5" w:rsidRPr="006D5CAE">
        <w:rPr>
          <w:b w:val="0"/>
          <w:sz w:val="22"/>
          <w:u w:val="none"/>
        </w:rPr>
        <w:t xml:space="preserve">The reasonable person is of normal intelligence </w:t>
      </w:r>
      <w:proofErr w:type="gramStart"/>
      <w:r w:rsidR="00E46EA5" w:rsidRPr="006D5CAE">
        <w:rPr>
          <w:b w:val="0"/>
          <w:sz w:val="22"/>
          <w:u w:val="none"/>
        </w:rPr>
        <w:t>who</w:t>
      </w:r>
      <w:proofErr w:type="gramEnd"/>
      <w:r w:rsidR="00E46EA5" w:rsidRPr="006D5CAE">
        <w:rPr>
          <w:b w:val="0"/>
          <w:sz w:val="22"/>
          <w:u w:val="none"/>
        </w:rPr>
        <w:t xml:space="preserve"> makes prudence a guide to his conduct. </w:t>
      </w:r>
      <w:r w:rsidRPr="006D5CAE">
        <w:rPr>
          <w:b w:val="0"/>
          <w:sz w:val="22"/>
          <w:u w:val="none"/>
        </w:rPr>
        <w:t xml:space="preserve">The reasonable person is </w:t>
      </w:r>
      <w:r w:rsidRPr="006D5CAE">
        <w:rPr>
          <w:color w:val="800000"/>
          <w:sz w:val="22"/>
          <w:u w:val="none"/>
        </w:rPr>
        <w:t>not</w:t>
      </w:r>
      <w:r w:rsidRPr="006D5CAE">
        <w:rPr>
          <w:b w:val="0"/>
          <w:sz w:val="22"/>
          <w:u w:val="none"/>
        </w:rPr>
        <w:t xml:space="preserve"> the standard of </w:t>
      </w:r>
      <w:r w:rsidRPr="006D5CAE">
        <w:rPr>
          <w:color w:val="800000"/>
          <w:sz w:val="22"/>
          <w:u w:val="none"/>
        </w:rPr>
        <w:t>an actual person</w:t>
      </w:r>
      <w:r w:rsidRPr="006D5CAE">
        <w:rPr>
          <w:b w:val="0"/>
          <w:sz w:val="22"/>
          <w:u w:val="none"/>
        </w:rPr>
        <w:t>, because the reasonable person is infallibly reasonable, whereas no actual person is. The jury should not be instructed to ask themselves what they would have done, because hindsight may get the better of them and cause them to fallaciously raise the standard.</w:t>
      </w:r>
    </w:p>
    <w:p w:rsidR="000B5120" w:rsidRPr="006D5CAE" w:rsidRDefault="000B5120" w:rsidP="00A44377">
      <w:pPr>
        <w:pStyle w:val="Heading2"/>
        <w:rPr>
          <w:rFonts w:ascii="Baskerville Old Face" w:hAnsi="Baskerville Old Face"/>
          <w:b/>
          <w:color w:val="auto"/>
        </w:rPr>
      </w:pPr>
      <w:bookmarkStart w:id="13" w:name="_Toc258695615"/>
      <w:r w:rsidRPr="006D5CAE">
        <w:rPr>
          <w:rFonts w:ascii="Baskerville Old Face" w:hAnsi="Baskerville Old Face"/>
          <w:b/>
          <w:color w:val="auto"/>
        </w:rPr>
        <w:t>15.3: Factors considered in determining breach of the standard of care</w:t>
      </w:r>
      <w:bookmarkEnd w:id="13"/>
      <w:r w:rsidR="00A44377" w:rsidRPr="006D5CAE">
        <w:rPr>
          <w:rFonts w:ascii="Baskerville Old Face" w:hAnsi="Baskerville Old Face"/>
          <w:b/>
          <w:color w:val="auto"/>
        </w:rPr>
        <w:br/>
      </w:r>
    </w:p>
    <w:p w:rsidR="000B5120" w:rsidRPr="006D5CAE" w:rsidRDefault="000B5120" w:rsidP="00881F7A">
      <w:pPr>
        <w:pBdr>
          <w:bottom w:val="single" w:sz="12" w:space="1" w:color="auto"/>
        </w:pBdr>
        <w:rPr>
          <w:b w:val="0"/>
          <w:sz w:val="22"/>
        </w:rPr>
      </w:pPr>
      <w:r w:rsidRPr="006D5CAE">
        <w:rPr>
          <w:b w:val="0"/>
          <w:sz w:val="22"/>
          <w:highlight w:val="yellow"/>
        </w:rPr>
        <w:t xml:space="preserve">Bolton v Stone (1951 HL, Vaughn v Halifax-Dartmouth Bridge </w:t>
      </w:r>
      <w:proofErr w:type="spellStart"/>
      <w:r w:rsidRPr="006D5CAE">
        <w:rPr>
          <w:b w:val="0"/>
          <w:sz w:val="22"/>
          <w:highlight w:val="yellow"/>
        </w:rPr>
        <w:t>Comm</w:t>
      </w:r>
      <w:proofErr w:type="spellEnd"/>
      <w:r w:rsidRPr="006D5CAE">
        <w:rPr>
          <w:b w:val="0"/>
          <w:sz w:val="22"/>
          <w:highlight w:val="yellow"/>
        </w:rPr>
        <w:t xml:space="preserve"> (1961 NSSC), Law Estate v </w:t>
      </w:r>
      <w:proofErr w:type="spellStart"/>
      <w:r w:rsidRPr="006D5CAE">
        <w:rPr>
          <w:b w:val="0"/>
          <w:sz w:val="22"/>
          <w:highlight w:val="yellow"/>
        </w:rPr>
        <w:t>Simice</w:t>
      </w:r>
      <w:proofErr w:type="spellEnd"/>
      <w:r w:rsidRPr="006D5CAE">
        <w:rPr>
          <w:b w:val="0"/>
          <w:sz w:val="22"/>
          <w:highlight w:val="yellow"/>
        </w:rPr>
        <w:t xml:space="preserve"> (1994 BSCS), Watt v Hertfordshire Country Council (1947 2d Cir)</w:t>
      </w:r>
    </w:p>
    <w:p w:rsidR="00A44377" w:rsidRPr="006D5CAE" w:rsidRDefault="000B5120" w:rsidP="001E500E">
      <w:pPr>
        <w:rPr>
          <w:b w:val="0"/>
          <w:sz w:val="22"/>
          <w:u w:val="none"/>
        </w:rPr>
      </w:pPr>
      <w:r w:rsidRPr="006D5CAE">
        <w:rPr>
          <w:b w:val="0"/>
          <w:sz w:val="22"/>
          <w:u w:val="none"/>
        </w:rPr>
        <w:t>Applying the standard of care involves weighing not only the probability of an accident but also the severity of the accident, so a small risk of small damage is not negligent (</w:t>
      </w:r>
      <w:r w:rsidRPr="006D5CAE">
        <w:rPr>
          <w:b w:val="0"/>
          <w:i/>
          <w:sz w:val="22"/>
          <w:u w:val="none"/>
        </w:rPr>
        <w:t>Bolton</w:t>
      </w:r>
      <w:r w:rsidRPr="006D5CAE">
        <w:rPr>
          <w:b w:val="0"/>
          <w:sz w:val="22"/>
          <w:u w:val="none"/>
        </w:rPr>
        <w:t xml:space="preserve">). </w:t>
      </w:r>
      <w:r w:rsidRPr="006D5CAE">
        <w:rPr>
          <w:b w:val="0"/>
          <w:sz w:val="22"/>
          <w:u w:val="none"/>
        </w:rPr>
        <w:br/>
      </w:r>
      <w:r w:rsidRPr="006D5CAE">
        <w:rPr>
          <w:b w:val="0"/>
          <w:sz w:val="22"/>
          <w:u w:val="none"/>
        </w:rPr>
        <w:br/>
        <w:t xml:space="preserve">The cost of taking preventive steps is not relevant when the conduct or service is not required (cricket </w:t>
      </w:r>
      <w:proofErr w:type="spellStart"/>
      <w:r w:rsidRPr="006D5CAE">
        <w:rPr>
          <w:b w:val="0"/>
          <w:sz w:val="22"/>
          <w:u w:val="none"/>
        </w:rPr>
        <w:t>vs</w:t>
      </w:r>
      <w:proofErr w:type="spellEnd"/>
      <w:r w:rsidRPr="006D5CAE">
        <w:rPr>
          <w:b w:val="0"/>
          <w:sz w:val="22"/>
          <w:u w:val="none"/>
        </w:rPr>
        <w:t xml:space="preserve"> bridge repair), but probability of risk plays a role to proportion chance of risk with cost of prevention.</w:t>
      </w:r>
      <w:r w:rsidRPr="006D5CAE">
        <w:rPr>
          <w:b w:val="0"/>
          <w:sz w:val="22"/>
          <w:u w:val="none"/>
        </w:rPr>
        <w:br/>
      </w:r>
      <w:r w:rsidRPr="006D5CAE">
        <w:rPr>
          <w:b w:val="0"/>
          <w:sz w:val="22"/>
          <w:u w:val="none"/>
        </w:rPr>
        <w:br/>
        <w:t>The standard for professionals is tailored to what a reasonable colleague would have done, and it is possible that sometime the expensive use of a scarce resource could legitimately factor into that professional’s decision whether a risk was not significant enough to make use of the resources appropriate.</w:t>
      </w:r>
      <w:r w:rsidRPr="006D5CAE">
        <w:rPr>
          <w:b w:val="0"/>
          <w:sz w:val="22"/>
          <w:u w:val="none"/>
        </w:rPr>
        <w:br/>
      </w:r>
      <w:r w:rsidRPr="006D5CAE">
        <w:rPr>
          <w:b w:val="0"/>
          <w:sz w:val="22"/>
          <w:u w:val="none"/>
        </w:rPr>
        <w:br/>
      </w:r>
      <w:r w:rsidR="00A44377" w:rsidRPr="006D5CAE">
        <w:rPr>
          <w:b w:val="0"/>
          <w:sz w:val="22"/>
          <w:u w:val="none"/>
        </w:rPr>
        <w:t>The standard of care is lowered to take account of the purpose of the activity (why the risk was taken; i.e., emergency).</w:t>
      </w:r>
      <w:r w:rsidR="00A44377" w:rsidRPr="006D5CAE">
        <w:rPr>
          <w:b w:val="0"/>
          <w:sz w:val="22"/>
          <w:u w:val="none"/>
        </w:rPr>
        <w:br/>
      </w:r>
      <w:r w:rsidR="00A44377" w:rsidRPr="006D5CAE">
        <w:rPr>
          <w:b w:val="0"/>
          <w:sz w:val="22"/>
          <w:u w:val="none"/>
        </w:rPr>
        <w:br/>
      </w:r>
      <w:r w:rsidR="00A44377" w:rsidRPr="006D5CAE">
        <w:rPr>
          <w:rStyle w:val="Heading2Char"/>
          <w:rFonts w:ascii="Baskerville Old Face" w:hAnsi="Baskerville Old Face"/>
          <w:color w:val="auto"/>
        </w:rPr>
        <w:t>15.4</w:t>
      </w:r>
      <w:r w:rsidR="00F84E9D" w:rsidRPr="006D5CAE">
        <w:rPr>
          <w:rStyle w:val="Heading2Char"/>
          <w:rFonts w:ascii="Baskerville Old Face" w:hAnsi="Baskerville Old Face"/>
          <w:color w:val="auto"/>
        </w:rPr>
        <w:t>:</w:t>
      </w:r>
      <w:r w:rsidR="00A44377" w:rsidRPr="006D5CAE">
        <w:rPr>
          <w:rStyle w:val="Heading2Char"/>
          <w:rFonts w:ascii="Baskerville Old Face" w:hAnsi="Baskerville Old Face"/>
          <w:color w:val="auto"/>
        </w:rPr>
        <w:t xml:space="preserve"> An economic analysis of the standard of care</w:t>
      </w:r>
    </w:p>
    <w:p w:rsidR="001D2553" w:rsidRPr="006D5CAE" w:rsidRDefault="00A44377" w:rsidP="001E500E">
      <w:pPr>
        <w:rPr>
          <w:rFonts w:eastAsiaTheme="majorEastAsia" w:cstheme="majorBidi"/>
          <w:bCs/>
          <w:sz w:val="26"/>
          <w:szCs w:val="26"/>
        </w:rPr>
      </w:pPr>
      <w:r w:rsidRPr="006D5CAE">
        <w:rPr>
          <w:b w:val="0"/>
          <w:sz w:val="22"/>
          <w:highlight w:val="yellow"/>
        </w:rPr>
        <w:t>United States v Carroll Towing Co (1947 2d Cir)</w:t>
      </w:r>
      <w:r w:rsidRPr="006D5CAE">
        <w:rPr>
          <w:b w:val="0"/>
          <w:sz w:val="22"/>
          <w:u w:val="none"/>
        </w:rPr>
        <w:br/>
      </w:r>
      <w:r w:rsidRPr="006D5CAE">
        <w:rPr>
          <w:b w:val="0"/>
          <w:sz w:val="22"/>
          <w:u w:val="none"/>
        </w:rPr>
        <w:br/>
        <w:t>Punitive damages are used to strip a defendant of their ill-gotten gains, and you should not play risk-calculus (weighing cost of litigation/settlement with cost of preventative measures) where people’s safety/rights is involved.</w:t>
      </w:r>
      <w:r w:rsidRPr="006D5CAE">
        <w:rPr>
          <w:b w:val="0"/>
          <w:sz w:val="22"/>
          <w:u w:val="none"/>
        </w:rPr>
        <w:br/>
      </w:r>
      <w:r w:rsidR="007C333C" w:rsidRPr="006D5CAE">
        <w:rPr>
          <w:b w:val="0"/>
          <w:sz w:val="22"/>
          <w:u w:val="none"/>
        </w:rPr>
        <w:br/>
      </w:r>
      <w:r w:rsidR="007C333C" w:rsidRPr="006D5CAE">
        <w:rPr>
          <w:rStyle w:val="Heading2Char"/>
          <w:rFonts w:ascii="Baskerville Old Face" w:hAnsi="Baskerville Old Face"/>
          <w:bCs w:val="0"/>
          <w:color w:val="auto"/>
        </w:rPr>
        <w:t>15.5: Special Standards Of Care</w:t>
      </w:r>
    </w:p>
    <w:p w:rsidR="007C333C" w:rsidRPr="006D5CAE" w:rsidRDefault="007C333C" w:rsidP="001E500E">
      <w:pPr>
        <w:rPr>
          <w:b w:val="0"/>
          <w:sz w:val="22"/>
          <w:u w:val="none"/>
        </w:rPr>
      </w:pPr>
      <w:r w:rsidRPr="006D5CAE">
        <w:rPr>
          <w:b w:val="0"/>
          <w:sz w:val="22"/>
          <w:u w:val="none"/>
        </w:rPr>
        <w:t>Sometimes the courts will modify or even eliminate the standard of car</w:t>
      </w:r>
      <w:r w:rsidR="001E500E" w:rsidRPr="006D5CAE">
        <w:rPr>
          <w:b w:val="0"/>
          <w:sz w:val="22"/>
          <w:u w:val="none"/>
        </w:rPr>
        <w:t>e on account of personal circum</w:t>
      </w:r>
      <w:r w:rsidRPr="006D5CAE">
        <w:rPr>
          <w:b w:val="0"/>
          <w:sz w:val="22"/>
          <w:u w:val="none"/>
        </w:rPr>
        <w:t>stances of the defendant.</w:t>
      </w:r>
    </w:p>
    <w:p w:rsidR="007C333C" w:rsidRPr="006D5CAE" w:rsidRDefault="007C333C" w:rsidP="001E500E">
      <w:pPr>
        <w:rPr>
          <w:b w:val="0"/>
          <w:sz w:val="22"/>
          <w:u w:val="none"/>
        </w:rPr>
      </w:pPr>
      <w:proofErr w:type="spellStart"/>
      <w:r w:rsidRPr="006D5CAE">
        <w:rPr>
          <w:b w:val="0"/>
          <w:sz w:val="22"/>
          <w:highlight w:val="yellow"/>
        </w:rPr>
        <w:t>Fiala</w:t>
      </w:r>
      <w:proofErr w:type="spellEnd"/>
      <w:r w:rsidRPr="006D5CAE">
        <w:rPr>
          <w:b w:val="0"/>
          <w:sz w:val="22"/>
          <w:highlight w:val="yellow"/>
        </w:rPr>
        <w:t xml:space="preserve"> v </w:t>
      </w:r>
      <w:proofErr w:type="spellStart"/>
      <w:r w:rsidRPr="006D5CAE">
        <w:rPr>
          <w:b w:val="0"/>
          <w:sz w:val="22"/>
          <w:highlight w:val="yellow"/>
        </w:rPr>
        <w:t>Cechmanek</w:t>
      </w:r>
      <w:proofErr w:type="spellEnd"/>
      <w:r w:rsidRPr="006D5CAE">
        <w:rPr>
          <w:b w:val="0"/>
          <w:sz w:val="22"/>
          <w:highlight w:val="yellow"/>
        </w:rPr>
        <w:t xml:space="preserve"> (2001 Alta CA)</w:t>
      </w:r>
      <w:r w:rsidR="009A057F" w:rsidRPr="006D5CAE">
        <w:rPr>
          <w:b w:val="0"/>
          <w:sz w:val="22"/>
          <w:u w:val="none"/>
        </w:rPr>
        <w:t xml:space="preserve"> [mental disability]</w:t>
      </w:r>
    </w:p>
    <w:p w:rsidR="00637844" w:rsidRPr="006D5CAE" w:rsidRDefault="001E500E" w:rsidP="00637844">
      <w:pPr>
        <w:rPr>
          <w:b w:val="0"/>
          <w:sz w:val="22"/>
          <w:u w:val="none"/>
        </w:rPr>
      </w:pPr>
      <w:r w:rsidRPr="006D5CAE">
        <w:rPr>
          <w:b w:val="0"/>
          <w:sz w:val="22"/>
          <w:u w:val="none"/>
        </w:rPr>
        <w:t xml:space="preserve">You must have the </w:t>
      </w:r>
      <w:r w:rsidRPr="006D5CAE">
        <w:rPr>
          <w:sz w:val="22"/>
          <w:u w:val="none"/>
        </w:rPr>
        <w:t>capacity</w:t>
      </w:r>
      <w:r w:rsidR="005A001C" w:rsidRPr="006D5CAE">
        <w:rPr>
          <w:b w:val="0"/>
          <w:sz w:val="22"/>
          <w:u w:val="none"/>
        </w:rPr>
        <w:t xml:space="preserve"> to commit the tort</w:t>
      </w:r>
      <w:r w:rsidRPr="006D5CAE">
        <w:rPr>
          <w:b w:val="0"/>
          <w:sz w:val="22"/>
          <w:u w:val="none"/>
        </w:rPr>
        <w:t>. The defendant must show the absence of these by showing on a balance of probabilities:</w:t>
      </w:r>
    </w:p>
    <w:p w:rsidR="001E500E" w:rsidRPr="006D5CAE" w:rsidRDefault="001E500E" w:rsidP="00637844">
      <w:pPr>
        <w:pStyle w:val="ListParagraph"/>
        <w:numPr>
          <w:ilvl w:val="0"/>
          <w:numId w:val="17"/>
        </w:numPr>
        <w:rPr>
          <w:b w:val="0"/>
          <w:sz w:val="22"/>
          <w:u w:val="none"/>
        </w:rPr>
      </w:pPr>
      <w:r w:rsidRPr="006D5CAE">
        <w:rPr>
          <w:b w:val="0"/>
          <w:sz w:val="22"/>
          <w:u w:val="none"/>
        </w:rPr>
        <w:t>They had no capacity to understand or appreciate the duty of care owed</w:t>
      </w:r>
    </w:p>
    <w:p w:rsidR="00D70B57" w:rsidRPr="006D5CAE" w:rsidRDefault="001E500E" w:rsidP="001E500E">
      <w:pPr>
        <w:pStyle w:val="ListParagraph"/>
        <w:numPr>
          <w:ilvl w:val="0"/>
          <w:numId w:val="17"/>
        </w:numPr>
        <w:rPr>
          <w:b w:val="0"/>
          <w:sz w:val="22"/>
          <w:u w:val="none"/>
        </w:rPr>
      </w:pPr>
      <w:r w:rsidRPr="006D5CAE">
        <w:rPr>
          <w:b w:val="0"/>
          <w:sz w:val="22"/>
          <w:u w:val="none"/>
        </w:rPr>
        <w:t xml:space="preserve">They were unable to discharge their duty of </w:t>
      </w:r>
      <w:proofErr w:type="gramStart"/>
      <w:r w:rsidRPr="006D5CAE">
        <w:rPr>
          <w:b w:val="0"/>
          <w:sz w:val="22"/>
          <w:u w:val="none"/>
        </w:rPr>
        <w:t>care</w:t>
      </w:r>
      <w:proofErr w:type="gramEnd"/>
      <w:r w:rsidRPr="006D5CAE">
        <w:rPr>
          <w:b w:val="0"/>
          <w:sz w:val="22"/>
          <w:u w:val="none"/>
        </w:rPr>
        <w:t xml:space="preserve"> as they had no meaningful control over their action at the time.</w:t>
      </w:r>
    </w:p>
    <w:p w:rsidR="00637844" w:rsidRPr="006D5CAE" w:rsidRDefault="00D70B57" w:rsidP="00D70B57">
      <w:pPr>
        <w:rPr>
          <w:b w:val="0"/>
          <w:sz w:val="22"/>
          <w:u w:val="none"/>
        </w:rPr>
      </w:pPr>
      <w:proofErr w:type="spellStart"/>
      <w:r w:rsidRPr="006D5CAE">
        <w:rPr>
          <w:b w:val="0"/>
          <w:sz w:val="22"/>
          <w:highlight w:val="yellow"/>
        </w:rPr>
        <w:t>Joyal</w:t>
      </w:r>
      <w:proofErr w:type="spellEnd"/>
      <w:r w:rsidRPr="006D5CAE">
        <w:rPr>
          <w:b w:val="0"/>
          <w:sz w:val="22"/>
          <w:highlight w:val="yellow"/>
        </w:rPr>
        <w:t xml:space="preserve"> v </w:t>
      </w:r>
      <w:proofErr w:type="spellStart"/>
      <w:r w:rsidRPr="006D5CAE">
        <w:rPr>
          <w:b w:val="0"/>
          <w:sz w:val="22"/>
          <w:highlight w:val="yellow"/>
        </w:rPr>
        <w:t>Barsby</w:t>
      </w:r>
      <w:proofErr w:type="spellEnd"/>
      <w:r w:rsidRPr="006D5CAE">
        <w:rPr>
          <w:b w:val="0"/>
          <w:sz w:val="22"/>
          <w:highlight w:val="yellow"/>
        </w:rPr>
        <w:t xml:space="preserve"> (1965 Man CA)</w:t>
      </w:r>
      <w:r w:rsidR="009A057F" w:rsidRPr="006D5CAE">
        <w:rPr>
          <w:b w:val="0"/>
          <w:sz w:val="22"/>
          <w:u w:val="none"/>
        </w:rPr>
        <w:t xml:space="preserve"> [children]</w:t>
      </w:r>
    </w:p>
    <w:p w:rsidR="005523BF" w:rsidRPr="006D5CAE" w:rsidRDefault="00D70B57" w:rsidP="00637844">
      <w:pPr>
        <w:rPr>
          <w:b w:val="0"/>
          <w:sz w:val="22"/>
          <w:u w:val="none"/>
        </w:rPr>
      </w:pPr>
      <w:r w:rsidRPr="006D5CAE">
        <w:rPr>
          <w:b w:val="0"/>
          <w:sz w:val="22"/>
          <w:u w:val="none"/>
        </w:rPr>
        <w:t xml:space="preserve">For kids, the standard of care is not reduced to zero, but adjusted to a standard appropriate to the individual child, given his or her age, intelligence and understanding (and background in terms of where they’ve lived and so on). </w:t>
      </w:r>
      <w:r w:rsidR="005523BF" w:rsidRPr="006D5CAE">
        <w:rPr>
          <w:b w:val="0"/>
          <w:sz w:val="22"/>
          <w:u w:val="none"/>
        </w:rPr>
        <w:t>Contributory negligence is therefore possible for children, but must be determined on a case-by-case basis.</w:t>
      </w:r>
    </w:p>
    <w:p w:rsidR="007B55B9" w:rsidRPr="006D5CAE" w:rsidRDefault="005523BF" w:rsidP="00637844">
      <w:pPr>
        <w:rPr>
          <w:b w:val="0"/>
          <w:sz w:val="22"/>
          <w:u w:val="none"/>
        </w:rPr>
      </w:pPr>
      <w:r w:rsidRPr="006D5CAE">
        <w:rPr>
          <w:b w:val="0"/>
          <w:sz w:val="22"/>
          <w:u w:val="none"/>
        </w:rPr>
        <w:t>In contrast to the typical standard of care test, which is not personalized in this way. Child involved in adult activity is expected to meet the standard of care of an adult.</w:t>
      </w:r>
    </w:p>
    <w:p w:rsidR="007B55B9" w:rsidRPr="006D5CAE" w:rsidRDefault="007B55B9" w:rsidP="00637844">
      <w:pPr>
        <w:rPr>
          <w:b w:val="0"/>
          <w:sz w:val="22"/>
          <w:u w:val="none"/>
        </w:rPr>
      </w:pPr>
      <w:r w:rsidRPr="006D5CAE">
        <w:rPr>
          <w:b w:val="0"/>
          <w:sz w:val="22"/>
          <w:highlight w:val="yellow"/>
        </w:rPr>
        <w:t xml:space="preserve">White v Turner (1981 </w:t>
      </w:r>
      <w:proofErr w:type="spellStart"/>
      <w:r w:rsidRPr="006D5CAE">
        <w:rPr>
          <w:b w:val="0"/>
          <w:sz w:val="22"/>
          <w:highlight w:val="yellow"/>
        </w:rPr>
        <w:t>Ont</w:t>
      </w:r>
      <w:proofErr w:type="spellEnd"/>
      <w:r w:rsidRPr="006D5CAE">
        <w:rPr>
          <w:b w:val="0"/>
          <w:sz w:val="22"/>
          <w:highlight w:val="yellow"/>
        </w:rPr>
        <w:t xml:space="preserve"> HC, </w:t>
      </w:r>
      <w:proofErr w:type="spellStart"/>
      <w:r w:rsidRPr="006D5CAE">
        <w:rPr>
          <w:b w:val="0"/>
          <w:sz w:val="22"/>
          <w:highlight w:val="yellow"/>
        </w:rPr>
        <w:t>affd</w:t>
      </w:r>
      <w:proofErr w:type="spellEnd"/>
      <w:r w:rsidRPr="006D5CAE">
        <w:rPr>
          <w:b w:val="0"/>
          <w:sz w:val="22"/>
          <w:highlight w:val="yellow"/>
        </w:rPr>
        <w:t xml:space="preserve"> 1982 </w:t>
      </w:r>
      <w:proofErr w:type="spellStart"/>
      <w:r w:rsidRPr="006D5CAE">
        <w:rPr>
          <w:b w:val="0"/>
          <w:sz w:val="22"/>
          <w:highlight w:val="yellow"/>
        </w:rPr>
        <w:t>Ont</w:t>
      </w:r>
      <w:proofErr w:type="spellEnd"/>
      <w:r w:rsidRPr="006D5CAE">
        <w:rPr>
          <w:b w:val="0"/>
          <w:sz w:val="22"/>
          <w:highlight w:val="yellow"/>
        </w:rPr>
        <w:t xml:space="preserve"> Ca)</w:t>
      </w:r>
      <w:r w:rsidRPr="006D5CAE">
        <w:rPr>
          <w:b w:val="0"/>
          <w:sz w:val="22"/>
          <w:u w:val="none"/>
        </w:rPr>
        <w:t xml:space="preserve"> [professionals]</w:t>
      </w:r>
    </w:p>
    <w:p w:rsidR="00D70B57" w:rsidRPr="006D5CAE" w:rsidRDefault="005523BF" w:rsidP="00637844">
      <w:pPr>
        <w:rPr>
          <w:b w:val="0"/>
          <w:sz w:val="22"/>
          <w:u w:val="none"/>
        </w:rPr>
      </w:pPr>
      <w:r w:rsidRPr="006D5CAE">
        <w:rPr>
          <w:b w:val="0"/>
          <w:sz w:val="22"/>
          <w:u w:val="none"/>
        </w:rPr>
        <w:t xml:space="preserve">A mere error in judgment by a professional is not by itself negligence. The plaintiff must prove on Balance of Probabilities both a </w:t>
      </w:r>
      <w:r w:rsidRPr="006D5CAE">
        <w:rPr>
          <w:sz w:val="22"/>
          <w:u w:val="none"/>
        </w:rPr>
        <w:t>bad result and a negligent conduct</w:t>
      </w:r>
      <w:r w:rsidRPr="006D5CAE">
        <w:rPr>
          <w:b w:val="0"/>
          <w:sz w:val="22"/>
          <w:u w:val="none"/>
        </w:rPr>
        <w:t>.</w:t>
      </w:r>
      <w:r w:rsidRPr="006D5CAE">
        <w:rPr>
          <w:b w:val="0"/>
          <w:sz w:val="22"/>
          <w:u w:val="none"/>
        </w:rPr>
        <w:br/>
      </w:r>
      <w:r w:rsidRPr="006D5CAE">
        <w:rPr>
          <w:b w:val="0"/>
          <w:sz w:val="22"/>
          <w:u w:val="none"/>
        </w:rPr>
        <w:br/>
        <w:t xml:space="preserve">The standard of care for professionals is that of a reasonable professional (standard practice). </w:t>
      </w:r>
      <w:r w:rsidRPr="006D5CAE">
        <w:rPr>
          <w:b w:val="0"/>
          <w:sz w:val="22"/>
          <w:u w:val="none"/>
        </w:rPr>
        <w:br/>
      </w:r>
      <w:r w:rsidRPr="006D5CAE">
        <w:rPr>
          <w:b w:val="0"/>
          <w:sz w:val="22"/>
          <w:u w:val="none"/>
        </w:rPr>
        <w:br/>
        <w:t>The cap for non-pecuniary damages ($300 000) applies to cases of medical malpractice, just like other forms of personal injury.</w:t>
      </w:r>
    </w:p>
    <w:p w:rsidR="00011FE9" w:rsidRPr="006D5CAE" w:rsidRDefault="00011FE9" w:rsidP="00637844">
      <w:pPr>
        <w:rPr>
          <w:rStyle w:val="Heading2Char"/>
          <w:sz w:val="30"/>
        </w:rPr>
      </w:pPr>
      <w:r w:rsidRPr="006D5CAE">
        <w:rPr>
          <w:rStyle w:val="Heading2Char"/>
          <w:rFonts w:ascii="Baskerville Old Face" w:hAnsi="Baskerville Old Face"/>
          <w:color w:val="auto"/>
        </w:rPr>
        <w:t>15.7: Custom</w:t>
      </w:r>
    </w:p>
    <w:p w:rsidR="001E500E" w:rsidRPr="006D5CAE" w:rsidRDefault="00011FE9" w:rsidP="00637844">
      <w:pPr>
        <w:rPr>
          <w:b w:val="0"/>
          <w:sz w:val="22"/>
        </w:rPr>
      </w:pPr>
      <w:proofErr w:type="spellStart"/>
      <w:r w:rsidRPr="006D5CAE">
        <w:rPr>
          <w:b w:val="0"/>
          <w:sz w:val="22"/>
          <w:highlight w:val="yellow"/>
        </w:rPr>
        <w:t>Ter</w:t>
      </w:r>
      <w:proofErr w:type="spellEnd"/>
      <w:r w:rsidRPr="006D5CAE">
        <w:rPr>
          <w:b w:val="0"/>
          <w:sz w:val="22"/>
          <w:highlight w:val="yellow"/>
        </w:rPr>
        <w:t xml:space="preserve"> </w:t>
      </w:r>
      <w:proofErr w:type="spellStart"/>
      <w:r w:rsidRPr="006D5CAE">
        <w:rPr>
          <w:b w:val="0"/>
          <w:sz w:val="22"/>
          <w:highlight w:val="yellow"/>
        </w:rPr>
        <w:t>Neuzen</w:t>
      </w:r>
      <w:proofErr w:type="spellEnd"/>
      <w:r w:rsidRPr="006D5CAE">
        <w:rPr>
          <w:b w:val="0"/>
          <w:sz w:val="22"/>
          <w:highlight w:val="yellow"/>
        </w:rPr>
        <w:t xml:space="preserve"> v </w:t>
      </w:r>
      <w:proofErr w:type="spellStart"/>
      <w:r w:rsidRPr="006D5CAE">
        <w:rPr>
          <w:b w:val="0"/>
          <w:sz w:val="22"/>
          <w:highlight w:val="yellow"/>
        </w:rPr>
        <w:t>Korn</w:t>
      </w:r>
      <w:proofErr w:type="spellEnd"/>
      <w:r w:rsidRPr="006D5CAE">
        <w:rPr>
          <w:b w:val="0"/>
          <w:sz w:val="22"/>
          <w:highlight w:val="yellow"/>
        </w:rPr>
        <w:t xml:space="preserve"> (1995 SCC)</w:t>
      </w:r>
    </w:p>
    <w:p w:rsidR="00011FE9" w:rsidRPr="006D5CAE" w:rsidRDefault="00011FE9" w:rsidP="001E500E">
      <w:pPr>
        <w:pBdr>
          <w:bottom w:val="single" w:sz="12" w:space="1" w:color="auto"/>
        </w:pBdr>
        <w:rPr>
          <w:b w:val="0"/>
          <w:sz w:val="22"/>
          <w:u w:val="none"/>
        </w:rPr>
      </w:pPr>
      <w:r w:rsidRPr="006D5CAE">
        <w:rPr>
          <w:b w:val="0"/>
          <w:sz w:val="22"/>
          <w:u w:val="none"/>
        </w:rPr>
        <w:t>Courts do not have a jurisdiction to settle scientific disputes or choose from divergent opinions of physicians on certain subject. They may only make a finding of fault where there is a violation of universally accepted rules of medicine.</w:t>
      </w:r>
    </w:p>
    <w:p w:rsidR="001A70D9" w:rsidRPr="006D5CAE" w:rsidRDefault="00011FE9" w:rsidP="001E500E">
      <w:pPr>
        <w:pBdr>
          <w:bottom w:val="single" w:sz="12" w:space="1" w:color="auto"/>
        </w:pBdr>
        <w:rPr>
          <w:b w:val="0"/>
          <w:sz w:val="22"/>
          <w:u w:val="none"/>
        </w:rPr>
      </w:pPr>
      <w:r w:rsidRPr="006D5CAE">
        <w:rPr>
          <w:b w:val="0"/>
          <w:sz w:val="22"/>
          <w:u w:val="none"/>
        </w:rPr>
        <w:t>The standard itself is often established only be expert evidence; if the professional standard is proved, a judge or jury can’t say it was inadequate unless the issue is something even lay people can appreciate.</w:t>
      </w:r>
    </w:p>
    <w:p w:rsidR="001A70D9" w:rsidRPr="006D5CAE" w:rsidRDefault="001A70D9" w:rsidP="001E500E">
      <w:pPr>
        <w:pBdr>
          <w:bottom w:val="single" w:sz="12" w:space="1" w:color="auto"/>
        </w:pBdr>
        <w:rPr>
          <w:b w:val="0"/>
          <w:sz w:val="22"/>
          <w:u w:val="none"/>
        </w:rPr>
      </w:pPr>
    </w:p>
    <w:p w:rsidR="00DC33A9" w:rsidRPr="006D5CAE" w:rsidRDefault="001A70D9" w:rsidP="00261317">
      <w:pPr>
        <w:pStyle w:val="Heading1"/>
        <w:rPr>
          <w:rFonts w:ascii="Baskerville" w:hAnsi="Baskerville"/>
          <w:b/>
          <w:color w:val="auto"/>
        </w:rPr>
      </w:pPr>
      <w:bookmarkStart w:id="14" w:name="_Toc258695616"/>
      <w:r w:rsidRPr="006D5CAE">
        <w:rPr>
          <w:rFonts w:ascii="Baskerville" w:hAnsi="Baskerville"/>
          <w:b/>
          <w:color w:val="auto"/>
        </w:rPr>
        <w:t>CHAPTER XVI — CAUSATION</w:t>
      </w:r>
      <w:bookmarkEnd w:id="14"/>
    </w:p>
    <w:p w:rsidR="00DC33A9" w:rsidRPr="006D5CAE" w:rsidRDefault="00DC33A9" w:rsidP="00DC33A9">
      <w:pPr>
        <w:rPr>
          <w:sz w:val="22"/>
        </w:rPr>
      </w:pPr>
    </w:p>
    <w:p w:rsidR="00842FEA" w:rsidRPr="006D5CAE" w:rsidRDefault="00842FEA" w:rsidP="00DC33A9">
      <w:pPr>
        <w:rPr>
          <w:b w:val="0"/>
          <w:sz w:val="22"/>
          <w:u w:val="none"/>
        </w:rPr>
      </w:pPr>
      <w:r w:rsidRPr="006D5CAE">
        <w:rPr>
          <w:b w:val="0"/>
          <w:sz w:val="22"/>
          <w:u w:val="none"/>
        </w:rPr>
        <w:t>Causation is concerned with determining what would have happened if the tort had not been committed?</w:t>
      </w:r>
    </w:p>
    <w:p w:rsidR="00DC33A9" w:rsidRPr="006D5CAE" w:rsidRDefault="00DC33A9" w:rsidP="00DC33A9">
      <w:pPr>
        <w:rPr>
          <w:b w:val="0"/>
          <w:sz w:val="22"/>
          <w:u w:val="none"/>
        </w:rPr>
      </w:pPr>
      <w:r w:rsidRPr="006D5CAE">
        <w:rPr>
          <w:b w:val="0"/>
          <w:sz w:val="22"/>
          <w:u w:val="none"/>
        </w:rPr>
        <w:t xml:space="preserve">In negligence, there are two causation </w:t>
      </w:r>
      <w:proofErr w:type="spellStart"/>
      <w:r w:rsidRPr="006D5CAE">
        <w:rPr>
          <w:b w:val="0"/>
          <w:sz w:val="22"/>
          <w:u w:val="none"/>
        </w:rPr>
        <w:t>subissues</w:t>
      </w:r>
      <w:proofErr w:type="spellEnd"/>
      <w:r w:rsidRPr="006D5CAE">
        <w:rPr>
          <w:b w:val="0"/>
          <w:sz w:val="22"/>
          <w:u w:val="none"/>
        </w:rPr>
        <w:t xml:space="preserve">: </w:t>
      </w:r>
    </w:p>
    <w:p w:rsidR="00DC33A9" w:rsidRPr="006D5CAE" w:rsidRDefault="00DC33A9" w:rsidP="00842FEA">
      <w:pPr>
        <w:pStyle w:val="ListParagraph"/>
        <w:numPr>
          <w:ilvl w:val="0"/>
          <w:numId w:val="18"/>
        </w:numPr>
        <w:rPr>
          <w:b w:val="0"/>
          <w:sz w:val="22"/>
          <w:u w:val="none"/>
        </w:rPr>
      </w:pPr>
      <w:r w:rsidRPr="006D5CAE">
        <w:rPr>
          <w:b w:val="0"/>
          <w:sz w:val="22"/>
          <w:u w:val="none"/>
        </w:rPr>
        <w:t>What test of causation governs the situation? (</w:t>
      </w:r>
      <w:proofErr w:type="gramStart"/>
      <w:r w:rsidRPr="006D5CAE">
        <w:rPr>
          <w:b w:val="0"/>
          <w:color w:val="800000"/>
          <w:sz w:val="22"/>
          <w:u w:val="none"/>
        </w:rPr>
        <w:t>typically</w:t>
      </w:r>
      <w:proofErr w:type="gramEnd"/>
      <w:r w:rsidRPr="006D5CAE">
        <w:rPr>
          <w:b w:val="0"/>
          <w:color w:val="800000"/>
          <w:sz w:val="22"/>
          <w:u w:val="none"/>
        </w:rPr>
        <w:t xml:space="preserve"> but-for test</w:t>
      </w:r>
      <w:r w:rsidRPr="006D5CAE">
        <w:rPr>
          <w:b w:val="0"/>
          <w:sz w:val="22"/>
          <w:u w:val="none"/>
        </w:rPr>
        <w:t>)</w:t>
      </w:r>
    </w:p>
    <w:p w:rsidR="00842FEA" w:rsidRPr="006D5CAE" w:rsidRDefault="00DC33A9" w:rsidP="00842FEA">
      <w:pPr>
        <w:pStyle w:val="ListParagraph"/>
        <w:numPr>
          <w:ilvl w:val="0"/>
          <w:numId w:val="18"/>
        </w:numPr>
        <w:rPr>
          <w:b w:val="0"/>
          <w:sz w:val="22"/>
          <w:u w:val="none"/>
        </w:rPr>
      </w:pPr>
      <w:r w:rsidRPr="006D5CAE">
        <w:rPr>
          <w:b w:val="0"/>
          <w:sz w:val="22"/>
          <w:u w:val="none"/>
        </w:rPr>
        <w:t>Based on the facts, can the plaintiff prove on the balance of probabilities that the defendant’s breach of the standard of care was a cause of his loss? (</w:t>
      </w:r>
      <w:proofErr w:type="gramStart"/>
      <w:r w:rsidRPr="006D5CAE">
        <w:rPr>
          <w:b w:val="0"/>
          <w:color w:val="800000"/>
          <w:sz w:val="22"/>
          <w:u w:val="none"/>
        </w:rPr>
        <w:t>cause</w:t>
      </w:r>
      <w:proofErr w:type="gramEnd"/>
      <w:r w:rsidRPr="006D5CAE">
        <w:rPr>
          <w:b w:val="0"/>
          <w:color w:val="800000"/>
          <w:sz w:val="22"/>
          <w:u w:val="none"/>
        </w:rPr>
        <w:t>-in-fact test</w:t>
      </w:r>
      <w:r w:rsidRPr="006D5CAE">
        <w:rPr>
          <w:b w:val="0"/>
          <w:sz w:val="22"/>
          <w:u w:val="none"/>
        </w:rPr>
        <w:t xml:space="preserve">) </w:t>
      </w:r>
    </w:p>
    <w:p w:rsidR="00842FEA" w:rsidRPr="006D5CAE" w:rsidRDefault="00842FEA" w:rsidP="00842FEA">
      <w:pPr>
        <w:rPr>
          <w:b w:val="0"/>
          <w:sz w:val="22"/>
          <w:u w:val="none"/>
        </w:rPr>
      </w:pPr>
      <w:r w:rsidRPr="006D5CAE">
        <w:rPr>
          <w:b w:val="0"/>
          <w:sz w:val="22"/>
          <w:u w:val="none"/>
        </w:rPr>
        <w:t>These play out differently depending on how many defendants there are:</w:t>
      </w:r>
    </w:p>
    <w:p w:rsidR="00842FEA" w:rsidRPr="006D5CAE" w:rsidRDefault="00842FEA" w:rsidP="00842FEA">
      <w:pPr>
        <w:rPr>
          <w:b w:val="0"/>
          <w:sz w:val="22"/>
          <w:u w:val="none"/>
        </w:rPr>
      </w:pPr>
      <w:r w:rsidRPr="006D5CAE">
        <w:rPr>
          <w:sz w:val="22"/>
        </w:rPr>
        <w:t>One defendant</w:t>
      </w:r>
    </w:p>
    <w:p w:rsidR="00842FEA" w:rsidRPr="006D5CAE" w:rsidRDefault="00842FEA" w:rsidP="00842FEA">
      <w:pPr>
        <w:rPr>
          <w:b w:val="0"/>
          <w:sz w:val="22"/>
          <w:u w:val="none"/>
        </w:rPr>
      </w:pPr>
      <w:r w:rsidRPr="006D5CAE">
        <w:rPr>
          <w:b w:val="0"/>
          <w:color w:val="800000"/>
          <w:sz w:val="22"/>
        </w:rPr>
        <w:t>Alternative cause issue</w:t>
      </w:r>
      <w:r w:rsidRPr="006D5CAE">
        <w:rPr>
          <w:b w:val="0"/>
          <w:sz w:val="22"/>
          <w:u w:val="none"/>
        </w:rPr>
        <w:t xml:space="preserve">: deciding whether the plaintiff’s injury was caused by the defendant’s tort or </w:t>
      </w:r>
      <w:r w:rsidRPr="006D5CAE">
        <w:rPr>
          <w:color w:val="800000"/>
          <w:sz w:val="22"/>
          <w:u w:val="none"/>
        </w:rPr>
        <w:t>by some other cause</w:t>
      </w:r>
      <w:r w:rsidRPr="006D5CAE">
        <w:rPr>
          <w:b w:val="0"/>
          <w:sz w:val="22"/>
          <w:u w:val="none"/>
        </w:rPr>
        <w:t xml:space="preserve"> altogether.</w:t>
      </w:r>
    </w:p>
    <w:p w:rsidR="00842FEA" w:rsidRPr="006D5CAE" w:rsidRDefault="00842FEA" w:rsidP="00842FEA">
      <w:pPr>
        <w:rPr>
          <w:b w:val="0"/>
          <w:sz w:val="22"/>
          <w:u w:val="none"/>
        </w:rPr>
      </w:pPr>
      <w:r w:rsidRPr="006D5CAE">
        <w:rPr>
          <w:b w:val="0"/>
          <w:color w:val="800000"/>
          <w:sz w:val="22"/>
        </w:rPr>
        <w:t>Cumulative cause issue</w:t>
      </w:r>
      <w:r w:rsidRPr="006D5CAE">
        <w:rPr>
          <w:b w:val="0"/>
          <w:sz w:val="22"/>
          <w:u w:val="none"/>
        </w:rPr>
        <w:t xml:space="preserve">: extracting the tort from other factors that led to the injury and deciding whether the tort was necessary for the occurrence of the injury. </w:t>
      </w:r>
      <w:proofErr w:type="gramStart"/>
      <w:r w:rsidRPr="006D5CAE">
        <w:rPr>
          <w:b w:val="0"/>
          <w:sz w:val="22"/>
          <w:u w:val="none"/>
        </w:rPr>
        <w:t>i</w:t>
      </w:r>
      <w:proofErr w:type="gramEnd"/>
      <w:r w:rsidRPr="006D5CAE">
        <w:rPr>
          <w:b w:val="0"/>
          <w:sz w:val="22"/>
          <w:u w:val="none"/>
        </w:rPr>
        <w:t xml:space="preserve">.e. whether the injury would have occurred, </w:t>
      </w:r>
      <w:r w:rsidRPr="006D5CAE">
        <w:rPr>
          <w:color w:val="800000"/>
          <w:sz w:val="22"/>
          <w:u w:val="none"/>
        </w:rPr>
        <w:t>but-for the tort</w:t>
      </w:r>
      <w:r w:rsidRPr="006D5CAE">
        <w:rPr>
          <w:b w:val="0"/>
          <w:sz w:val="22"/>
          <w:u w:val="none"/>
        </w:rPr>
        <w:t>.</w:t>
      </w:r>
    </w:p>
    <w:p w:rsidR="00842FEA" w:rsidRPr="006D5CAE" w:rsidRDefault="00842FEA" w:rsidP="00842FEA">
      <w:pPr>
        <w:rPr>
          <w:sz w:val="22"/>
        </w:rPr>
      </w:pPr>
      <w:r w:rsidRPr="006D5CAE">
        <w:rPr>
          <w:sz w:val="22"/>
        </w:rPr>
        <w:t>Multiple defendants</w:t>
      </w:r>
    </w:p>
    <w:p w:rsidR="00842FEA" w:rsidRPr="006D5CAE" w:rsidRDefault="00842FEA" w:rsidP="00842FEA">
      <w:pPr>
        <w:rPr>
          <w:b w:val="0"/>
          <w:sz w:val="22"/>
          <w:u w:val="none"/>
        </w:rPr>
      </w:pPr>
      <w:r w:rsidRPr="006D5CAE">
        <w:rPr>
          <w:b w:val="0"/>
          <w:sz w:val="22"/>
          <w:u w:val="none"/>
        </w:rPr>
        <w:t>Problems of alternative cause are rare, except for Cook v Lewis.</w:t>
      </w:r>
    </w:p>
    <w:p w:rsidR="001A70D9" w:rsidRPr="006D5CAE" w:rsidRDefault="00842FEA" w:rsidP="00842FEA">
      <w:pPr>
        <w:rPr>
          <w:b w:val="0"/>
          <w:sz w:val="22"/>
          <w:u w:val="none"/>
        </w:rPr>
      </w:pPr>
      <w:r w:rsidRPr="006D5CAE">
        <w:rPr>
          <w:b w:val="0"/>
          <w:sz w:val="22"/>
          <w:u w:val="none"/>
        </w:rPr>
        <w:t xml:space="preserve">Problems of cumulative cause are frequent (i.e., several concurrent </w:t>
      </w:r>
      <w:proofErr w:type="spellStart"/>
      <w:r w:rsidRPr="006D5CAE">
        <w:rPr>
          <w:b w:val="0"/>
          <w:sz w:val="22"/>
          <w:u w:val="none"/>
        </w:rPr>
        <w:t>tortfeasors</w:t>
      </w:r>
      <w:proofErr w:type="spellEnd"/>
      <w:r w:rsidRPr="006D5CAE">
        <w:rPr>
          <w:b w:val="0"/>
          <w:sz w:val="22"/>
          <w:u w:val="none"/>
        </w:rPr>
        <w:t>) are very common</w:t>
      </w:r>
      <w:r w:rsidR="00FD2D3B" w:rsidRPr="006D5CAE">
        <w:rPr>
          <w:b w:val="0"/>
          <w:sz w:val="22"/>
          <w:u w:val="none"/>
        </w:rPr>
        <w:t xml:space="preserve"> for indivisible injuries</w:t>
      </w:r>
      <w:r w:rsidRPr="006D5CAE">
        <w:rPr>
          <w:b w:val="0"/>
          <w:sz w:val="22"/>
          <w:u w:val="none"/>
        </w:rPr>
        <w:t>.</w:t>
      </w:r>
    </w:p>
    <w:p w:rsidR="00261317" w:rsidRPr="006D5CAE" w:rsidRDefault="00261317" w:rsidP="00261317">
      <w:pPr>
        <w:pStyle w:val="Heading2"/>
        <w:rPr>
          <w:b/>
          <w:sz w:val="30"/>
          <w:u w:val="none"/>
        </w:rPr>
      </w:pPr>
      <w:bookmarkStart w:id="15" w:name="_Toc258695617"/>
      <w:r w:rsidRPr="006D5CAE">
        <w:rPr>
          <w:rFonts w:ascii="Baskerville Old Face" w:hAnsi="Baskerville Old Face"/>
          <w:b/>
          <w:color w:val="auto"/>
        </w:rPr>
        <w:t>16.2: The But-for Test</w:t>
      </w:r>
      <w:bookmarkEnd w:id="15"/>
    </w:p>
    <w:p w:rsidR="00DF1D39" w:rsidRPr="006D5CAE" w:rsidRDefault="00DF1D39" w:rsidP="001E500E">
      <w:pPr>
        <w:rPr>
          <w:b w:val="0"/>
          <w:sz w:val="22"/>
          <w:u w:val="none"/>
        </w:rPr>
      </w:pPr>
    </w:p>
    <w:p w:rsidR="00DF1D39" w:rsidRPr="006D5CAE" w:rsidRDefault="00DF1D39" w:rsidP="001E500E">
      <w:pPr>
        <w:rPr>
          <w:b w:val="0"/>
          <w:sz w:val="22"/>
        </w:rPr>
      </w:pPr>
      <w:proofErr w:type="gramStart"/>
      <w:r w:rsidRPr="006D5CAE">
        <w:rPr>
          <w:b w:val="0"/>
          <w:sz w:val="22"/>
          <w:highlight w:val="yellow"/>
        </w:rPr>
        <w:t xml:space="preserve">Kauffman v Toronto Transit </w:t>
      </w:r>
      <w:proofErr w:type="spellStart"/>
      <w:r w:rsidRPr="006D5CAE">
        <w:rPr>
          <w:b w:val="0"/>
          <w:sz w:val="22"/>
          <w:highlight w:val="yellow"/>
        </w:rPr>
        <w:t>Commn</w:t>
      </w:r>
      <w:proofErr w:type="spellEnd"/>
      <w:r w:rsidRPr="006D5CAE">
        <w:rPr>
          <w:b w:val="0"/>
          <w:sz w:val="22"/>
          <w:highlight w:val="yellow"/>
        </w:rPr>
        <w:t>.</w:t>
      </w:r>
      <w:proofErr w:type="gramEnd"/>
      <w:r w:rsidRPr="006D5CAE">
        <w:rPr>
          <w:b w:val="0"/>
          <w:sz w:val="22"/>
          <w:highlight w:val="yellow"/>
        </w:rPr>
        <w:t xml:space="preserve"> (1959 </w:t>
      </w:r>
      <w:proofErr w:type="spellStart"/>
      <w:r w:rsidRPr="006D5CAE">
        <w:rPr>
          <w:b w:val="0"/>
          <w:sz w:val="22"/>
          <w:highlight w:val="yellow"/>
        </w:rPr>
        <w:t>Ont</w:t>
      </w:r>
      <w:proofErr w:type="spellEnd"/>
      <w:r w:rsidRPr="006D5CAE">
        <w:rPr>
          <w:b w:val="0"/>
          <w:sz w:val="22"/>
          <w:highlight w:val="yellow"/>
        </w:rPr>
        <w:t xml:space="preserve"> CA); Barnet v Chelsea &amp; Kensington Hospital mgmt. Committee (1969 QBD)</w:t>
      </w:r>
      <w:r w:rsidRPr="006D5CAE">
        <w:rPr>
          <w:b w:val="0"/>
          <w:sz w:val="22"/>
        </w:rPr>
        <w:t xml:space="preserve">; </w:t>
      </w:r>
      <w:proofErr w:type="spellStart"/>
      <w:r w:rsidRPr="006D5CAE">
        <w:rPr>
          <w:b w:val="0"/>
          <w:sz w:val="22"/>
          <w:highlight w:val="yellow"/>
        </w:rPr>
        <w:t>Resurfice</w:t>
      </w:r>
      <w:proofErr w:type="spellEnd"/>
      <w:r w:rsidRPr="006D5CAE">
        <w:rPr>
          <w:b w:val="0"/>
          <w:sz w:val="22"/>
          <w:highlight w:val="yellow"/>
        </w:rPr>
        <w:t xml:space="preserve"> Corp </w:t>
      </w:r>
      <w:r w:rsidR="00FD2D3B" w:rsidRPr="006D5CAE">
        <w:rPr>
          <w:b w:val="0"/>
          <w:sz w:val="22"/>
          <w:highlight w:val="yellow"/>
        </w:rPr>
        <w:t xml:space="preserve">v </w:t>
      </w:r>
      <w:proofErr w:type="spellStart"/>
      <w:r w:rsidR="00FD2D3B" w:rsidRPr="006D5CAE">
        <w:rPr>
          <w:b w:val="0"/>
          <w:sz w:val="22"/>
          <w:highlight w:val="yellow"/>
        </w:rPr>
        <w:t>Hanke</w:t>
      </w:r>
      <w:proofErr w:type="spellEnd"/>
      <w:r w:rsidR="00FD2D3B" w:rsidRPr="006D5CAE">
        <w:rPr>
          <w:b w:val="0"/>
          <w:sz w:val="22"/>
          <w:highlight w:val="yellow"/>
        </w:rPr>
        <w:t xml:space="preserve"> (2007 SCC)</w:t>
      </w:r>
      <w:r w:rsidR="00FD2D3B" w:rsidRPr="006D5CAE">
        <w:rPr>
          <w:b w:val="0"/>
          <w:sz w:val="22"/>
        </w:rPr>
        <w:t xml:space="preserve"> </w:t>
      </w:r>
    </w:p>
    <w:p w:rsidR="00FD2D3B" w:rsidRPr="006D5CAE" w:rsidRDefault="00FD2D3B" w:rsidP="001E500E">
      <w:pPr>
        <w:rPr>
          <w:b w:val="0"/>
          <w:sz w:val="22"/>
          <w:u w:val="none"/>
        </w:rPr>
      </w:pPr>
      <w:r w:rsidRPr="006D5CAE">
        <w:rPr>
          <w:b w:val="0"/>
          <w:sz w:val="22"/>
          <w:u w:val="none"/>
        </w:rPr>
        <w:t>All of these cases were where the evidence did not support but-for causation. The finder of fact could not say that if the tort had not been committed, the injury would not have happened.</w:t>
      </w:r>
    </w:p>
    <w:p w:rsidR="00FD2D3B" w:rsidRPr="006D5CAE" w:rsidRDefault="00FD2D3B" w:rsidP="001E500E">
      <w:pPr>
        <w:rPr>
          <w:sz w:val="22"/>
          <w:u w:val="none"/>
        </w:rPr>
      </w:pPr>
      <w:r w:rsidRPr="006D5CAE">
        <w:rPr>
          <w:b w:val="0"/>
          <w:sz w:val="22"/>
          <w:u w:val="none"/>
        </w:rPr>
        <w:t xml:space="preserve">In </w:t>
      </w:r>
      <w:r w:rsidRPr="006D5CAE">
        <w:rPr>
          <w:b w:val="0"/>
          <w:i/>
          <w:sz w:val="22"/>
          <w:u w:val="none"/>
        </w:rPr>
        <w:t>Kauffman</w:t>
      </w:r>
      <w:r w:rsidRPr="006D5CAE">
        <w:rPr>
          <w:b w:val="0"/>
          <w:sz w:val="22"/>
          <w:u w:val="none"/>
        </w:rPr>
        <w:t xml:space="preserve"> the plaintiff had not shown any connection between the alleged design defect and her fall (escalator case). In </w:t>
      </w:r>
      <w:r w:rsidRPr="006D5CAE">
        <w:rPr>
          <w:b w:val="0"/>
          <w:i/>
          <w:sz w:val="22"/>
          <w:u w:val="none"/>
        </w:rPr>
        <w:t>Barnett</w:t>
      </w:r>
      <w:r w:rsidRPr="006D5CAE">
        <w:rPr>
          <w:b w:val="0"/>
          <w:sz w:val="22"/>
          <w:u w:val="none"/>
        </w:rPr>
        <w:t xml:space="preserve">, it was a timing question; even if the doctor had not been negligent and had come to the hospital, the treatment would have come too late (plaintiff was already doomed). In </w:t>
      </w:r>
      <w:proofErr w:type="spellStart"/>
      <w:r w:rsidRPr="006D5CAE">
        <w:rPr>
          <w:b w:val="0"/>
          <w:i/>
          <w:sz w:val="22"/>
          <w:u w:val="none"/>
        </w:rPr>
        <w:t>Resurfice</w:t>
      </w:r>
      <w:proofErr w:type="spellEnd"/>
      <w:r w:rsidRPr="006D5CAE">
        <w:rPr>
          <w:b w:val="0"/>
          <w:sz w:val="22"/>
          <w:u w:val="none"/>
        </w:rPr>
        <w:t xml:space="preserve"> the allegedly defective design of the machine was not shown to have had any bearing on what happened, namely, inadvertently putting a water hose in the gasoline intake; the injured operator knew which was which and it was just his mistake either in not checking where the hose was, or in putting the hose in wrong that caused his injury.</w:t>
      </w:r>
    </w:p>
    <w:p w:rsidR="00FD2D3B" w:rsidRPr="006D5CAE" w:rsidRDefault="00FD2D3B" w:rsidP="001E500E">
      <w:pPr>
        <w:rPr>
          <w:b w:val="0"/>
          <w:sz w:val="22"/>
          <w:u w:val="none"/>
        </w:rPr>
      </w:pPr>
      <w:r w:rsidRPr="006D5CAE">
        <w:rPr>
          <w:b w:val="0"/>
          <w:sz w:val="22"/>
          <w:u w:val="none"/>
        </w:rPr>
        <w:t>16.4: Recent attempt to modify the but-for Test.</w:t>
      </w:r>
    </w:p>
    <w:p w:rsidR="001A70D9" w:rsidRPr="006D5CAE" w:rsidRDefault="00FD2D3B" w:rsidP="001E500E">
      <w:pPr>
        <w:rPr>
          <w:b w:val="0"/>
          <w:sz w:val="22"/>
        </w:rPr>
        <w:sectPr w:rsidR="001A70D9" w:rsidRPr="006D5CAE">
          <w:headerReference w:type="even" r:id="rId5"/>
          <w:headerReference w:type="default" r:id="rId6"/>
          <w:pgSz w:w="12240" w:h="15840"/>
          <w:pgMar w:top="1440" w:right="1800" w:bottom="1440" w:left="1800" w:header="708" w:footer="708" w:gutter="0"/>
          <w:cols w:space="708"/>
        </w:sectPr>
      </w:pPr>
      <w:r w:rsidRPr="006D5CAE">
        <w:rPr>
          <w:b w:val="0"/>
          <w:sz w:val="22"/>
          <w:highlight w:val="yellow"/>
        </w:rPr>
        <w:t>Snell v Farrell (1990 SCC)</w:t>
      </w:r>
    </w:p>
    <w:p w:rsidR="001A70D9" w:rsidRPr="006D5CAE" w:rsidRDefault="00FD2D3B" w:rsidP="001E500E">
      <w:pPr>
        <w:rPr>
          <w:b w:val="0"/>
          <w:sz w:val="22"/>
          <w:u w:val="none"/>
        </w:rPr>
      </w:pPr>
      <w:proofErr w:type="gramStart"/>
      <w:r w:rsidRPr="006D5CAE">
        <w:rPr>
          <w:b w:val="0"/>
          <w:sz w:val="22"/>
          <w:u w:val="none"/>
        </w:rPr>
        <w:t>Alternative cause case – cataract operation.</w:t>
      </w:r>
      <w:proofErr w:type="gramEnd"/>
      <w:r w:rsidRPr="006D5CAE">
        <w:rPr>
          <w:b w:val="0"/>
          <w:sz w:val="22"/>
          <w:u w:val="none"/>
        </w:rPr>
        <w:t xml:space="preserve"> The damage could have occurred naturally or been the result of the operation. Neither expert witness could determinatively state its cause, but surgeon’s negligence raised a </w:t>
      </w:r>
      <w:r w:rsidRPr="006D5CAE">
        <w:rPr>
          <w:b w:val="0"/>
          <w:i/>
          <w:sz w:val="22"/>
          <w:u w:val="none"/>
        </w:rPr>
        <w:t>prima facie</w:t>
      </w:r>
      <w:r w:rsidRPr="006D5CAE">
        <w:rPr>
          <w:b w:val="0"/>
          <w:sz w:val="22"/>
          <w:u w:val="none"/>
        </w:rPr>
        <w:t xml:space="preserve"> case of causation, </w:t>
      </w:r>
      <w:proofErr w:type="gramStart"/>
      <w:r w:rsidRPr="006D5CAE">
        <w:rPr>
          <w:b w:val="0"/>
          <w:sz w:val="22"/>
          <w:u w:val="none"/>
        </w:rPr>
        <w:t>and</w:t>
      </w:r>
      <w:proofErr w:type="gramEnd"/>
      <w:r w:rsidRPr="006D5CAE">
        <w:rPr>
          <w:b w:val="0"/>
          <w:sz w:val="22"/>
          <w:u w:val="none"/>
        </w:rPr>
        <w:t xml:space="preserve"> it shifted to the defendant to disprove causation. </w:t>
      </w:r>
    </w:p>
    <w:p w:rsidR="001A70D9" w:rsidRPr="006D5CAE" w:rsidRDefault="00FD2D3B" w:rsidP="001A70D9">
      <w:pPr>
        <w:rPr>
          <w:b w:val="0"/>
          <w:sz w:val="22"/>
          <w:u w:val="none"/>
        </w:rPr>
      </w:pPr>
      <w:r w:rsidRPr="006D5CAE">
        <w:rPr>
          <w:b w:val="0"/>
          <w:sz w:val="22"/>
          <w:u w:val="none"/>
        </w:rPr>
        <w:t xml:space="preserve">The legal causation standard is only balance of probabilities, not scientific </w:t>
      </w:r>
      <w:proofErr w:type="spellStart"/>
      <w:r w:rsidRPr="006D5CAE">
        <w:rPr>
          <w:b w:val="0"/>
          <w:sz w:val="22"/>
          <w:u w:val="none"/>
        </w:rPr>
        <w:t>certaintude</w:t>
      </w:r>
      <w:proofErr w:type="spellEnd"/>
      <w:r w:rsidRPr="006D5CAE">
        <w:rPr>
          <w:b w:val="0"/>
          <w:sz w:val="22"/>
          <w:u w:val="none"/>
        </w:rPr>
        <w:t>. Only looks to most probable explanation.</w:t>
      </w:r>
    </w:p>
    <w:p w:rsidR="00FD2D3B" w:rsidRPr="006D5CAE" w:rsidRDefault="00FD2D3B" w:rsidP="00FD2D3B">
      <w:pPr>
        <w:rPr>
          <w:b w:val="0"/>
          <w:sz w:val="22"/>
          <w:u w:val="none"/>
        </w:rPr>
      </w:pPr>
      <w:r w:rsidRPr="006D5CAE">
        <w:rPr>
          <w:b w:val="0"/>
          <w:sz w:val="22"/>
          <w:highlight w:val="yellow"/>
        </w:rPr>
        <w:t>Clements v Clements (2012 SCC)</w:t>
      </w:r>
    </w:p>
    <w:p w:rsidR="00FD2D3B" w:rsidRPr="006D5CAE" w:rsidRDefault="00FD2D3B" w:rsidP="00FD2D3B">
      <w:pPr>
        <w:rPr>
          <w:b w:val="0"/>
          <w:sz w:val="22"/>
          <w:u w:val="none"/>
        </w:rPr>
      </w:pPr>
      <w:r w:rsidRPr="006D5CAE">
        <w:rPr>
          <w:b w:val="0"/>
          <w:sz w:val="22"/>
          <w:u w:val="none"/>
        </w:rPr>
        <w:t xml:space="preserve">Another case in which the “but for” causation test was hard to apply because it was so difficult to disentangle the defendant’s negligence (overloading the bike and speeding) from the other causes of the accident (sudden deflation, passing another car). </w:t>
      </w:r>
    </w:p>
    <w:p w:rsidR="00FB42F4" w:rsidRPr="006D5CAE" w:rsidRDefault="00FB42F4" w:rsidP="00FD2D3B">
      <w:pPr>
        <w:rPr>
          <w:b w:val="0"/>
          <w:sz w:val="22"/>
          <w:u w:val="none"/>
        </w:rPr>
      </w:pPr>
      <w:r w:rsidRPr="006D5CAE">
        <w:rPr>
          <w:b w:val="0"/>
          <w:sz w:val="22"/>
          <w:u w:val="none"/>
        </w:rPr>
        <w:t xml:space="preserve">You should not apply material contribution; that is, material contribution to the </w:t>
      </w:r>
      <w:r w:rsidRPr="006D5CAE">
        <w:rPr>
          <w:b w:val="0"/>
          <w:sz w:val="22"/>
        </w:rPr>
        <w:t>risk</w:t>
      </w:r>
      <w:r w:rsidRPr="006D5CAE">
        <w:rPr>
          <w:b w:val="0"/>
          <w:sz w:val="22"/>
          <w:u w:val="none"/>
        </w:rPr>
        <w:t xml:space="preserve">, unless there were multiple </w:t>
      </w:r>
      <w:proofErr w:type="spellStart"/>
      <w:r w:rsidRPr="006D5CAE">
        <w:rPr>
          <w:b w:val="0"/>
          <w:sz w:val="22"/>
          <w:u w:val="none"/>
        </w:rPr>
        <w:t>tortfeasors</w:t>
      </w:r>
      <w:proofErr w:type="spellEnd"/>
      <w:r w:rsidRPr="006D5CAE">
        <w:rPr>
          <w:b w:val="0"/>
          <w:sz w:val="22"/>
          <w:u w:val="none"/>
        </w:rPr>
        <w:t xml:space="preserve"> where each </w:t>
      </w:r>
      <w:proofErr w:type="spellStart"/>
      <w:r w:rsidRPr="006D5CAE">
        <w:rPr>
          <w:b w:val="0"/>
          <w:sz w:val="22"/>
          <w:u w:val="none"/>
        </w:rPr>
        <w:t>tortfeasor</w:t>
      </w:r>
      <w:proofErr w:type="spellEnd"/>
      <w:r w:rsidRPr="006D5CAE">
        <w:rPr>
          <w:b w:val="0"/>
          <w:sz w:val="22"/>
          <w:u w:val="none"/>
        </w:rPr>
        <w:t xml:space="preserve"> was shown to have been at fault but π could not prove that the injury resulted from the negligence of defendant #1 as opposed to #2 or #3. I.e., </w:t>
      </w:r>
      <w:r w:rsidRPr="006D5CAE">
        <w:rPr>
          <w:b w:val="0"/>
          <w:i/>
          <w:sz w:val="22"/>
          <w:u w:val="none"/>
        </w:rPr>
        <w:t>Cook v Lewis</w:t>
      </w:r>
      <w:r w:rsidRPr="006D5CAE">
        <w:rPr>
          <w:b w:val="0"/>
          <w:sz w:val="22"/>
          <w:u w:val="none"/>
        </w:rPr>
        <w:t>.</w:t>
      </w:r>
    </w:p>
    <w:p w:rsidR="00FB42F4" w:rsidRPr="006D5CAE" w:rsidRDefault="00FB42F4" w:rsidP="00FD2D3B">
      <w:pPr>
        <w:rPr>
          <w:b w:val="0"/>
          <w:sz w:val="22"/>
          <w:u w:val="none"/>
        </w:rPr>
      </w:pPr>
      <w:r w:rsidRPr="006D5CAE">
        <w:rPr>
          <w:b w:val="0"/>
          <w:sz w:val="22"/>
          <w:u w:val="none"/>
        </w:rPr>
        <w:t xml:space="preserve">Unclear whether liability for material contribution, is joint and several, or several (proportional). </w:t>
      </w:r>
    </w:p>
    <w:p w:rsidR="00FB42F4" w:rsidRPr="006D5CAE" w:rsidRDefault="00FB42F4" w:rsidP="00FD2D3B">
      <w:pPr>
        <w:rPr>
          <w:b w:val="0"/>
          <w:sz w:val="22"/>
          <w:u w:val="none"/>
        </w:rPr>
      </w:pPr>
      <w:r w:rsidRPr="006D5CAE">
        <w:rPr>
          <w:b w:val="0"/>
          <w:sz w:val="22"/>
          <w:u w:val="none"/>
        </w:rPr>
        <w:t>Unclear also whether material contribution to the risk is unavailable in a one-∂ scenario.</w:t>
      </w:r>
    </w:p>
    <w:p w:rsidR="00FB42F4" w:rsidRPr="006D5CAE" w:rsidRDefault="00FB42F4" w:rsidP="001E6605">
      <w:pPr>
        <w:pStyle w:val="Heading2"/>
        <w:rPr>
          <w:rFonts w:ascii="Baskerville Old Face" w:hAnsi="Baskerville Old Face"/>
          <w:b/>
          <w:color w:val="auto"/>
        </w:rPr>
      </w:pPr>
      <w:bookmarkStart w:id="16" w:name="_Toc258695618"/>
      <w:r w:rsidRPr="006D5CAE">
        <w:rPr>
          <w:rFonts w:ascii="Baskerville Old Face" w:hAnsi="Baskerville Old Face"/>
          <w:b/>
          <w:color w:val="auto"/>
        </w:rPr>
        <w:t>16.5: Multiple Causes</w:t>
      </w:r>
      <w:r w:rsidR="00DE0B7B" w:rsidRPr="006D5CAE">
        <w:rPr>
          <w:rFonts w:ascii="Baskerville Old Face" w:hAnsi="Baskerville Old Face"/>
          <w:b/>
          <w:color w:val="auto"/>
        </w:rPr>
        <w:t xml:space="preserve"> and Probabilities</w:t>
      </w:r>
      <w:bookmarkEnd w:id="16"/>
    </w:p>
    <w:p w:rsidR="00FB42F4" w:rsidRPr="006D5CAE" w:rsidRDefault="001E6605" w:rsidP="00FD2D3B">
      <w:pPr>
        <w:rPr>
          <w:b w:val="0"/>
          <w:sz w:val="22"/>
        </w:rPr>
      </w:pPr>
      <w:r w:rsidRPr="006D5CAE">
        <w:rPr>
          <w:b w:val="0"/>
          <w:sz w:val="22"/>
          <w:highlight w:val="yellow"/>
        </w:rPr>
        <w:br/>
      </w:r>
      <w:proofErr w:type="spellStart"/>
      <w:r w:rsidR="00FB42F4" w:rsidRPr="006D5CAE">
        <w:rPr>
          <w:b w:val="0"/>
          <w:sz w:val="22"/>
          <w:highlight w:val="yellow"/>
        </w:rPr>
        <w:t>Athney</w:t>
      </w:r>
      <w:proofErr w:type="spellEnd"/>
      <w:r w:rsidR="00FB42F4" w:rsidRPr="006D5CAE">
        <w:rPr>
          <w:b w:val="0"/>
          <w:sz w:val="22"/>
          <w:highlight w:val="yellow"/>
        </w:rPr>
        <w:t xml:space="preserve"> v </w:t>
      </w:r>
      <w:proofErr w:type="spellStart"/>
      <w:r w:rsidR="00FB42F4" w:rsidRPr="006D5CAE">
        <w:rPr>
          <w:b w:val="0"/>
          <w:sz w:val="22"/>
          <w:highlight w:val="yellow"/>
        </w:rPr>
        <w:t>Leonati</w:t>
      </w:r>
      <w:proofErr w:type="spellEnd"/>
      <w:r w:rsidR="00FB42F4" w:rsidRPr="006D5CAE">
        <w:rPr>
          <w:b w:val="0"/>
          <w:sz w:val="22"/>
          <w:highlight w:val="yellow"/>
        </w:rPr>
        <w:t xml:space="preserve"> (1996 SCC); </w:t>
      </w:r>
      <w:proofErr w:type="spellStart"/>
      <w:r w:rsidR="00FB42F4" w:rsidRPr="006D5CAE">
        <w:rPr>
          <w:b w:val="0"/>
          <w:sz w:val="22"/>
          <w:highlight w:val="yellow"/>
        </w:rPr>
        <w:t>Nowlan</w:t>
      </w:r>
      <w:proofErr w:type="spellEnd"/>
      <w:r w:rsidR="00FB42F4" w:rsidRPr="006D5CAE">
        <w:rPr>
          <w:b w:val="0"/>
          <w:sz w:val="22"/>
          <w:highlight w:val="yellow"/>
        </w:rPr>
        <w:t xml:space="preserve"> v Brunswick Construction </w:t>
      </w:r>
      <w:proofErr w:type="spellStart"/>
      <w:r w:rsidR="00FB42F4" w:rsidRPr="006D5CAE">
        <w:rPr>
          <w:b w:val="0"/>
          <w:sz w:val="22"/>
          <w:highlight w:val="yellow"/>
        </w:rPr>
        <w:t>Ltée</w:t>
      </w:r>
      <w:proofErr w:type="spellEnd"/>
      <w:r w:rsidR="00FB42F4" w:rsidRPr="006D5CAE">
        <w:rPr>
          <w:b w:val="0"/>
          <w:sz w:val="22"/>
          <w:highlight w:val="yellow"/>
        </w:rPr>
        <w:t xml:space="preserve"> (1975 SCC)</w:t>
      </w:r>
    </w:p>
    <w:p w:rsidR="001E6605" w:rsidRPr="006D5CAE" w:rsidRDefault="001E6605" w:rsidP="00FD2D3B">
      <w:pPr>
        <w:rPr>
          <w:b w:val="0"/>
          <w:sz w:val="22"/>
          <w:u w:val="none"/>
        </w:rPr>
      </w:pPr>
      <w:r w:rsidRPr="006D5CAE">
        <w:rPr>
          <w:b w:val="0"/>
          <w:sz w:val="22"/>
          <w:u w:val="none"/>
        </w:rPr>
        <w:t xml:space="preserve">We prove facts on a balance of probabilities, but when proven we take them as certain. Future events are only estimates, and sometimes it is appropriate to use probabilities to determine future events, but not hypothetical past events. </w:t>
      </w:r>
    </w:p>
    <w:p w:rsidR="001E6605" w:rsidRPr="006D5CAE" w:rsidRDefault="001E6605" w:rsidP="00FD2D3B">
      <w:pPr>
        <w:rPr>
          <w:b w:val="0"/>
          <w:sz w:val="22"/>
          <w:u w:val="none"/>
        </w:rPr>
      </w:pPr>
      <w:r w:rsidRPr="006D5CAE">
        <w:rPr>
          <w:b w:val="0"/>
          <w:sz w:val="22"/>
          <w:u w:val="none"/>
        </w:rPr>
        <w:t xml:space="preserve">If two concurrent </w:t>
      </w:r>
      <w:proofErr w:type="spellStart"/>
      <w:r w:rsidRPr="006D5CAE">
        <w:rPr>
          <w:b w:val="0"/>
          <w:sz w:val="22"/>
          <w:u w:val="none"/>
        </w:rPr>
        <w:t>tortfeasors</w:t>
      </w:r>
      <w:proofErr w:type="spellEnd"/>
      <w:r w:rsidRPr="006D5CAE">
        <w:rPr>
          <w:b w:val="0"/>
          <w:sz w:val="22"/>
          <w:u w:val="none"/>
        </w:rPr>
        <w:t xml:space="preserve"> cause divisible harm, we don’t apportion; the damage is assessed separately for each tort. We hold the latter </w:t>
      </w:r>
      <w:proofErr w:type="spellStart"/>
      <w:r w:rsidRPr="006D5CAE">
        <w:rPr>
          <w:b w:val="0"/>
          <w:sz w:val="22"/>
          <w:u w:val="none"/>
        </w:rPr>
        <w:t>tortfeasor</w:t>
      </w:r>
      <w:proofErr w:type="spellEnd"/>
      <w:r w:rsidRPr="006D5CAE">
        <w:rPr>
          <w:b w:val="0"/>
          <w:sz w:val="22"/>
          <w:u w:val="none"/>
        </w:rPr>
        <w:t xml:space="preserve"> liable to the extent her or she added to the injury that the first had already caused.</w:t>
      </w:r>
    </w:p>
    <w:p w:rsidR="00DE0B7B" w:rsidRPr="006D5CAE" w:rsidRDefault="001E6605" w:rsidP="00FD2D3B">
      <w:pPr>
        <w:rPr>
          <w:b w:val="0"/>
          <w:sz w:val="22"/>
          <w:u w:val="none"/>
        </w:rPr>
      </w:pPr>
      <w:r w:rsidRPr="006D5CAE">
        <w:rPr>
          <w:b w:val="0"/>
          <w:sz w:val="22"/>
          <w:u w:val="none"/>
        </w:rPr>
        <w:t xml:space="preserve">If two concurrent </w:t>
      </w:r>
      <w:proofErr w:type="spellStart"/>
      <w:r w:rsidRPr="006D5CAE">
        <w:rPr>
          <w:b w:val="0"/>
          <w:sz w:val="22"/>
          <w:u w:val="none"/>
        </w:rPr>
        <w:t>tortfeasors</w:t>
      </w:r>
      <w:proofErr w:type="spellEnd"/>
      <w:r w:rsidRPr="006D5CAE">
        <w:rPr>
          <w:b w:val="0"/>
          <w:sz w:val="22"/>
          <w:u w:val="none"/>
        </w:rPr>
        <w:t xml:space="preserve"> cause indivisible harm (one injury cause by the cumulative effect of both torts), we hold them jointly and severally liable for the whole damage as far as plaintiff is concerned, but (under the </w:t>
      </w:r>
      <w:r w:rsidRPr="006D5CAE">
        <w:rPr>
          <w:b w:val="0"/>
          <w:i/>
          <w:sz w:val="22"/>
          <w:u w:val="none"/>
        </w:rPr>
        <w:t>Negligence Act</w:t>
      </w:r>
      <w:r w:rsidRPr="006D5CAE">
        <w:rPr>
          <w:b w:val="0"/>
          <w:sz w:val="22"/>
          <w:u w:val="none"/>
        </w:rPr>
        <w:t xml:space="preserve">) we apportion liability between them for the purpose of contribution and indemnity. </w:t>
      </w:r>
      <w:r w:rsidRPr="006D5CAE">
        <w:rPr>
          <w:sz w:val="22"/>
          <w:u w:val="none"/>
        </w:rPr>
        <w:t>If however,</w:t>
      </w:r>
      <w:r w:rsidRPr="006D5CAE">
        <w:rPr>
          <w:b w:val="0"/>
          <w:sz w:val="22"/>
          <w:u w:val="none"/>
        </w:rPr>
        <w:t xml:space="preserve"> </w:t>
      </w:r>
      <w:r w:rsidR="00DE0B7B" w:rsidRPr="006D5CAE">
        <w:rPr>
          <w:b w:val="0"/>
          <w:sz w:val="22"/>
          <w:u w:val="none"/>
        </w:rPr>
        <w:t xml:space="preserve">π is </w:t>
      </w:r>
      <w:proofErr w:type="spellStart"/>
      <w:r w:rsidR="00DE0B7B" w:rsidRPr="006D5CAE">
        <w:rPr>
          <w:b w:val="0"/>
          <w:sz w:val="22"/>
          <w:u w:val="none"/>
        </w:rPr>
        <w:t>contributorily</w:t>
      </w:r>
      <w:proofErr w:type="spellEnd"/>
      <w:r w:rsidR="00DE0B7B" w:rsidRPr="006D5CAE">
        <w:rPr>
          <w:b w:val="0"/>
          <w:sz w:val="22"/>
          <w:u w:val="none"/>
        </w:rPr>
        <w:t xml:space="preserve"> negligent, we hold both defendants severally liable because of the weird drafting of section 1 of the Act.)</w:t>
      </w:r>
    </w:p>
    <w:p w:rsidR="00DE0B7B" w:rsidRPr="006D5CAE" w:rsidRDefault="00DE0B7B" w:rsidP="00FD2D3B">
      <w:pPr>
        <w:rPr>
          <w:b w:val="0"/>
          <w:sz w:val="22"/>
          <w:u w:val="none"/>
        </w:rPr>
      </w:pPr>
      <w:r w:rsidRPr="006D5CAE">
        <w:rPr>
          <w:color w:val="800000"/>
          <w:sz w:val="22"/>
          <w:u w:val="none"/>
        </w:rPr>
        <w:t>Crumbling skull principle</w:t>
      </w:r>
      <w:r w:rsidRPr="006D5CAE">
        <w:rPr>
          <w:b w:val="0"/>
          <w:sz w:val="22"/>
          <w:u w:val="none"/>
        </w:rPr>
        <w:t xml:space="preserve"> says that if the plaintiff would have suffered the injury anyways then the defendant’s damages are reduced by the likelihood of that occurrence.</w:t>
      </w:r>
    </w:p>
    <w:p w:rsidR="00865322" w:rsidRPr="006D5CAE" w:rsidRDefault="00DE0B7B" w:rsidP="00FD2D3B">
      <w:pPr>
        <w:rPr>
          <w:b w:val="0"/>
          <w:sz w:val="22"/>
          <w:u w:val="none"/>
        </w:rPr>
      </w:pPr>
      <w:r w:rsidRPr="006D5CAE">
        <w:rPr>
          <w:b w:val="0"/>
          <w:sz w:val="22"/>
          <w:u w:val="none"/>
        </w:rPr>
        <w:t xml:space="preserve">We also work with probabilities when we base damages on contingencies (a percentage chance that something would have come along to </w:t>
      </w:r>
      <w:r w:rsidRPr="006D5CAE">
        <w:rPr>
          <w:b w:val="0"/>
          <w:color w:val="800000"/>
          <w:sz w:val="22"/>
        </w:rPr>
        <w:t>diminish</w:t>
      </w:r>
      <w:r w:rsidRPr="006D5CAE">
        <w:rPr>
          <w:b w:val="0"/>
          <w:sz w:val="22"/>
          <w:u w:val="none"/>
        </w:rPr>
        <w:t xml:space="preserve"> the plaintiff’s position anyway), or on loss of chance (a percentage chance that something would have happened to </w:t>
      </w:r>
      <w:r w:rsidRPr="006D5CAE">
        <w:rPr>
          <w:b w:val="0"/>
          <w:color w:val="800000"/>
          <w:sz w:val="22"/>
        </w:rPr>
        <w:t>improve</w:t>
      </w:r>
      <w:r w:rsidRPr="006D5CAE">
        <w:rPr>
          <w:b w:val="0"/>
          <w:sz w:val="22"/>
          <w:u w:val="none"/>
        </w:rPr>
        <w:t xml:space="preserve"> the plaintiff’s position had the tort not been committed).</w:t>
      </w:r>
    </w:p>
    <w:p w:rsidR="00865322" w:rsidRPr="006D5CAE" w:rsidRDefault="00865322" w:rsidP="00FD2D3B">
      <w:pPr>
        <w:rPr>
          <w:b w:val="0"/>
          <w:sz w:val="22"/>
          <w:u w:val="none"/>
        </w:rPr>
      </w:pPr>
      <w:r w:rsidRPr="006D5CAE">
        <w:rPr>
          <w:b w:val="0"/>
          <w:sz w:val="22"/>
          <w:u w:val="none"/>
        </w:rPr>
        <w:t xml:space="preserve">Loss of chance does not apply to doctor’s negligence that caused π to lose a chance of a better outcome. </w:t>
      </w:r>
    </w:p>
    <w:p w:rsidR="00267749" w:rsidRPr="006D5CAE" w:rsidRDefault="00865322" w:rsidP="00FD2D3B">
      <w:pPr>
        <w:rPr>
          <w:b w:val="0"/>
          <w:sz w:val="22"/>
          <w:u w:val="none"/>
        </w:rPr>
      </w:pPr>
      <w:r w:rsidRPr="006D5CAE">
        <w:rPr>
          <w:b w:val="0"/>
          <w:sz w:val="22"/>
          <w:u w:val="none"/>
        </w:rPr>
        <w:t xml:space="preserve">We also don’t use loss of a chance for negligent misstatement or not having been properly informed of risk. We don’t analyze the chance the plaintiff’s decision would have been different, only whether the plaintiff can prove on balance of probabilities that it would have. Incidentally, </w:t>
      </w:r>
      <w:proofErr w:type="spellStart"/>
      <w:r w:rsidRPr="006D5CAE">
        <w:rPr>
          <w:b w:val="0"/>
          <w:i/>
          <w:sz w:val="22"/>
          <w:u w:val="none"/>
        </w:rPr>
        <w:t>Kripps</w:t>
      </w:r>
      <w:proofErr w:type="spellEnd"/>
      <w:r w:rsidRPr="006D5CAE">
        <w:rPr>
          <w:b w:val="0"/>
          <w:sz w:val="22"/>
          <w:u w:val="none"/>
        </w:rPr>
        <w:t xml:space="preserve"> shows that we prove this by proving that the misstatement was material to the plaintiff’s decision – it played a role in the decision (usually </w:t>
      </w:r>
      <w:proofErr w:type="spellStart"/>
      <w:r w:rsidRPr="006D5CAE">
        <w:rPr>
          <w:b w:val="0"/>
          <w:sz w:val="22"/>
          <w:u w:val="none"/>
        </w:rPr>
        <w:t>inticement</w:t>
      </w:r>
      <w:proofErr w:type="spellEnd"/>
      <w:r w:rsidRPr="006D5CAE">
        <w:rPr>
          <w:b w:val="0"/>
          <w:sz w:val="22"/>
          <w:u w:val="none"/>
        </w:rPr>
        <w:t>), because proving but-for is impractical.</w:t>
      </w:r>
    </w:p>
    <w:p w:rsidR="00267749" w:rsidRPr="006D5CAE" w:rsidRDefault="00267749" w:rsidP="00267749">
      <w:pPr>
        <w:rPr>
          <w:b w:val="0"/>
          <w:sz w:val="22"/>
          <w:u w:val="none"/>
        </w:rPr>
      </w:pPr>
      <w:r w:rsidRPr="006D5CAE">
        <w:rPr>
          <w:b w:val="0"/>
          <w:sz w:val="22"/>
          <w:u w:val="none"/>
        </w:rPr>
        <w:t xml:space="preserve">Where there are concurrent </w:t>
      </w:r>
      <w:r w:rsidRPr="006D5CAE">
        <w:rPr>
          <w:color w:val="800000"/>
          <w:sz w:val="22"/>
          <w:u w:val="none"/>
        </w:rPr>
        <w:t xml:space="preserve">torts, breaches of contract or a breach of contract and a concurrent tort </w:t>
      </w:r>
      <w:r w:rsidRPr="006D5CAE">
        <w:rPr>
          <w:b w:val="0"/>
          <w:sz w:val="22"/>
          <w:u w:val="none"/>
        </w:rPr>
        <w:t xml:space="preserve">both contributing to the same damage, </w:t>
      </w:r>
      <w:r w:rsidRPr="006D5CAE">
        <w:rPr>
          <w:color w:val="800000"/>
          <w:sz w:val="22"/>
          <w:u w:val="none"/>
        </w:rPr>
        <w:t>whether or not damage would have occurred in the absence of either cause</w:t>
      </w:r>
      <w:r w:rsidRPr="006D5CAE">
        <w:rPr>
          <w:b w:val="0"/>
          <w:sz w:val="22"/>
          <w:u w:val="none"/>
        </w:rPr>
        <w:t xml:space="preserve">, the liability is a </w:t>
      </w:r>
      <w:r w:rsidRPr="006D5CAE">
        <w:rPr>
          <w:color w:val="800000"/>
          <w:sz w:val="22"/>
          <w:u w:val="none"/>
        </w:rPr>
        <w:t>joint and several liability</w:t>
      </w:r>
      <w:r w:rsidRPr="006D5CAE">
        <w:rPr>
          <w:b w:val="0"/>
          <w:sz w:val="22"/>
          <w:u w:val="none"/>
        </w:rPr>
        <w:t xml:space="preserve"> and either party causing or contributing to the damage is liable for the whole damage to the person aggrieved. (</w:t>
      </w:r>
      <w:proofErr w:type="spellStart"/>
      <w:r w:rsidRPr="006D5CAE">
        <w:rPr>
          <w:b w:val="0"/>
          <w:sz w:val="22"/>
          <w:u w:val="none"/>
        </w:rPr>
        <w:t>Nolwan</w:t>
      </w:r>
      <w:proofErr w:type="spellEnd"/>
      <w:r w:rsidRPr="006D5CAE">
        <w:rPr>
          <w:b w:val="0"/>
          <w:sz w:val="22"/>
          <w:u w:val="none"/>
        </w:rPr>
        <w:t>)</w:t>
      </w:r>
    </w:p>
    <w:p w:rsidR="00733109" w:rsidRPr="006D5CAE" w:rsidRDefault="00733109" w:rsidP="00733109">
      <w:pPr>
        <w:pStyle w:val="Heading2"/>
        <w:rPr>
          <w:rFonts w:ascii="Baskerville Old Face" w:hAnsi="Baskerville Old Face"/>
          <w:b/>
          <w:color w:val="auto"/>
        </w:rPr>
      </w:pPr>
      <w:bookmarkStart w:id="17" w:name="_Toc258695619"/>
      <w:r w:rsidRPr="006D5CAE">
        <w:rPr>
          <w:rFonts w:ascii="Baskerville Old Face" w:hAnsi="Baskerville Old Face"/>
          <w:b/>
          <w:color w:val="auto"/>
        </w:rPr>
        <w:t>16.6: Issues in assessing the plaintiff’s loss</w:t>
      </w:r>
      <w:bookmarkEnd w:id="17"/>
    </w:p>
    <w:p w:rsidR="00267749" w:rsidRPr="006D5CAE" w:rsidRDefault="00267749" w:rsidP="00267749">
      <w:pPr>
        <w:rPr>
          <w:b w:val="0"/>
          <w:sz w:val="22"/>
        </w:rPr>
      </w:pPr>
    </w:p>
    <w:p w:rsidR="00733109" w:rsidRPr="006D5CAE" w:rsidRDefault="00733109" w:rsidP="00FD2D3B">
      <w:pPr>
        <w:rPr>
          <w:b w:val="0"/>
          <w:sz w:val="22"/>
        </w:rPr>
      </w:pPr>
      <w:proofErr w:type="spellStart"/>
      <w:r w:rsidRPr="006D5CAE">
        <w:rPr>
          <w:b w:val="0"/>
          <w:sz w:val="22"/>
          <w:highlight w:val="yellow"/>
        </w:rPr>
        <w:t>Penner</w:t>
      </w:r>
      <w:proofErr w:type="spellEnd"/>
      <w:r w:rsidRPr="006D5CAE">
        <w:rPr>
          <w:b w:val="0"/>
          <w:sz w:val="22"/>
          <w:highlight w:val="yellow"/>
        </w:rPr>
        <w:t xml:space="preserve"> v Mitchell (1978 Alta CA); Dillon v Twin State Gas &amp; Electric Co (1932 NH)</w:t>
      </w:r>
    </w:p>
    <w:p w:rsidR="00733109" w:rsidRPr="006D5CAE" w:rsidRDefault="00733109" w:rsidP="00FD2D3B">
      <w:pPr>
        <w:rPr>
          <w:b w:val="0"/>
          <w:sz w:val="22"/>
          <w:u w:val="none"/>
        </w:rPr>
      </w:pPr>
      <w:proofErr w:type="spellStart"/>
      <w:r w:rsidRPr="006D5CAE">
        <w:rPr>
          <w:b w:val="0"/>
          <w:i/>
          <w:sz w:val="22"/>
          <w:u w:val="none"/>
        </w:rPr>
        <w:t>Penner</w:t>
      </w:r>
      <w:proofErr w:type="spellEnd"/>
      <w:r w:rsidRPr="006D5CAE">
        <w:rPr>
          <w:b w:val="0"/>
          <w:sz w:val="22"/>
          <w:u w:val="none"/>
        </w:rPr>
        <w:t xml:space="preserve"> finds that when there is non-culpable injury (pre-existing back damage) before the tort then the plaintiff should not be overcompensated, if there is a tortuous pre-existing injury then each wrongdoer is liable for full compensation towards the plaintiff. </w:t>
      </w:r>
    </w:p>
    <w:p w:rsidR="00881F7A" w:rsidRPr="006D5CAE" w:rsidRDefault="009411DF" w:rsidP="00FD2D3B">
      <w:pPr>
        <w:pBdr>
          <w:bottom w:val="single" w:sz="12" w:space="1" w:color="auto"/>
        </w:pBdr>
        <w:rPr>
          <w:b w:val="0"/>
          <w:sz w:val="22"/>
          <w:u w:val="none"/>
        </w:rPr>
      </w:pPr>
      <w:r w:rsidRPr="006D5CAE">
        <w:rPr>
          <w:b w:val="0"/>
          <w:sz w:val="22"/>
          <w:u w:val="none"/>
        </w:rPr>
        <w:t xml:space="preserve">In </w:t>
      </w:r>
      <w:r w:rsidRPr="006D5CAE">
        <w:rPr>
          <w:b w:val="0"/>
          <w:i/>
          <w:sz w:val="22"/>
          <w:u w:val="none"/>
        </w:rPr>
        <w:t>Dillon</w:t>
      </w:r>
      <w:r w:rsidRPr="006D5CAE">
        <w:rPr>
          <w:b w:val="0"/>
          <w:sz w:val="22"/>
          <w:u w:val="none"/>
        </w:rPr>
        <w:t xml:space="preserve"> (kid falling and grabbing wire), the kid was likely going to die had he not grabbed on. </w:t>
      </w:r>
      <w:r w:rsidR="00F35DB7" w:rsidRPr="006D5CAE">
        <w:rPr>
          <w:b w:val="0"/>
          <w:sz w:val="22"/>
          <w:u w:val="none"/>
        </w:rPr>
        <w:t xml:space="preserve">Defendant was liable for exposing wire, but there were no damages. Plaintiff must be put back in the original position (plummeting to death). If he would be crippled, then you’d have to deduct what his life was worth in a crippled </w:t>
      </w:r>
      <w:proofErr w:type="spellStart"/>
      <w:r w:rsidR="00F35DB7" w:rsidRPr="006D5CAE">
        <w:rPr>
          <w:b w:val="0"/>
          <w:sz w:val="22"/>
          <w:u w:val="none"/>
        </w:rPr>
        <w:t>satte</w:t>
      </w:r>
      <w:proofErr w:type="spellEnd"/>
      <w:r w:rsidR="00F35DB7" w:rsidRPr="006D5CAE">
        <w:rPr>
          <w:b w:val="0"/>
          <w:sz w:val="22"/>
          <w:u w:val="none"/>
        </w:rPr>
        <w:t xml:space="preserve"> fro his death and award the remainder. If he would be able to grab the wire and swing back on then he would have a claim. It is a matter of fact.</w:t>
      </w:r>
    </w:p>
    <w:p w:rsidR="00905EB9" w:rsidRPr="006D5CAE" w:rsidRDefault="00906F01" w:rsidP="00905EB9">
      <w:pPr>
        <w:pStyle w:val="Heading1"/>
        <w:rPr>
          <w:rFonts w:ascii="Baskerville Old Face" w:hAnsi="Baskerville Old Face"/>
          <w:b/>
          <w:color w:val="auto"/>
          <w:sz w:val="26"/>
        </w:rPr>
      </w:pPr>
      <w:bookmarkStart w:id="18" w:name="_Toc258695620"/>
      <w:r w:rsidRPr="006D5CAE">
        <w:rPr>
          <w:rFonts w:ascii="Baskerville" w:hAnsi="Baskerville"/>
          <w:b/>
          <w:color w:val="auto"/>
        </w:rPr>
        <w:t>CHAPTER XVII — REMOTENESS</w:t>
      </w:r>
      <w:r w:rsidR="00905EB9" w:rsidRPr="006D5CAE">
        <w:rPr>
          <w:rFonts w:ascii="Baskerville" w:hAnsi="Baskerville"/>
          <w:b/>
          <w:color w:val="auto"/>
        </w:rPr>
        <w:br/>
      </w:r>
      <w:r w:rsidR="00905EB9" w:rsidRPr="006D5CAE">
        <w:rPr>
          <w:b/>
          <w:sz w:val="36"/>
          <w:u w:val="none"/>
        </w:rPr>
        <w:br/>
      </w:r>
      <w:r w:rsidR="00905EB9" w:rsidRPr="006D5CAE">
        <w:rPr>
          <w:rStyle w:val="Heading2Char"/>
          <w:rFonts w:ascii="Baskerville Old Face" w:hAnsi="Baskerville Old Face"/>
          <w:b/>
          <w:color w:val="auto"/>
        </w:rPr>
        <w:t xml:space="preserve">17.1: Remoteness and Causation, </w:t>
      </w:r>
      <w:proofErr w:type="spellStart"/>
      <w:r w:rsidR="00905EB9" w:rsidRPr="006D5CAE">
        <w:rPr>
          <w:rStyle w:val="Heading2Char"/>
          <w:rFonts w:ascii="Baskerville Old Face" w:hAnsi="Baskerville Old Face"/>
          <w:b/>
          <w:color w:val="auto"/>
        </w:rPr>
        <w:t>Forseeability</w:t>
      </w:r>
      <w:proofErr w:type="spellEnd"/>
      <w:r w:rsidR="00905EB9" w:rsidRPr="006D5CAE">
        <w:rPr>
          <w:rStyle w:val="Heading2Char"/>
          <w:rFonts w:ascii="Baskerville Old Face" w:hAnsi="Baskerville Old Face"/>
          <w:b/>
          <w:color w:val="auto"/>
        </w:rPr>
        <w:t xml:space="preserve"> in Negligence</w:t>
      </w:r>
      <w:bookmarkEnd w:id="18"/>
    </w:p>
    <w:p w:rsidR="00905EB9" w:rsidRPr="006D5CAE" w:rsidRDefault="00905EB9" w:rsidP="00905EB9">
      <w:pPr>
        <w:rPr>
          <w:b w:val="0"/>
          <w:sz w:val="22"/>
          <w:u w:val="none"/>
        </w:rPr>
      </w:pPr>
      <w:r w:rsidRPr="006D5CAE">
        <w:rPr>
          <w:b w:val="0"/>
          <w:sz w:val="22"/>
          <w:u w:val="none"/>
        </w:rPr>
        <w:br/>
        <w:t xml:space="preserve">Even if the defendant had </w:t>
      </w:r>
      <w:r w:rsidRPr="006D5CAE">
        <w:rPr>
          <w:color w:val="800000"/>
          <w:sz w:val="22"/>
          <w:u w:val="none"/>
        </w:rPr>
        <w:t>breached the standard of care</w:t>
      </w:r>
      <w:r w:rsidRPr="006D5CAE">
        <w:rPr>
          <w:b w:val="0"/>
          <w:color w:val="800000"/>
          <w:sz w:val="22"/>
          <w:u w:val="none"/>
        </w:rPr>
        <w:t xml:space="preserve"> </w:t>
      </w:r>
      <w:r w:rsidRPr="006D5CAE">
        <w:rPr>
          <w:b w:val="0"/>
          <w:sz w:val="22"/>
          <w:u w:val="none"/>
        </w:rPr>
        <w:t>in a way that caused the plaintiff loss, liability will be denied if the connection between the breach and the loss was too “Remote”. Remoteness is a rule of fairness.</w:t>
      </w:r>
      <w:r w:rsidRPr="006D5CAE">
        <w:rPr>
          <w:b w:val="0"/>
          <w:sz w:val="22"/>
          <w:u w:val="none"/>
        </w:rPr>
        <w:br/>
      </w:r>
      <w:r w:rsidRPr="006D5CAE">
        <w:rPr>
          <w:b w:val="0"/>
          <w:sz w:val="22"/>
          <w:u w:val="none"/>
        </w:rPr>
        <w:br/>
        <w:t xml:space="preserve">Whereas causation is concerned with the factual link between negligence and loss, remoteness is concerned with </w:t>
      </w:r>
      <w:r w:rsidRPr="006D5CAE">
        <w:rPr>
          <w:color w:val="800000"/>
          <w:sz w:val="22"/>
          <w:u w:val="none"/>
        </w:rPr>
        <w:t>legal</w:t>
      </w:r>
      <w:r w:rsidRPr="006D5CAE">
        <w:rPr>
          <w:b w:val="0"/>
          <w:color w:val="800000"/>
          <w:sz w:val="22"/>
          <w:u w:val="none"/>
        </w:rPr>
        <w:t xml:space="preserve"> </w:t>
      </w:r>
      <w:r w:rsidRPr="006D5CAE">
        <w:rPr>
          <w:color w:val="800000"/>
          <w:sz w:val="22"/>
          <w:u w:val="none"/>
        </w:rPr>
        <w:t>link</w:t>
      </w:r>
      <w:r w:rsidRPr="006D5CAE">
        <w:rPr>
          <w:b w:val="0"/>
          <w:sz w:val="22"/>
          <w:u w:val="none"/>
        </w:rPr>
        <w:t xml:space="preserve"> between the negligence and the loss.</w:t>
      </w:r>
    </w:p>
    <w:p w:rsidR="00905EB9" w:rsidRPr="006D5CAE" w:rsidRDefault="00905EB9" w:rsidP="00905EB9">
      <w:pPr>
        <w:rPr>
          <w:b w:val="0"/>
          <w:sz w:val="22"/>
          <w:u w:val="none"/>
        </w:rPr>
      </w:pPr>
      <w:r w:rsidRPr="006D5CAE">
        <w:rPr>
          <w:b w:val="0"/>
          <w:sz w:val="22"/>
          <w:u w:val="none"/>
        </w:rPr>
        <w:t xml:space="preserve">Remoteness is primarily a </w:t>
      </w:r>
      <w:r w:rsidRPr="006D5CAE">
        <w:rPr>
          <w:color w:val="800000"/>
          <w:sz w:val="22"/>
          <w:u w:val="none"/>
        </w:rPr>
        <w:t>policy consideration</w:t>
      </w:r>
      <w:r w:rsidRPr="006D5CAE">
        <w:rPr>
          <w:b w:val="0"/>
          <w:sz w:val="22"/>
          <w:u w:val="none"/>
        </w:rPr>
        <w:t xml:space="preserve">. </w:t>
      </w:r>
      <w:r w:rsidRPr="006D5CAE">
        <w:rPr>
          <w:b w:val="0"/>
          <w:sz w:val="22"/>
          <w:u w:val="none"/>
        </w:rPr>
        <w:br/>
      </w:r>
      <w:r w:rsidRPr="006D5CAE">
        <w:rPr>
          <w:b w:val="0"/>
          <w:sz w:val="22"/>
          <w:u w:val="none"/>
        </w:rPr>
        <w:br/>
        <w:t xml:space="preserve">Duty, </w:t>
      </w:r>
      <w:proofErr w:type="spellStart"/>
      <w:r w:rsidRPr="006D5CAE">
        <w:rPr>
          <w:b w:val="0"/>
          <w:sz w:val="22"/>
          <w:u w:val="none"/>
        </w:rPr>
        <w:t>forseeability</w:t>
      </w:r>
      <w:proofErr w:type="spellEnd"/>
      <w:r w:rsidRPr="006D5CAE">
        <w:rPr>
          <w:b w:val="0"/>
          <w:sz w:val="22"/>
          <w:u w:val="none"/>
        </w:rPr>
        <w:t xml:space="preserve"> and standard of care all revolve around </w:t>
      </w:r>
      <w:proofErr w:type="spellStart"/>
      <w:r w:rsidRPr="006D5CAE">
        <w:rPr>
          <w:b w:val="0"/>
          <w:sz w:val="22"/>
          <w:u w:val="none"/>
        </w:rPr>
        <w:t>forseeability</w:t>
      </w:r>
      <w:proofErr w:type="spellEnd"/>
      <w:r w:rsidRPr="006D5CAE">
        <w:rPr>
          <w:b w:val="0"/>
          <w:sz w:val="22"/>
          <w:u w:val="none"/>
        </w:rPr>
        <w:t xml:space="preserve"> but of different kinds.</w:t>
      </w:r>
    </w:p>
    <w:p w:rsidR="00905EB9" w:rsidRPr="006D5CAE" w:rsidRDefault="00905EB9" w:rsidP="00905EB9">
      <w:pPr>
        <w:rPr>
          <w:b w:val="0"/>
          <w:sz w:val="22"/>
          <w:u w:val="none"/>
        </w:rPr>
      </w:pPr>
      <w:r w:rsidRPr="006D5CAE">
        <w:rPr>
          <w:b w:val="0"/>
          <w:sz w:val="22"/>
          <w:u w:val="none"/>
        </w:rPr>
        <w:t>Duty: is the plaintiff within the range of possible harm?</w:t>
      </w:r>
    </w:p>
    <w:p w:rsidR="00905EB9" w:rsidRPr="006D5CAE" w:rsidRDefault="00905EB9" w:rsidP="00905EB9">
      <w:pPr>
        <w:rPr>
          <w:b w:val="0"/>
          <w:sz w:val="22"/>
          <w:u w:val="none"/>
        </w:rPr>
      </w:pPr>
      <w:r w:rsidRPr="006D5CAE">
        <w:rPr>
          <w:b w:val="0"/>
          <w:sz w:val="22"/>
          <w:u w:val="none"/>
        </w:rPr>
        <w:t>Standard of Care: was it reasonably foreseeable as a possibility that this particular act/omission would cause harm to the victim?</w:t>
      </w:r>
    </w:p>
    <w:p w:rsidR="00905EB9" w:rsidRPr="006D5CAE" w:rsidRDefault="00905EB9" w:rsidP="00905EB9">
      <w:pPr>
        <w:rPr>
          <w:b w:val="0"/>
          <w:sz w:val="22"/>
          <w:u w:val="none"/>
        </w:rPr>
      </w:pPr>
      <w:r w:rsidRPr="006D5CAE">
        <w:rPr>
          <w:b w:val="0"/>
          <w:sz w:val="22"/>
          <w:u w:val="none"/>
        </w:rPr>
        <w:t xml:space="preserve">Remoteness: can this </w:t>
      </w:r>
      <w:r w:rsidRPr="006D5CAE">
        <w:rPr>
          <w:color w:val="800000"/>
          <w:sz w:val="22"/>
          <w:u w:val="none"/>
        </w:rPr>
        <w:t>kind of harm</w:t>
      </w:r>
      <w:r w:rsidRPr="006D5CAE">
        <w:rPr>
          <w:b w:val="0"/>
          <w:sz w:val="22"/>
          <w:u w:val="none"/>
        </w:rPr>
        <w:t xml:space="preserve"> be reasonably foreseen?</w:t>
      </w:r>
    </w:p>
    <w:p w:rsidR="006D2D18" w:rsidRPr="006D5CAE" w:rsidRDefault="00906F01" w:rsidP="00906F01">
      <w:pPr>
        <w:pStyle w:val="Heading1"/>
        <w:rPr>
          <w:rStyle w:val="Heading2Char"/>
          <w:b/>
          <w:bCs/>
          <w:sz w:val="30"/>
        </w:rPr>
      </w:pPr>
      <w:bookmarkStart w:id="19" w:name="_Toc258695621"/>
      <w:r w:rsidRPr="006D5CAE">
        <w:rPr>
          <w:rStyle w:val="Heading2Char"/>
          <w:rFonts w:ascii="Baskerville Old Face" w:hAnsi="Baskerville Old Face"/>
          <w:b/>
          <w:color w:val="auto"/>
        </w:rPr>
        <w:t xml:space="preserve">17.2: Directness v </w:t>
      </w:r>
      <w:proofErr w:type="spellStart"/>
      <w:r w:rsidRPr="006D5CAE">
        <w:rPr>
          <w:rStyle w:val="Heading2Char"/>
          <w:rFonts w:ascii="Baskerville Old Face" w:hAnsi="Baskerville Old Face"/>
          <w:b/>
          <w:color w:val="auto"/>
        </w:rPr>
        <w:t>Forseeability</w:t>
      </w:r>
      <w:bookmarkEnd w:id="19"/>
      <w:proofErr w:type="spellEnd"/>
    </w:p>
    <w:p w:rsidR="006D2D18" w:rsidRPr="006D5CAE" w:rsidRDefault="006D2D18" w:rsidP="006D2D18">
      <w:pPr>
        <w:rPr>
          <w:sz w:val="22"/>
        </w:rPr>
      </w:pPr>
    </w:p>
    <w:p w:rsidR="006D2D18" w:rsidRPr="006D5CAE" w:rsidRDefault="006D2D18" w:rsidP="006D2D18">
      <w:pPr>
        <w:rPr>
          <w:b w:val="0"/>
          <w:sz w:val="22"/>
          <w:u w:val="none"/>
        </w:rPr>
      </w:pPr>
      <w:r w:rsidRPr="006D5CAE">
        <w:rPr>
          <w:b w:val="0"/>
          <w:sz w:val="22"/>
        </w:rPr>
        <w:t>Directness</w:t>
      </w:r>
      <w:r w:rsidRPr="006D5CAE">
        <w:rPr>
          <w:b w:val="0"/>
          <w:sz w:val="22"/>
          <w:u w:val="none"/>
        </w:rPr>
        <w:t>: the plaintiff’s loss is not too remote if it was directly caused by the defendant’s breach of duty. There must be closeness in time and space (</w:t>
      </w:r>
      <w:proofErr w:type="spellStart"/>
      <w:r w:rsidRPr="006D5CAE">
        <w:rPr>
          <w:b w:val="0"/>
          <w:i/>
          <w:sz w:val="22"/>
          <w:u w:val="none"/>
        </w:rPr>
        <w:t>Polemis</w:t>
      </w:r>
      <w:proofErr w:type="spellEnd"/>
      <w:r w:rsidRPr="006D5CAE">
        <w:rPr>
          <w:b w:val="0"/>
          <w:sz w:val="22"/>
          <w:u w:val="none"/>
        </w:rPr>
        <w:t>).</w:t>
      </w:r>
      <w:r w:rsidRPr="006D5CAE">
        <w:rPr>
          <w:b w:val="0"/>
          <w:sz w:val="22"/>
          <w:u w:val="none"/>
        </w:rPr>
        <w:br/>
      </w:r>
      <w:r w:rsidRPr="006D5CAE">
        <w:rPr>
          <w:b w:val="0"/>
          <w:sz w:val="22"/>
        </w:rPr>
        <w:br/>
      </w:r>
      <w:r w:rsidRPr="006D5CAE">
        <w:rPr>
          <w:b w:val="0"/>
          <w:sz w:val="22"/>
          <w:highlight w:val="yellow"/>
        </w:rPr>
        <w:t>The Wagon Mound (No. 1) (1961 PC (NSW))</w:t>
      </w:r>
    </w:p>
    <w:p w:rsidR="006D2D18" w:rsidRPr="006D5CAE" w:rsidRDefault="006D2D18" w:rsidP="006D2D18">
      <w:pPr>
        <w:rPr>
          <w:b w:val="0"/>
          <w:sz w:val="22"/>
          <w:u w:val="none"/>
        </w:rPr>
      </w:pPr>
      <w:r w:rsidRPr="006D5CAE">
        <w:rPr>
          <w:b w:val="0"/>
          <w:sz w:val="22"/>
          <w:u w:val="none"/>
        </w:rPr>
        <w:t xml:space="preserve">Replaced the directness taste with a “reasonably foreseeable” test for deciding whether a particular </w:t>
      </w:r>
      <w:r w:rsidRPr="006D5CAE">
        <w:rPr>
          <w:b w:val="0"/>
          <w:sz w:val="22"/>
        </w:rPr>
        <w:t>type</w:t>
      </w:r>
      <w:r w:rsidRPr="006D5CAE">
        <w:rPr>
          <w:b w:val="0"/>
          <w:sz w:val="22"/>
          <w:u w:val="none"/>
        </w:rPr>
        <w:t xml:space="preserve"> of damage is too remote. </w:t>
      </w:r>
      <w:proofErr w:type="gramStart"/>
      <w:r w:rsidRPr="006D5CAE">
        <w:rPr>
          <w:b w:val="0"/>
          <w:sz w:val="22"/>
          <w:u w:val="none"/>
        </w:rPr>
        <w:t>Whether damage is “different in kind” from the foreseeable kind.</w:t>
      </w:r>
      <w:proofErr w:type="gramEnd"/>
      <w:r w:rsidRPr="006D5CAE">
        <w:rPr>
          <w:b w:val="0"/>
          <w:sz w:val="22"/>
          <w:u w:val="none"/>
        </w:rPr>
        <w:t xml:space="preserve"> There is no logical classification of “types” of damage; it relates both to the </w:t>
      </w:r>
      <w:r w:rsidRPr="006D5CAE">
        <w:rPr>
          <w:color w:val="800000"/>
          <w:sz w:val="22"/>
          <w:u w:val="none"/>
        </w:rPr>
        <w:t>nature of the injury</w:t>
      </w:r>
      <w:r w:rsidRPr="006D5CAE">
        <w:rPr>
          <w:b w:val="0"/>
          <w:sz w:val="22"/>
          <w:u w:val="none"/>
        </w:rPr>
        <w:t xml:space="preserve"> and the </w:t>
      </w:r>
      <w:r w:rsidRPr="006D5CAE">
        <w:rPr>
          <w:sz w:val="22"/>
          <w:u w:val="none"/>
        </w:rPr>
        <w:t xml:space="preserve">process by </w:t>
      </w:r>
      <w:r w:rsidRPr="006D5CAE">
        <w:rPr>
          <w:color w:val="800000"/>
          <w:sz w:val="22"/>
          <w:u w:val="none"/>
        </w:rPr>
        <w:t>which it was brought about</w:t>
      </w:r>
      <w:r w:rsidRPr="006D5CAE">
        <w:rPr>
          <w:b w:val="0"/>
          <w:color w:val="800000"/>
          <w:sz w:val="22"/>
          <w:u w:val="none"/>
        </w:rPr>
        <w:t>.</w:t>
      </w:r>
      <w:r w:rsidRPr="006D5CAE">
        <w:rPr>
          <w:b w:val="0"/>
          <w:sz w:val="22"/>
          <w:u w:val="none"/>
        </w:rPr>
        <w:t xml:space="preserve"> </w:t>
      </w:r>
    </w:p>
    <w:p w:rsidR="006D2D18" w:rsidRPr="006D5CAE" w:rsidRDefault="006D2D18" w:rsidP="006D2D18">
      <w:pPr>
        <w:pStyle w:val="Heading1"/>
        <w:rPr>
          <w:rFonts w:ascii="Baskerville Old Face" w:hAnsi="Baskerville Old Face"/>
          <w:b/>
          <w:color w:val="auto"/>
          <w:sz w:val="26"/>
        </w:rPr>
      </w:pPr>
      <w:bookmarkStart w:id="20" w:name="_Toc258695622"/>
      <w:r w:rsidRPr="006D5CAE">
        <w:rPr>
          <w:rStyle w:val="Heading2Char"/>
          <w:rFonts w:ascii="Baskerville Old Face" w:hAnsi="Baskerville Old Face"/>
          <w:b/>
          <w:color w:val="auto"/>
        </w:rPr>
        <w:t xml:space="preserve">17.3: Modifications of the </w:t>
      </w:r>
      <w:proofErr w:type="spellStart"/>
      <w:r w:rsidRPr="006D5CAE">
        <w:rPr>
          <w:rStyle w:val="Heading2Char"/>
          <w:rFonts w:ascii="Baskerville Old Face" w:hAnsi="Baskerville Old Face"/>
          <w:b/>
          <w:color w:val="auto"/>
        </w:rPr>
        <w:t>For</w:t>
      </w:r>
      <w:r w:rsidR="00681EE6" w:rsidRPr="006D5CAE">
        <w:rPr>
          <w:rStyle w:val="Heading2Char"/>
          <w:rFonts w:ascii="Baskerville Old Face" w:hAnsi="Baskerville Old Face"/>
          <w:b/>
          <w:color w:val="auto"/>
        </w:rPr>
        <w:t>e</w:t>
      </w:r>
      <w:r w:rsidRPr="006D5CAE">
        <w:rPr>
          <w:rStyle w:val="Heading2Char"/>
          <w:rFonts w:ascii="Baskerville Old Face" w:hAnsi="Baskerville Old Face"/>
          <w:b/>
          <w:color w:val="auto"/>
        </w:rPr>
        <w:t>seeablity</w:t>
      </w:r>
      <w:proofErr w:type="spellEnd"/>
      <w:r w:rsidRPr="006D5CAE">
        <w:rPr>
          <w:rStyle w:val="Heading2Char"/>
          <w:rFonts w:ascii="Baskerville Old Face" w:hAnsi="Baskerville Old Face"/>
          <w:b/>
          <w:color w:val="auto"/>
        </w:rPr>
        <w:t xml:space="preserve"> Test</w:t>
      </w:r>
      <w:bookmarkEnd w:id="20"/>
    </w:p>
    <w:p w:rsidR="006D2D18" w:rsidRPr="006D5CAE" w:rsidRDefault="006D2D18" w:rsidP="006D2D18">
      <w:pPr>
        <w:rPr>
          <w:b w:val="0"/>
          <w:sz w:val="22"/>
          <w:u w:val="none"/>
        </w:rPr>
      </w:pPr>
    </w:p>
    <w:p w:rsidR="006D2D18" w:rsidRPr="006D5CAE" w:rsidRDefault="006D2D18" w:rsidP="006D2D18">
      <w:pPr>
        <w:rPr>
          <w:b w:val="0"/>
          <w:sz w:val="22"/>
          <w:u w:val="none"/>
        </w:rPr>
      </w:pPr>
      <w:r w:rsidRPr="006D5CAE">
        <w:rPr>
          <w:b w:val="0"/>
          <w:sz w:val="22"/>
          <w:highlight w:val="yellow"/>
        </w:rPr>
        <w:t>Hughes v Lord Advocate (1963 HL)</w:t>
      </w:r>
      <w:r w:rsidRPr="006D5CAE">
        <w:rPr>
          <w:b w:val="0"/>
          <w:sz w:val="22"/>
          <w:u w:val="none"/>
        </w:rPr>
        <w:t xml:space="preserve"> [the kind of injury]</w:t>
      </w:r>
    </w:p>
    <w:p w:rsidR="006D2D18" w:rsidRPr="006D5CAE" w:rsidRDefault="006D2D18" w:rsidP="006D2D18">
      <w:pPr>
        <w:rPr>
          <w:b w:val="0"/>
          <w:sz w:val="22"/>
          <w:u w:val="none"/>
        </w:rPr>
      </w:pPr>
      <w:r w:rsidRPr="006D5CAE">
        <w:rPr>
          <w:b w:val="0"/>
          <w:sz w:val="22"/>
          <w:u w:val="none"/>
        </w:rPr>
        <w:t xml:space="preserve">Paraffin lamp case. Although massive explosion could not be reasonably foreseen, the </w:t>
      </w:r>
      <w:r w:rsidRPr="006D5CAE">
        <w:rPr>
          <w:b w:val="0"/>
          <w:i/>
          <w:sz w:val="22"/>
          <w:u w:val="none"/>
        </w:rPr>
        <w:t>kind of damage</w:t>
      </w:r>
      <w:r w:rsidRPr="006D5CAE">
        <w:rPr>
          <w:b w:val="0"/>
          <w:sz w:val="22"/>
          <w:u w:val="none"/>
        </w:rPr>
        <w:t xml:space="preserve"> (burn) from leaving a paraffin lamp is foreseeable. </w:t>
      </w:r>
    </w:p>
    <w:p w:rsidR="006D1191" w:rsidRPr="006D5CAE" w:rsidRDefault="006D2D18" w:rsidP="006D2D18">
      <w:pPr>
        <w:rPr>
          <w:b w:val="0"/>
          <w:sz w:val="22"/>
          <w:u w:val="none"/>
        </w:rPr>
      </w:pPr>
      <w:r w:rsidRPr="006D5CAE">
        <w:rPr>
          <w:b w:val="0"/>
          <w:sz w:val="22"/>
          <w:highlight w:val="yellow"/>
        </w:rPr>
        <w:t>Smith v Leech Brain &amp; Co (1962</w:t>
      </w:r>
      <w:r w:rsidR="006D1191" w:rsidRPr="006D5CAE">
        <w:rPr>
          <w:b w:val="0"/>
          <w:sz w:val="22"/>
          <w:highlight w:val="yellow"/>
        </w:rPr>
        <w:t xml:space="preserve"> QBD)</w:t>
      </w:r>
      <w:r w:rsidR="00C47798" w:rsidRPr="006D5CAE">
        <w:rPr>
          <w:b w:val="0"/>
          <w:sz w:val="22"/>
          <w:highlight w:val="yellow"/>
        </w:rPr>
        <w:t xml:space="preserve">; </w:t>
      </w:r>
      <w:proofErr w:type="spellStart"/>
      <w:r w:rsidR="00C47798" w:rsidRPr="006D5CAE">
        <w:rPr>
          <w:b w:val="0"/>
          <w:sz w:val="22"/>
          <w:highlight w:val="yellow"/>
        </w:rPr>
        <w:t>Marconato</w:t>
      </w:r>
      <w:proofErr w:type="spellEnd"/>
      <w:r w:rsidR="00C47798" w:rsidRPr="006D5CAE">
        <w:rPr>
          <w:b w:val="0"/>
          <w:sz w:val="22"/>
          <w:highlight w:val="yellow"/>
        </w:rPr>
        <w:t xml:space="preserve"> v Franklin (1974 BCSC)</w:t>
      </w:r>
      <w:r w:rsidR="006D1191" w:rsidRPr="006D5CAE">
        <w:rPr>
          <w:b w:val="0"/>
          <w:sz w:val="22"/>
          <w:u w:val="none"/>
        </w:rPr>
        <w:t xml:space="preserve"> [thin-skull rule]</w:t>
      </w:r>
    </w:p>
    <w:p w:rsidR="00C47798" w:rsidRPr="006D5CAE" w:rsidRDefault="00C47798" w:rsidP="006D2D18">
      <w:pPr>
        <w:rPr>
          <w:b w:val="0"/>
          <w:sz w:val="22"/>
          <w:u w:val="none"/>
        </w:rPr>
      </w:pPr>
      <w:r w:rsidRPr="006D5CAE">
        <w:rPr>
          <w:b w:val="0"/>
          <w:sz w:val="22"/>
          <w:u w:val="none"/>
        </w:rPr>
        <w:t xml:space="preserve">Burn causing cancer case. </w:t>
      </w:r>
      <w:r w:rsidR="006D1191" w:rsidRPr="006D5CAE">
        <w:rPr>
          <w:b w:val="0"/>
          <w:sz w:val="22"/>
          <w:u w:val="none"/>
        </w:rPr>
        <w:t>Any foreseeable physical injury makes the ∂ liable for all the physical injury</w:t>
      </w:r>
      <w:r w:rsidRPr="006D5CAE">
        <w:rPr>
          <w:b w:val="0"/>
          <w:sz w:val="22"/>
          <w:u w:val="none"/>
        </w:rPr>
        <w:t xml:space="preserve">, and consequent psychiatric injury even if that psychiatric injury itself was not foreseeable. </w:t>
      </w:r>
      <w:proofErr w:type="gramStart"/>
      <w:r w:rsidRPr="006D5CAE">
        <w:rPr>
          <w:b w:val="0"/>
          <w:sz w:val="22"/>
          <w:u w:val="none"/>
        </w:rPr>
        <w:t>(</w:t>
      </w:r>
      <w:proofErr w:type="spellStart"/>
      <w:r w:rsidRPr="006D5CAE">
        <w:rPr>
          <w:b w:val="0"/>
          <w:i/>
          <w:sz w:val="22"/>
          <w:u w:val="none"/>
        </w:rPr>
        <w:t>Marconato</w:t>
      </w:r>
      <w:proofErr w:type="spellEnd"/>
      <w:r w:rsidRPr="006D5CAE">
        <w:rPr>
          <w:b w:val="0"/>
          <w:sz w:val="22"/>
          <w:u w:val="none"/>
        </w:rPr>
        <w:t xml:space="preserve"> [accident causing “major personal change”]).</w:t>
      </w:r>
      <w:proofErr w:type="gramEnd"/>
      <w:r w:rsidRPr="006D5CAE">
        <w:rPr>
          <w:b w:val="0"/>
          <w:sz w:val="22"/>
          <w:u w:val="none"/>
        </w:rPr>
        <w:t xml:space="preserve"> However, thin-skull principle does not apply where there is no primary physical injury (</w:t>
      </w:r>
      <w:r w:rsidRPr="006D5CAE">
        <w:rPr>
          <w:b w:val="0"/>
          <w:i/>
          <w:sz w:val="22"/>
          <w:u w:val="none"/>
        </w:rPr>
        <w:t>Mustapha</w:t>
      </w:r>
      <w:r w:rsidRPr="006D5CAE">
        <w:rPr>
          <w:b w:val="0"/>
          <w:sz w:val="22"/>
          <w:u w:val="none"/>
        </w:rPr>
        <w:t>)</w:t>
      </w:r>
    </w:p>
    <w:p w:rsidR="00C47798" w:rsidRPr="006D5CAE" w:rsidRDefault="00C47798" w:rsidP="006D2D18">
      <w:pPr>
        <w:rPr>
          <w:b w:val="0"/>
          <w:sz w:val="22"/>
          <w:u w:val="none"/>
        </w:rPr>
      </w:pPr>
      <w:r w:rsidRPr="006D5CAE">
        <w:rPr>
          <w:b w:val="0"/>
          <w:sz w:val="22"/>
          <w:highlight w:val="yellow"/>
        </w:rPr>
        <w:t xml:space="preserve">Wagon Mound (No. 2) (1967 PC (NSW); Assiniboine South School </w:t>
      </w:r>
      <w:proofErr w:type="spellStart"/>
      <w:r w:rsidRPr="006D5CAE">
        <w:rPr>
          <w:b w:val="0"/>
          <w:sz w:val="22"/>
          <w:highlight w:val="yellow"/>
        </w:rPr>
        <w:t>Divn</w:t>
      </w:r>
      <w:proofErr w:type="spellEnd"/>
      <w:r w:rsidRPr="006D5CAE">
        <w:rPr>
          <w:b w:val="0"/>
          <w:sz w:val="22"/>
          <w:highlight w:val="yellow"/>
        </w:rPr>
        <w:t xml:space="preserve"> No. 3 v Greater Winnipeg Gas Co. (1973 SCC); Mustapha v </w:t>
      </w:r>
      <w:proofErr w:type="spellStart"/>
      <w:r w:rsidRPr="006D5CAE">
        <w:rPr>
          <w:b w:val="0"/>
          <w:sz w:val="22"/>
          <w:highlight w:val="yellow"/>
        </w:rPr>
        <w:t>Culligan</w:t>
      </w:r>
      <w:proofErr w:type="spellEnd"/>
      <w:r w:rsidRPr="006D5CAE">
        <w:rPr>
          <w:b w:val="0"/>
          <w:sz w:val="22"/>
          <w:highlight w:val="yellow"/>
        </w:rPr>
        <w:t xml:space="preserve"> of Canada LTD (2008 SCC)</w:t>
      </w:r>
      <w:r w:rsidRPr="006D5CAE">
        <w:rPr>
          <w:b w:val="0"/>
          <w:sz w:val="22"/>
          <w:u w:val="none"/>
        </w:rPr>
        <w:t xml:space="preserve"> [the possibility of injury]</w:t>
      </w:r>
    </w:p>
    <w:p w:rsidR="00C47798" w:rsidRPr="006D5CAE" w:rsidRDefault="00C47798" w:rsidP="006D2D18">
      <w:pPr>
        <w:rPr>
          <w:b w:val="0"/>
          <w:sz w:val="22"/>
          <w:u w:val="none"/>
        </w:rPr>
      </w:pPr>
      <w:r w:rsidRPr="006D5CAE">
        <w:rPr>
          <w:b w:val="0"/>
          <w:sz w:val="22"/>
          <w:u w:val="none"/>
        </w:rPr>
        <w:t xml:space="preserve">If there is even a statistically very small probability of serious harm then there is no problem of remoteness; more so if as in </w:t>
      </w:r>
      <w:r w:rsidRPr="006D5CAE">
        <w:rPr>
          <w:b w:val="0"/>
          <w:i/>
          <w:sz w:val="22"/>
          <w:u w:val="none"/>
        </w:rPr>
        <w:t>WM2</w:t>
      </w:r>
      <w:r w:rsidRPr="006D5CAE">
        <w:rPr>
          <w:b w:val="0"/>
          <w:sz w:val="22"/>
          <w:u w:val="none"/>
        </w:rPr>
        <w:t xml:space="preserve"> it was easy for the defendant to avoid creating the risk. </w:t>
      </w:r>
      <w:r w:rsidRPr="006D5CAE">
        <w:rPr>
          <w:b w:val="0"/>
          <w:i/>
          <w:sz w:val="22"/>
          <w:u w:val="none"/>
        </w:rPr>
        <w:t>WM2</w:t>
      </w:r>
      <w:r w:rsidRPr="006D5CAE">
        <w:rPr>
          <w:b w:val="0"/>
          <w:sz w:val="22"/>
          <w:u w:val="none"/>
        </w:rPr>
        <w:t xml:space="preserve"> sets the bar really high, not reasonably foreseeable basically means practically unimaginable. </w:t>
      </w:r>
    </w:p>
    <w:p w:rsidR="00C47798" w:rsidRPr="006D5CAE" w:rsidRDefault="00C47798" w:rsidP="006D2D18">
      <w:pPr>
        <w:rPr>
          <w:b w:val="0"/>
          <w:sz w:val="22"/>
          <w:u w:val="none"/>
        </w:rPr>
      </w:pPr>
      <w:r w:rsidRPr="006D5CAE">
        <w:rPr>
          <w:b w:val="0"/>
          <w:sz w:val="22"/>
          <w:u w:val="none"/>
        </w:rPr>
        <w:t>The remoteness inquiry asks whether “the harm is too unrelated to the wrongful conduct to hold the defendant fairly liable” (</w:t>
      </w:r>
      <w:r w:rsidRPr="006D5CAE">
        <w:rPr>
          <w:b w:val="0"/>
          <w:i/>
          <w:sz w:val="22"/>
          <w:u w:val="none"/>
        </w:rPr>
        <w:t>Mustapha</w:t>
      </w:r>
      <w:r w:rsidRPr="006D5CAE">
        <w:rPr>
          <w:b w:val="0"/>
          <w:sz w:val="22"/>
          <w:u w:val="none"/>
        </w:rPr>
        <w:t>).</w:t>
      </w:r>
    </w:p>
    <w:p w:rsidR="00C47798" w:rsidRPr="006D5CAE" w:rsidRDefault="00C47798" w:rsidP="006D2D18">
      <w:pPr>
        <w:rPr>
          <w:b w:val="0"/>
          <w:sz w:val="22"/>
          <w:u w:val="none"/>
        </w:rPr>
      </w:pPr>
      <w:r w:rsidRPr="006D5CAE">
        <w:rPr>
          <w:b w:val="0"/>
          <w:sz w:val="22"/>
          <w:u w:val="none"/>
        </w:rPr>
        <w:t>Has to be a “real risk”, not just possible but also not as high as probable. A risk a reasonable man would contemplate.</w:t>
      </w:r>
    </w:p>
    <w:p w:rsidR="00B56BB2" w:rsidRPr="006D5CAE" w:rsidRDefault="00C47798" w:rsidP="006D2D18">
      <w:pPr>
        <w:rPr>
          <w:b w:val="0"/>
          <w:sz w:val="22"/>
          <w:u w:val="none"/>
        </w:rPr>
      </w:pPr>
      <w:r w:rsidRPr="006D5CAE">
        <w:rPr>
          <w:b w:val="0"/>
          <w:sz w:val="22"/>
          <w:u w:val="none"/>
        </w:rPr>
        <w:t xml:space="preserve">In cases where it is provided that the defendant had </w:t>
      </w:r>
      <w:r w:rsidRPr="006D5CAE">
        <w:rPr>
          <w:sz w:val="22"/>
          <w:u w:val="none"/>
        </w:rPr>
        <w:t>actual knowledge of the plaintiff’s particular sensibilities</w:t>
      </w:r>
      <w:r w:rsidRPr="006D5CAE">
        <w:rPr>
          <w:b w:val="0"/>
          <w:sz w:val="22"/>
          <w:u w:val="none"/>
        </w:rPr>
        <w:t>, the ordinary fortitude requirement need not be applied strictly.</w:t>
      </w:r>
    </w:p>
    <w:p w:rsidR="00B56BB2" w:rsidRPr="006D5CAE" w:rsidRDefault="00B56BB2" w:rsidP="006D2D18">
      <w:pPr>
        <w:rPr>
          <w:b w:val="0"/>
          <w:sz w:val="22"/>
          <w:u w:val="none"/>
        </w:rPr>
      </w:pPr>
      <w:r w:rsidRPr="006D5CAE">
        <w:rPr>
          <w:b w:val="0"/>
          <w:sz w:val="22"/>
          <w:u w:val="none"/>
        </w:rPr>
        <w:t>For psychiatric-harm-only cases, a psychiatric injury is too remote if the reasonably remote man would not suffer it. Personal cultural concerns/characteristics are not relevant unless the reasonably robust person possesses these attributes</w:t>
      </w:r>
      <w:r w:rsidRPr="006D5CAE">
        <w:rPr>
          <w:b w:val="0"/>
          <w:sz w:val="22"/>
          <w:u w:val="none"/>
        </w:rPr>
        <w:br/>
      </w:r>
      <w:r w:rsidRPr="006D5CAE">
        <w:rPr>
          <w:b w:val="0"/>
          <w:sz w:val="22"/>
          <w:u w:val="none"/>
        </w:rPr>
        <w:br/>
        <w:t xml:space="preserve">Remoteness only usually succeeds in cases where the damage is linked to a factual </w:t>
      </w:r>
      <w:proofErr w:type="gramStart"/>
      <w:r w:rsidRPr="006D5CAE">
        <w:rPr>
          <w:b w:val="0"/>
          <w:sz w:val="22"/>
          <w:u w:val="none"/>
        </w:rPr>
        <w:t>thing which</w:t>
      </w:r>
      <w:proofErr w:type="gramEnd"/>
      <w:r w:rsidRPr="006D5CAE">
        <w:rPr>
          <w:b w:val="0"/>
          <w:sz w:val="22"/>
          <w:u w:val="none"/>
        </w:rPr>
        <w:t xml:space="preserve"> the </w:t>
      </w:r>
      <w:proofErr w:type="spellStart"/>
      <w:r w:rsidRPr="006D5CAE">
        <w:rPr>
          <w:b w:val="0"/>
          <w:sz w:val="22"/>
          <w:u w:val="none"/>
        </w:rPr>
        <w:t>tortfeasor</w:t>
      </w:r>
      <w:proofErr w:type="spellEnd"/>
      <w:r w:rsidRPr="006D5CAE">
        <w:rPr>
          <w:b w:val="0"/>
          <w:sz w:val="22"/>
          <w:u w:val="none"/>
        </w:rPr>
        <w:t xml:space="preserve"> has no awareness of (i.e., poisoning a well, which leads to a heart attack).</w:t>
      </w:r>
    </w:p>
    <w:p w:rsidR="00B56BB2" w:rsidRPr="006D5CAE" w:rsidRDefault="00B56BB2" w:rsidP="00ED7233">
      <w:pPr>
        <w:pStyle w:val="Heading1"/>
        <w:rPr>
          <w:rFonts w:ascii="Baskerville Old Face" w:hAnsi="Baskerville Old Face"/>
          <w:b/>
          <w:color w:val="auto"/>
          <w:sz w:val="26"/>
        </w:rPr>
      </w:pPr>
      <w:bookmarkStart w:id="21" w:name="_Toc258695623"/>
      <w:r w:rsidRPr="006D5CAE">
        <w:rPr>
          <w:rStyle w:val="Heading2Char"/>
          <w:rFonts w:ascii="Baskerville Old Face" w:hAnsi="Baskerville Old Face"/>
          <w:b/>
          <w:color w:val="auto"/>
        </w:rPr>
        <w:t>17.4: Intervening Causes</w:t>
      </w:r>
      <w:bookmarkEnd w:id="21"/>
    </w:p>
    <w:p w:rsidR="00B90906" w:rsidRPr="006D5CAE" w:rsidRDefault="00B56BB2" w:rsidP="006D2D18">
      <w:pPr>
        <w:rPr>
          <w:b w:val="0"/>
          <w:sz w:val="22"/>
          <w:u w:val="none"/>
        </w:rPr>
      </w:pPr>
      <w:r w:rsidRPr="006D5CAE">
        <w:rPr>
          <w:b w:val="0"/>
          <w:sz w:val="22"/>
          <w:highlight w:val="yellow"/>
        </w:rPr>
        <w:br/>
      </w:r>
      <w:r w:rsidR="00B90906" w:rsidRPr="006D5CAE">
        <w:rPr>
          <w:b w:val="0"/>
          <w:sz w:val="22"/>
          <w:u w:val="none"/>
        </w:rPr>
        <w:t xml:space="preserve">An intervening act is one that causes or contributes to the plaintiff’s loss after the original defendant’s breach has taken effect. For example, a contractor negligently blocks a road causing pedestrians to go around, and a negligent driver hits one. Both </w:t>
      </w:r>
      <w:proofErr w:type="spellStart"/>
      <w:r w:rsidR="00B90906" w:rsidRPr="006D5CAE">
        <w:rPr>
          <w:b w:val="0"/>
          <w:sz w:val="22"/>
          <w:u w:val="none"/>
        </w:rPr>
        <w:t>tortfeasors</w:t>
      </w:r>
      <w:proofErr w:type="spellEnd"/>
      <w:r w:rsidR="00B90906" w:rsidRPr="006D5CAE">
        <w:rPr>
          <w:b w:val="0"/>
          <w:sz w:val="22"/>
          <w:u w:val="none"/>
        </w:rPr>
        <w:t xml:space="preserve"> causally contributed, but traditionally the contractor is not liable because the link between his breach and the plaintiff’s loss was severed by the intervening </w:t>
      </w:r>
      <w:proofErr w:type="spellStart"/>
      <w:r w:rsidR="00B90906" w:rsidRPr="006D5CAE">
        <w:rPr>
          <w:b w:val="0"/>
          <w:sz w:val="22"/>
          <w:u w:val="none"/>
        </w:rPr>
        <w:t>tortfeasor</w:t>
      </w:r>
      <w:proofErr w:type="spellEnd"/>
      <w:r w:rsidR="00B90906" w:rsidRPr="006D5CAE">
        <w:rPr>
          <w:b w:val="0"/>
          <w:sz w:val="22"/>
          <w:u w:val="none"/>
        </w:rPr>
        <w:t>.</w:t>
      </w:r>
    </w:p>
    <w:p w:rsidR="00B90906" w:rsidRPr="006D5CAE" w:rsidRDefault="00B90906" w:rsidP="006D2D18">
      <w:pPr>
        <w:rPr>
          <w:b w:val="0"/>
          <w:sz w:val="22"/>
          <w:u w:val="none"/>
        </w:rPr>
      </w:pPr>
      <w:r w:rsidRPr="006D5CAE">
        <w:rPr>
          <w:b w:val="0"/>
          <w:sz w:val="22"/>
          <w:u w:val="none"/>
        </w:rPr>
        <w:t xml:space="preserve">The courts have adopted a general principle: </w:t>
      </w:r>
      <w:r w:rsidRPr="006D5CAE">
        <w:rPr>
          <w:color w:val="800000"/>
          <w:sz w:val="22"/>
          <w:u w:val="none"/>
        </w:rPr>
        <w:t>“within the scope of risk”</w:t>
      </w:r>
      <w:r w:rsidRPr="006D5CAE">
        <w:rPr>
          <w:b w:val="0"/>
          <w:sz w:val="22"/>
          <w:u w:val="none"/>
        </w:rPr>
        <w:t xml:space="preserve"> test. Some courts frame the test as whether the </w:t>
      </w:r>
      <w:r w:rsidRPr="006D5CAE">
        <w:rPr>
          <w:color w:val="800000"/>
          <w:sz w:val="22"/>
          <w:u w:val="none"/>
        </w:rPr>
        <w:t>loss was within the scope</w:t>
      </w:r>
      <w:r w:rsidRPr="006D5CAE">
        <w:rPr>
          <w:b w:val="0"/>
          <w:sz w:val="22"/>
          <w:u w:val="none"/>
        </w:rPr>
        <w:t xml:space="preserve"> of the risk created by the original </w:t>
      </w:r>
      <w:proofErr w:type="spellStart"/>
      <w:r w:rsidRPr="006D5CAE">
        <w:rPr>
          <w:b w:val="0"/>
          <w:sz w:val="22"/>
          <w:u w:val="none"/>
        </w:rPr>
        <w:t>tortfeasor</w:t>
      </w:r>
      <w:proofErr w:type="spellEnd"/>
      <w:r w:rsidRPr="006D5CAE">
        <w:rPr>
          <w:b w:val="0"/>
          <w:sz w:val="22"/>
          <w:u w:val="none"/>
        </w:rPr>
        <w:t xml:space="preserve">, and some whether the </w:t>
      </w:r>
      <w:r w:rsidRPr="006D5CAE">
        <w:rPr>
          <w:color w:val="800000"/>
          <w:sz w:val="22"/>
          <w:u w:val="none"/>
        </w:rPr>
        <w:t>intervening act was within the scope</w:t>
      </w:r>
      <w:r w:rsidRPr="006D5CAE">
        <w:rPr>
          <w:b w:val="0"/>
          <w:sz w:val="22"/>
          <w:u w:val="none"/>
        </w:rPr>
        <w:t xml:space="preserve"> of the risk created by the original </w:t>
      </w:r>
      <w:proofErr w:type="spellStart"/>
      <w:r w:rsidRPr="006D5CAE">
        <w:rPr>
          <w:b w:val="0"/>
          <w:sz w:val="22"/>
          <w:u w:val="none"/>
        </w:rPr>
        <w:t>tortfeasor</w:t>
      </w:r>
      <w:proofErr w:type="spellEnd"/>
    </w:p>
    <w:p w:rsidR="00B90906" w:rsidRPr="006D5CAE" w:rsidRDefault="00650C80" w:rsidP="006D2D18">
      <w:pPr>
        <w:rPr>
          <w:b w:val="0"/>
          <w:sz w:val="22"/>
          <w:u w:val="none"/>
        </w:rPr>
      </w:pPr>
      <w:r w:rsidRPr="006D5CAE">
        <w:rPr>
          <w:b w:val="0"/>
          <w:sz w:val="22"/>
          <w:u w:val="none"/>
        </w:rPr>
        <w:t xml:space="preserve">The cases involve two related issues, </w:t>
      </w:r>
      <w:r w:rsidRPr="006D5CAE">
        <w:rPr>
          <w:color w:val="800000"/>
          <w:sz w:val="22"/>
          <w:u w:val="none"/>
        </w:rPr>
        <w:t>causation</w:t>
      </w:r>
      <w:r w:rsidRPr="006D5CAE">
        <w:rPr>
          <w:b w:val="0"/>
          <w:sz w:val="22"/>
          <w:u w:val="none"/>
        </w:rPr>
        <w:t xml:space="preserve"> (is it fair to say the defendant’s negligence </w:t>
      </w:r>
      <w:r w:rsidRPr="006D5CAE">
        <w:rPr>
          <w:b w:val="0"/>
          <w:color w:val="800000"/>
          <w:sz w:val="22"/>
          <w:u w:val="none"/>
        </w:rPr>
        <w:t>caused the other person to act</w:t>
      </w:r>
      <w:r w:rsidRPr="006D5CAE">
        <w:rPr>
          <w:b w:val="0"/>
          <w:sz w:val="22"/>
          <w:u w:val="none"/>
        </w:rPr>
        <w:t xml:space="preserve">) and </w:t>
      </w:r>
      <w:r w:rsidRPr="006D5CAE">
        <w:rPr>
          <w:color w:val="800000"/>
          <w:sz w:val="22"/>
          <w:u w:val="none"/>
        </w:rPr>
        <w:t>remoteness</w:t>
      </w:r>
      <w:r w:rsidRPr="006D5CAE">
        <w:rPr>
          <w:b w:val="0"/>
          <w:sz w:val="22"/>
          <w:u w:val="none"/>
        </w:rPr>
        <w:t xml:space="preserve"> (was it </w:t>
      </w:r>
      <w:r w:rsidRPr="006D5CAE">
        <w:rPr>
          <w:b w:val="0"/>
          <w:color w:val="800000"/>
          <w:sz w:val="22"/>
          <w:u w:val="none"/>
        </w:rPr>
        <w:t>reasonably foreseeable</w:t>
      </w:r>
      <w:r w:rsidRPr="006D5CAE">
        <w:rPr>
          <w:b w:val="0"/>
          <w:sz w:val="22"/>
          <w:u w:val="none"/>
        </w:rPr>
        <w:t xml:space="preserve"> to the defendant that the </w:t>
      </w:r>
      <w:r w:rsidRPr="006D5CAE">
        <w:rPr>
          <w:b w:val="0"/>
          <w:color w:val="800000"/>
          <w:sz w:val="22"/>
          <w:u w:val="none"/>
        </w:rPr>
        <w:t>negligence could lead</w:t>
      </w:r>
      <w:r w:rsidRPr="006D5CAE">
        <w:rPr>
          <w:b w:val="0"/>
          <w:sz w:val="22"/>
          <w:u w:val="none"/>
        </w:rPr>
        <w:t xml:space="preserve"> to the ultimate injury suffered by the plaintiff). </w:t>
      </w:r>
    </w:p>
    <w:p w:rsidR="00B56BB2" w:rsidRPr="006D5CAE" w:rsidRDefault="00B56BB2" w:rsidP="006D2D18">
      <w:pPr>
        <w:rPr>
          <w:b w:val="0"/>
          <w:sz w:val="22"/>
          <w:u w:val="none"/>
        </w:rPr>
      </w:pPr>
      <w:r w:rsidRPr="006D5CAE">
        <w:rPr>
          <w:b w:val="0"/>
          <w:sz w:val="22"/>
          <w:highlight w:val="yellow"/>
        </w:rPr>
        <w:t xml:space="preserve">Bradford v </w:t>
      </w:r>
      <w:proofErr w:type="spellStart"/>
      <w:r w:rsidRPr="006D5CAE">
        <w:rPr>
          <w:b w:val="0"/>
          <w:sz w:val="22"/>
          <w:highlight w:val="yellow"/>
        </w:rPr>
        <w:t>Kanellos</w:t>
      </w:r>
      <w:proofErr w:type="spellEnd"/>
      <w:r w:rsidRPr="006D5CAE">
        <w:rPr>
          <w:b w:val="0"/>
          <w:sz w:val="22"/>
          <w:highlight w:val="yellow"/>
        </w:rPr>
        <w:t xml:space="preserve"> (1973 SCC), Price v </w:t>
      </w:r>
      <w:proofErr w:type="spellStart"/>
      <w:r w:rsidRPr="006D5CAE">
        <w:rPr>
          <w:b w:val="0"/>
          <w:sz w:val="22"/>
          <w:highlight w:val="yellow"/>
        </w:rPr>
        <w:t>Milawski</w:t>
      </w:r>
      <w:proofErr w:type="spellEnd"/>
      <w:r w:rsidRPr="006D5CAE">
        <w:rPr>
          <w:b w:val="0"/>
          <w:sz w:val="22"/>
          <w:highlight w:val="yellow"/>
        </w:rPr>
        <w:t xml:space="preserve"> (1977 </w:t>
      </w:r>
      <w:proofErr w:type="spellStart"/>
      <w:r w:rsidRPr="006D5CAE">
        <w:rPr>
          <w:b w:val="0"/>
          <w:sz w:val="22"/>
          <w:highlight w:val="yellow"/>
        </w:rPr>
        <w:t>Ont</w:t>
      </w:r>
      <w:proofErr w:type="spellEnd"/>
      <w:r w:rsidRPr="006D5CAE">
        <w:rPr>
          <w:b w:val="0"/>
          <w:sz w:val="22"/>
          <w:highlight w:val="yellow"/>
        </w:rPr>
        <w:t xml:space="preserve"> CA), </w:t>
      </w:r>
      <w:proofErr w:type="spellStart"/>
      <w:r w:rsidRPr="006D5CAE">
        <w:rPr>
          <w:b w:val="0"/>
          <w:sz w:val="22"/>
          <w:highlight w:val="yellow"/>
        </w:rPr>
        <w:t>Hewson</w:t>
      </w:r>
      <w:proofErr w:type="spellEnd"/>
      <w:r w:rsidRPr="006D5CAE">
        <w:rPr>
          <w:b w:val="0"/>
          <w:sz w:val="22"/>
          <w:highlight w:val="yellow"/>
        </w:rPr>
        <w:t xml:space="preserve"> v Red Deer (1976 Alta SC)</w:t>
      </w:r>
    </w:p>
    <w:p w:rsidR="00650C80" w:rsidRPr="006D5CAE" w:rsidRDefault="00B90906" w:rsidP="006D2D18">
      <w:pPr>
        <w:rPr>
          <w:b w:val="0"/>
          <w:sz w:val="22"/>
          <w:u w:val="none"/>
        </w:rPr>
      </w:pPr>
      <w:r w:rsidRPr="006D5CAE">
        <w:rPr>
          <w:b w:val="0"/>
          <w:i/>
          <w:sz w:val="22"/>
          <w:u w:val="none"/>
        </w:rPr>
        <w:t>Bradford</w:t>
      </w:r>
      <w:r w:rsidRPr="006D5CAE">
        <w:rPr>
          <w:b w:val="0"/>
          <w:sz w:val="22"/>
          <w:u w:val="none"/>
        </w:rPr>
        <w:t xml:space="preserve"> was the kitchen fire causing patron panic case. Majority held that the person’s reactive yell was a totally irresponsible act and so severed the link between the negligently started fire and the plaintiff being trampled.</w:t>
      </w:r>
      <w:r w:rsidR="00650C80" w:rsidRPr="006D5CAE">
        <w:rPr>
          <w:b w:val="0"/>
          <w:sz w:val="22"/>
          <w:u w:val="none"/>
        </w:rPr>
        <w:t xml:space="preserve"> Dissent thought that the reaction was a normal one in the circumstances and should have been </w:t>
      </w:r>
      <w:proofErr w:type="spellStart"/>
      <w:r w:rsidR="00650C80" w:rsidRPr="006D5CAE">
        <w:rPr>
          <w:b w:val="0"/>
          <w:sz w:val="22"/>
          <w:u w:val="none"/>
        </w:rPr>
        <w:t>forseen</w:t>
      </w:r>
      <w:proofErr w:type="spellEnd"/>
      <w:r w:rsidR="00650C80" w:rsidRPr="006D5CAE">
        <w:rPr>
          <w:b w:val="0"/>
          <w:sz w:val="22"/>
          <w:u w:val="none"/>
        </w:rPr>
        <w:t>.</w:t>
      </w:r>
    </w:p>
    <w:p w:rsidR="00650C80" w:rsidRPr="006D5CAE" w:rsidRDefault="00650C80" w:rsidP="006D2D18">
      <w:pPr>
        <w:rPr>
          <w:b w:val="0"/>
          <w:sz w:val="22"/>
          <w:u w:val="none"/>
        </w:rPr>
      </w:pPr>
      <w:r w:rsidRPr="006D5CAE">
        <w:rPr>
          <w:b w:val="0"/>
          <w:i/>
          <w:sz w:val="22"/>
          <w:u w:val="none"/>
        </w:rPr>
        <w:t>Price</w:t>
      </w:r>
      <w:r w:rsidRPr="006D5CAE">
        <w:rPr>
          <w:b w:val="0"/>
          <w:sz w:val="22"/>
          <w:u w:val="none"/>
        </w:rPr>
        <w:t xml:space="preserve"> was the soccer-injury, and two negligent doctors. The first doctor argued that the latter doctor’s negligence severed the link between his beach and the plaintiff’s injuries, but the Court of Appeal held that the latter doctor’s negligence was </w:t>
      </w:r>
      <w:r w:rsidRPr="006D5CAE">
        <w:rPr>
          <w:b w:val="0"/>
          <w:i/>
          <w:color w:val="800000"/>
          <w:sz w:val="22"/>
          <w:u w:val="none"/>
        </w:rPr>
        <w:t>within the scope of risk</w:t>
      </w:r>
      <w:r w:rsidRPr="006D5CAE">
        <w:rPr>
          <w:b w:val="0"/>
          <w:color w:val="800000"/>
          <w:sz w:val="22"/>
          <w:u w:val="none"/>
        </w:rPr>
        <w:t xml:space="preserve"> </w:t>
      </w:r>
      <w:r w:rsidRPr="006D5CAE">
        <w:rPr>
          <w:b w:val="0"/>
          <w:i/>
          <w:color w:val="800000"/>
          <w:sz w:val="22"/>
          <w:u w:val="none"/>
        </w:rPr>
        <w:t>created</w:t>
      </w:r>
      <w:r w:rsidRPr="006D5CAE">
        <w:rPr>
          <w:b w:val="0"/>
          <w:sz w:val="22"/>
          <w:u w:val="none"/>
        </w:rPr>
        <w:t xml:space="preserve"> by the initial negligence.</w:t>
      </w:r>
    </w:p>
    <w:p w:rsidR="00650C80" w:rsidRPr="006D5CAE" w:rsidRDefault="00650C80" w:rsidP="006D2D18">
      <w:pPr>
        <w:rPr>
          <w:b w:val="0"/>
          <w:sz w:val="22"/>
          <w:u w:val="none"/>
        </w:rPr>
      </w:pPr>
      <w:r w:rsidRPr="006D5CAE">
        <w:rPr>
          <w:b w:val="0"/>
          <w:i/>
          <w:sz w:val="22"/>
          <w:u w:val="none"/>
        </w:rPr>
        <w:t>Red Deer</w:t>
      </w:r>
      <w:r w:rsidRPr="006D5CAE">
        <w:rPr>
          <w:b w:val="0"/>
          <w:sz w:val="22"/>
          <w:u w:val="none"/>
        </w:rPr>
        <w:t xml:space="preserve"> was the negligent city worker leaving his keys in the ignition. The city pleaded </w:t>
      </w:r>
      <w:proofErr w:type="spellStart"/>
      <w:r w:rsidRPr="006D5CAE">
        <w:rPr>
          <w:b w:val="0"/>
          <w:sz w:val="22"/>
          <w:u w:val="none"/>
        </w:rPr>
        <w:t>novus</w:t>
      </w:r>
      <w:proofErr w:type="spellEnd"/>
      <w:r w:rsidRPr="006D5CAE">
        <w:rPr>
          <w:b w:val="0"/>
          <w:sz w:val="22"/>
          <w:u w:val="none"/>
        </w:rPr>
        <w:t xml:space="preserve"> </w:t>
      </w:r>
      <w:proofErr w:type="spellStart"/>
      <w:r w:rsidRPr="006D5CAE">
        <w:rPr>
          <w:b w:val="0"/>
          <w:sz w:val="22"/>
          <w:u w:val="none"/>
        </w:rPr>
        <w:t>actus</w:t>
      </w:r>
      <w:proofErr w:type="spellEnd"/>
      <w:r w:rsidRPr="006D5CAE">
        <w:rPr>
          <w:b w:val="0"/>
          <w:sz w:val="22"/>
          <w:u w:val="none"/>
        </w:rPr>
        <w:t xml:space="preserve"> but the trial judge found the </w:t>
      </w:r>
      <w:proofErr w:type="spellStart"/>
      <w:r w:rsidRPr="006D5CAE">
        <w:rPr>
          <w:b w:val="0"/>
          <w:sz w:val="22"/>
          <w:u w:val="none"/>
        </w:rPr>
        <w:t>defence</w:t>
      </w:r>
      <w:proofErr w:type="spellEnd"/>
      <w:r w:rsidRPr="006D5CAE">
        <w:rPr>
          <w:b w:val="0"/>
          <w:sz w:val="22"/>
          <w:u w:val="none"/>
        </w:rPr>
        <w:t xml:space="preserve"> unconvincing since elementary precautions would have prevented such a thing happening, and it was reasonably foreseeable because of the location of the site that a person might climb in and drive down the hill. On appeal the Court held that the third-party prank was not foreseeable, hence it was a </w:t>
      </w:r>
      <w:proofErr w:type="spellStart"/>
      <w:r w:rsidRPr="006D5CAE">
        <w:rPr>
          <w:b w:val="0"/>
          <w:i/>
          <w:color w:val="800000"/>
          <w:sz w:val="22"/>
          <w:u w:val="none"/>
        </w:rPr>
        <w:t>novus</w:t>
      </w:r>
      <w:proofErr w:type="spellEnd"/>
      <w:r w:rsidRPr="006D5CAE">
        <w:rPr>
          <w:b w:val="0"/>
          <w:i/>
          <w:color w:val="800000"/>
          <w:sz w:val="22"/>
          <w:u w:val="none"/>
        </w:rPr>
        <w:t xml:space="preserve"> </w:t>
      </w:r>
      <w:proofErr w:type="spellStart"/>
      <w:r w:rsidRPr="006D5CAE">
        <w:rPr>
          <w:b w:val="0"/>
          <w:i/>
          <w:color w:val="800000"/>
          <w:sz w:val="22"/>
          <w:u w:val="none"/>
        </w:rPr>
        <w:t>actus</w:t>
      </w:r>
      <w:proofErr w:type="spellEnd"/>
      <w:r w:rsidRPr="006D5CAE">
        <w:rPr>
          <w:b w:val="0"/>
          <w:i/>
          <w:color w:val="800000"/>
          <w:sz w:val="22"/>
          <w:u w:val="none"/>
        </w:rPr>
        <w:t xml:space="preserve"> </w:t>
      </w:r>
      <w:proofErr w:type="spellStart"/>
      <w:r w:rsidRPr="006D5CAE">
        <w:rPr>
          <w:b w:val="0"/>
          <w:i/>
          <w:color w:val="800000"/>
          <w:sz w:val="22"/>
          <w:u w:val="none"/>
        </w:rPr>
        <w:t>interveniens</w:t>
      </w:r>
      <w:proofErr w:type="spellEnd"/>
      <w:r w:rsidRPr="006D5CAE">
        <w:rPr>
          <w:b w:val="0"/>
          <w:color w:val="800000"/>
          <w:sz w:val="22"/>
          <w:u w:val="none"/>
        </w:rPr>
        <w:t xml:space="preserve"> </w:t>
      </w:r>
      <w:r w:rsidRPr="006D5CAE">
        <w:rPr>
          <w:b w:val="0"/>
          <w:sz w:val="22"/>
          <w:u w:val="none"/>
        </w:rPr>
        <w:t>and that the defendant was not negligent in the first place in not taking steps to prevent it.</w:t>
      </w:r>
    </w:p>
    <w:p w:rsidR="006F1367" w:rsidRPr="006D5CAE" w:rsidRDefault="00650C80" w:rsidP="006D2D18">
      <w:pPr>
        <w:rPr>
          <w:b w:val="0"/>
          <w:sz w:val="22"/>
          <w:u w:val="none"/>
        </w:rPr>
      </w:pPr>
      <w:r w:rsidRPr="006D5CAE">
        <w:rPr>
          <w:b w:val="0"/>
          <w:i/>
          <w:sz w:val="22"/>
          <w:u w:val="none"/>
        </w:rPr>
        <w:t>Skinner v Fu</w:t>
      </w:r>
      <w:r w:rsidRPr="006D5CAE">
        <w:rPr>
          <w:b w:val="0"/>
          <w:sz w:val="22"/>
          <w:u w:val="none"/>
        </w:rPr>
        <w:t xml:space="preserve"> rejects “last clear chance rule”, which spared a plaintiff’s contributory negligence when the defendant’s negligence came after the plaintiff’s. This has been statutorily made irrelevant because of </w:t>
      </w:r>
      <w:r w:rsidRPr="006D5CAE">
        <w:rPr>
          <w:b w:val="0"/>
          <w:i/>
          <w:sz w:val="22"/>
          <w:u w:val="none"/>
        </w:rPr>
        <w:t>Negligence Act</w:t>
      </w:r>
      <w:r w:rsidRPr="006D5CAE">
        <w:rPr>
          <w:b w:val="0"/>
          <w:sz w:val="22"/>
          <w:u w:val="none"/>
        </w:rPr>
        <w:t xml:space="preserve"> and apportionment of fault.</w:t>
      </w:r>
    </w:p>
    <w:p w:rsidR="006F1367" w:rsidRPr="006D5CAE" w:rsidRDefault="006F1367" w:rsidP="004255FC">
      <w:pPr>
        <w:pStyle w:val="Heading1"/>
        <w:rPr>
          <w:rFonts w:ascii="Baskerville" w:hAnsi="Baskerville"/>
          <w:b/>
          <w:color w:val="auto"/>
        </w:rPr>
      </w:pPr>
      <w:bookmarkStart w:id="22" w:name="_Toc258695624"/>
      <w:r w:rsidRPr="006D5CAE">
        <w:rPr>
          <w:rFonts w:ascii="Baskerville" w:hAnsi="Baskerville"/>
          <w:b/>
          <w:color w:val="auto"/>
        </w:rPr>
        <w:t>CHAPTER XIX – DEFENCES TO NEGLIGENCE</w:t>
      </w:r>
      <w:bookmarkEnd w:id="22"/>
    </w:p>
    <w:p w:rsidR="004255FC" w:rsidRPr="006D5CAE" w:rsidRDefault="004255FC" w:rsidP="006D2D18">
      <w:pPr>
        <w:rPr>
          <w:b w:val="0"/>
          <w:sz w:val="22"/>
          <w:u w:val="none"/>
        </w:rPr>
      </w:pPr>
    </w:p>
    <w:p w:rsidR="006F1367" w:rsidRPr="006D5CAE" w:rsidRDefault="00857F07" w:rsidP="004255FC">
      <w:pPr>
        <w:pStyle w:val="Heading2"/>
        <w:rPr>
          <w:rFonts w:ascii="Baskerville Old Face" w:hAnsi="Baskerville Old Face"/>
          <w:b/>
          <w:color w:val="auto"/>
        </w:rPr>
      </w:pPr>
      <w:bookmarkStart w:id="23" w:name="_Toc258695625"/>
      <w:r w:rsidRPr="006D5CAE">
        <w:rPr>
          <w:rFonts w:ascii="Baskerville Old Face" w:hAnsi="Baskerville Old Face"/>
          <w:b/>
          <w:color w:val="auto"/>
        </w:rPr>
        <w:t>19.4:</w:t>
      </w:r>
      <w:r w:rsidR="006F1367" w:rsidRPr="006D5CAE">
        <w:rPr>
          <w:rFonts w:ascii="Baskerville Old Face" w:hAnsi="Baskerville Old Face"/>
          <w:b/>
          <w:color w:val="auto"/>
        </w:rPr>
        <w:t xml:space="preserve"> Participation in Criminal or Immoral Act</w:t>
      </w:r>
      <w:bookmarkEnd w:id="23"/>
      <w:r w:rsidR="006F1367" w:rsidRPr="006D5CAE">
        <w:rPr>
          <w:rFonts w:ascii="Baskerville Old Face" w:hAnsi="Baskerville Old Face"/>
          <w:b/>
          <w:color w:val="auto"/>
        </w:rPr>
        <w:t xml:space="preserve"> </w:t>
      </w:r>
    </w:p>
    <w:p w:rsidR="004255FC" w:rsidRPr="006D5CAE" w:rsidRDefault="004255FC" w:rsidP="006D2D18">
      <w:pPr>
        <w:rPr>
          <w:b w:val="0"/>
          <w:sz w:val="22"/>
        </w:rPr>
      </w:pPr>
    </w:p>
    <w:p w:rsidR="006F1367" w:rsidRPr="006D5CAE" w:rsidRDefault="00BA60F8" w:rsidP="006D2D18">
      <w:pPr>
        <w:rPr>
          <w:b w:val="0"/>
          <w:sz w:val="22"/>
        </w:rPr>
      </w:pPr>
      <w:r w:rsidRPr="006D5CAE">
        <w:rPr>
          <w:b w:val="0"/>
          <w:sz w:val="22"/>
          <w:highlight w:val="yellow"/>
        </w:rPr>
        <w:t>Hall v Hebert (1993</w:t>
      </w:r>
      <w:r w:rsidR="006F1367" w:rsidRPr="006D5CAE">
        <w:rPr>
          <w:b w:val="0"/>
          <w:sz w:val="22"/>
          <w:highlight w:val="yellow"/>
        </w:rPr>
        <w:t xml:space="preserve"> SCC)</w:t>
      </w:r>
    </w:p>
    <w:p w:rsidR="00BA60F8" w:rsidRPr="006D5CAE" w:rsidRDefault="00BA60F8" w:rsidP="006D2D18">
      <w:pPr>
        <w:rPr>
          <w:b w:val="0"/>
          <w:sz w:val="22"/>
          <w:u w:val="none"/>
        </w:rPr>
      </w:pPr>
      <w:r w:rsidRPr="006D5CAE">
        <w:rPr>
          <w:b w:val="0"/>
          <w:sz w:val="22"/>
          <w:u w:val="none"/>
        </w:rPr>
        <w:t>There is a duty of care to not allow someone you know has been drinking to drive your car.</w:t>
      </w:r>
    </w:p>
    <w:p w:rsidR="00857F07" w:rsidRPr="006D5CAE" w:rsidRDefault="00BA60F8" w:rsidP="006D2D18">
      <w:pPr>
        <w:rPr>
          <w:b w:val="0"/>
          <w:sz w:val="22"/>
          <w:u w:val="none"/>
        </w:rPr>
      </w:pPr>
      <w:r w:rsidRPr="006D5CAE">
        <w:rPr>
          <w:b w:val="0"/>
          <w:i/>
          <w:sz w:val="22"/>
          <w:u w:val="none"/>
        </w:rPr>
        <w:t xml:space="preserve">Ex </w:t>
      </w:r>
      <w:proofErr w:type="spellStart"/>
      <w:r w:rsidRPr="006D5CAE">
        <w:rPr>
          <w:b w:val="0"/>
          <w:i/>
          <w:sz w:val="22"/>
          <w:u w:val="none"/>
        </w:rPr>
        <w:t>turpi</w:t>
      </w:r>
      <w:proofErr w:type="spellEnd"/>
      <w:r w:rsidRPr="006D5CAE">
        <w:rPr>
          <w:b w:val="0"/>
          <w:i/>
          <w:sz w:val="22"/>
          <w:u w:val="none"/>
        </w:rPr>
        <w:t xml:space="preserve"> </w:t>
      </w:r>
      <w:proofErr w:type="spellStart"/>
      <w:r w:rsidRPr="006D5CAE">
        <w:rPr>
          <w:b w:val="0"/>
          <w:i/>
          <w:sz w:val="22"/>
          <w:u w:val="none"/>
        </w:rPr>
        <w:t>causa</w:t>
      </w:r>
      <w:proofErr w:type="spellEnd"/>
      <w:r w:rsidRPr="006D5CAE">
        <w:rPr>
          <w:b w:val="0"/>
          <w:sz w:val="22"/>
          <w:u w:val="none"/>
        </w:rPr>
        <w:t xml:space="preserve"> – the common law rule that illegal or immoral action was a bar to claiming in negligence does not apply except in extremely limited circumstances. It only applies when it would be a threat to the integrity of the legal system to allow liability (i.e., profiting or capitalizing from illegal </w:t>
      </w:r>
      <w:proofErr w:type="spellStart"/>
      <w:r w:rsidRPr="006D5CAE">
        <w:rPr>
          <w:b w:val="0"/>
          <w:sz w:val="22"/>
          <w:u w:val="none"/>
        </w:rPr>
        <w:t>behaviour</w:t>
      </w:r>
      <w:proofErr w:type="spellEnd"/>
      <w:r w:rsidRPr="006D5CAE">
        <w:rPr>
          <w:b w:val="0"/>
          <w:sz w:val="22"/>
          <w:u w:val="none"/>
        </w:rPr>
        <w:t xml:space="preserve">). </w:t>
      </w:r>
    </w:p>
    <w:p w:rsidR="00857F07" w:rsidRPr="006D5CAE" w:rsidRDefault="00857F07" w:rsidP="006D2D18">
      <w:pPr>
        <w:rPr>
          <w:b w:val="0"/>
          <w:sz w:val="22"/>
          <w:u w:val="none"/>
        </w:rPr>
      </w:pPr>
      <w:r w:rsidRPr="006D5CAE">
        <w:rPr>
          <w:b w:val="0"/>
          <w:sz w:val="22"/>
          <w:u w:val="none"/>
        </w:rPr>
        <w:t xml:space="preserve">In </w:t>
      </w:r>
      <w:proofErr w:type="spellStart"/>
      <w:r w:rsidRPr="006D5CAE">
        <w:rPr>
          <w:b w:val="0"/>
          <w:i/>
          <w:sz w:val="22"/>
          <w:u w:val="none"/>
        </w:rPr>
        <w:t>Zastowny</w:t>
      </w:r>
      <w:proofErr w:type="spellEnd"/>
      <w:r w:rsidRPr="006D5CAE">
        <w:rPr>
          <w:b w:val="0"/>
          <w:sz w:val="22"/>
          <w:u w:val="none"/>
        </w:rPr>
        <w:t xml:space="preserve"> the </w:t>
      </w:r>
      <w:proofErr w:type="gramStart"/>
      <w:r w:rsidRPr="006D5CAE">
        <w:rPr>
          <w:b w:val="0"/>
          <w:sz w:val="22"/>
          <w:u w:val="none"/>
        </w:rPr>
        <w:t>plaintiff was abused by the defendant as a young teenager</w:t>
      </w:r>
      <w:proofErr w:type="gramEnd"/>
      <w:r w:rsidRPr="006D5CAE">
        <w:rPr>
          <w:b w:val="0"/>
          <w:sz w:val="22"/>
          <w:u w:val="none"/>
        </w:rPr>
        <w:t xml:space="preserve">. Part of the claim was that the plaintiff’s life of crime and </w:t>
      </w:r>
      <w:proofErr w:type="gramStart"/>
      <w:r w:rsidRPr="006D5CAE">
        <w:rPr>
          <w:b w:val="0"/>
          <w:sz w:val="22"/>
          <w:u w:val="none"/>
        </w:rPr>
        <w:t>years of jail time was</w:t>
      </w:r>
      <w:proofErr w:type="gramEnd"/>
      <w:r w:rsidRPr="006D5CAE">
        <w:rPr>
          <w:b w:val="0"/>
          <w:sz w:val="22"/>
          <w:u w:val="none"/>
        </w:rPr>
        <w:t xml:space="preserve"> caused by that abuse, and so the plaintiff wanted compensation. They accepted the defendant’s ex </w:t>
      </w:r>
      <w:proofErr w:type="spellStart"/>
      <w:r w:rsidRPr="006D5CAE">
        <w:rPr>
          <w:b w:val="0"/>
          <w:sz w:val="22"/>
          <w:u w:val="none"/>
        </w:rPr>
        <w:t>turpi</w:t>
      </w:r>
      <w:proofErr w:type="spellEnd"/>
      <w:r w:rsidRPr="006D5CAE">
        <w:rPr>
          <w:b w:val="0"/>
          <w:sz w:val="22"/>
          <w:u w:val="none"/>
        </w:rPr>
        <w:t xml:space="preserve"> </w:t>
      </w:r>
      <w:proofErr w:type="spellStart"/>
      <w:r w:rsidRPr="006D5CAE">
        <w:rPr>
          <w:b w:val="0"/>
          <w:sz w:val="22"/>
          <w:u w:val="none"/>
        </w:rPr>
        <w:t>causa</w:t>
      </w:r>
      <w:proofErr w:type="spellEnd"/>
      <w:r w:rsidRPr="006D5CAE">
        <w:rPr>
          <w:b w:val="0"/>
          <w:sz w:val="22"/>
          <w:u w:val="none"/>
        </w:rPr>
        <w:t xml:space="preserve"> </w:t>
      </w:r>
      <w:proofErr w:type="gramStart"/>
      <w:r w:rsidRPr="006D5CAE">
        <w:rPr>
          <w:b w:val="0"/>
          <w:sz w:val="22"/>
          <w:u w:val="none"/>
        </w:rPr>
        <w:t>defense, that</w:t>
      </w:r>
      <w:proofErr w:type="gramEnd"/>
      <w:r w:rsidRPr="006D5CAE">
        <w:rPr>
          <w:b w:val="0"/>
          <w:sz w:val="22"/>
          <w:u w:val="none"/>
        </w:rPr>
        <w:t xml:space="preserve"> the plaintiff should be barred from action because of his crime, but they accepted that the criminal </w:t>
      </w:r>
      <w:proofErr w:type="spellStart"/>
      <w:r w:rsidRPr="006D5CAE">
        <w:rPr>
          <w:b w:val="0"/>
          <w:sz w:val="22"/>
          <w:u w:val="none"/>
        </w:rPr>
        <w:t>behaviour</w:t>
      </w:r>
      <w:proofErr w:type="spellEnd"/>
      <w:r w:rsidRPr="006D5CAE">
        <w:rPr>
          <w:b w:val="0"/>
          <w:sz w:val="22"/>
          <w:u w:val="none"/>
        </w:rPr>
        <w:t xml:space="preserve"> was caused in but-for sense by the tort.</w:t>
      </w:r>
    </w:p>
    <w:p w:rsidR="00857F07" w:rsidRPr="006D5CAE" w:rsidRDefault="00857F07" w:rsidP="006D2D18">
      <w:pPr>
        <w:rPr>
          <w:b w:val="0"/>
          <w:sz w:val="22"/>
          <w:u w:val="none"/>
        </w:rPr>
      </w:pPr>
      <w:r w:rsidRPr="006D5CAE">
        <w:rPr>
          <w:b w:val="0"/>
          <w:sz w:val="22"/>
          <w:u w:val="none"/>
        </w:rPr>
        <w:t xml:space="preserve">In </w:t>
      </w:r>
      <w:proofErr w:type="spellStart"/>
      <w:r w:rsidRPr="006D5CAE">
        <w:rPr>
          <w:b w:val="0"/>
          <w:i/>
          <w:sz w:val="22"/>
          <w:u w:val="none"/>
        </w:rPr>
        <w:t>Folland</w:t>
      </w:r>
      <w:proofErr w:type="spellEnd"/>
      <w:r w:rsidRPr="006D5CAE">
        <w:rPr>
          <w:b w:val="0"/>
          <w:i/>
          <w:sz w:val="22"/>
          <w:u w:val="none"/>
        </w:rPr>
        <w:t xml:space="preserve"> v Reardon</w:t>
      </w:r>
      <w:r w:rsidRPr="006D5CAE">
        <w:rPr>
          <w:b w:val="0"/>
          <w:sz w:val="22"/>
          <w:u w:val="none"/>
        </w:rPr>
        <w:t xml:space="preserve">, the plaintiff, whose criminal conviction was set aside, was allowed to sue his lawyer for letting </w:t>
      </w:r>
      <w:proofErr w:type="spellStart"/>
      <w:r w:rsidRPr="006D5CAE">
        <w:rPr>
          <w:b w:val="0"/>
          <w:sz w:val="22"/>
          <w:u w:val="none"/>
        </w:rPr>
        <w:t>im</w:t>
      </w:r>
      <w:proofErr w:type="spellEnd"/>
      <w:r w:rsidRPr="006D5CAE">
        <w:rPr>
          <w:b w:val="0"/>
          <w:sz w:val="22"/>
          <w:u w:val="none"/>
        </w:rPr>
        <w:t xml:space="preserve"> get convicted in the first place. </w:t>
      </w:r>
    </w:p>
    <w:p w:rsidR="00857F07" w:rsidRPr="006D5CAE" w:rsidRDefault="00857F07" w:rsidP="00857F07">
      <w:pPr>
        <w:pStyle w:val="Heading1"/>
        <w:rPr>
          <w:rFonts w:ascii="Baskerville" w:hAnsi="Baskerville"/>
          <w:b/>
          <w:color w:val="auto"/>
        </w:rPr>
      </w:pPr>
      <w:bookmarkStart w:id="24" w:name="_Toc258695626"/>
      <w:r w:rsidRPr="006D5CAE">
        <w:rPr>
          <w:rFonts w:ascii="Baskerville" w:hAnsi="Baskerville"/>
          <w:b/>
          <w:color w:val="auto"/>
        </w:rPr>
        <w:t>CHAPTER XX — PROOF OF NEGLIGENCE</w:t>
      </w:r>
      <w:bookmarkEnd w:id="24"/>
    </w:p>
    <w:p w:rsidR="00857F07" w:rsidRPr="006D5CAE" w:rsidRDefault="00857F07" w:rsidP="00857F07">
      <w:pPr>
        <w:pStyle w:val="Heading2"/>
        <w:rPr>
          <w:rFonts w:ascii="Baskerville Old Face" w:hAnsi="Baskerville Old Face"/>
          <w:b/>
          <w:color w:val="auto"/>
        </w:rPr>
      </w:pPr>
      <w:bookmarkStart w:id="25" w:name="_Toc258695627"/>
      <w:r w:rsidRPr="006D5CAE">
        <w:rPr>
          <w:rFonts w:ascii="Baskerville Old Face" w:hAnsi="Baskerville Old Face"/>
          <w:b/>
          <w:color w:val="auto"/>
        </w:rPr>
        <w:t>20.2: Exceptions to the general principles governing burden of proof.</w:t>
      </w:r>
      <w:bookmarkEnd w:id="25"/>
    </w:p>
    <w:p w:rsidR="00857F07" w:rsidRPr="006D5CAE" w:rsidRDefault="00857F07" w:rsidP="006D2D18">
      <w:pPr>
        <w:rPr>
          <w:b w:val="0"/>
          <w:sz w:val="22"/>
          <w:highlight w:val="yellow"/>
        </w:rPr>
      </w:pPr>
    </w:p>
    <w:p w:rsidR="00857F07" w:rsidRPr="006D5CAE" w:rsidRDefault="00857F07" w:rsidP="006D2D18">
      <w:pPr>
        <w:rPr>
          <w:b w:val="0"/>
          <w:sz w:val="22"/>
          <w:u w:val="none"/>
        </w:rPr>
      </w:pPr>
      <w:r w:rsidRPr="006D5CAE">
        <w:rPr>
          <w:b w:val="0"/>
          <w:sz w:val="22"/>
          <w:highlight w:val="yellow"/>
        </w:rPr>
        <w:t>Cook v Lewis (1952 SCC)</w:t>
      </w:r>
    </w:p>
    <w:p w:rsidR="00857F07" w:rsidRPr="006D5CAE" w:rsidRDefault="00857F07" w:rsidP="006D2D18">
      <w:pPr>
        <w:rPr>
          <w:b w:val="0"/>
          <w:sz w:val="22"/>
          <w:u w:val="none"/>
        </w:rPr>
      </w:pPr>
      <w:r w:rsidRPr="006D5CAE">
        <w:rPr>
          <w:b w:val="0"/>
          <w:sz w:val="22"/>
          <w:u w:val="none"/>
        </w:rPr>
        <w:t xml:space="preserve">The burden of proof is on the plaintiff to prove each element of the tort of negligence, although in a case like </w:t>
      </w:r>
      <w:r w:rsidRPr="006D5CAE">
        <w:rPr>
          <w:b w:val="0"/>
          <w:i/>
          <w:sz w:val="22"/>
          <w:u w:val="none"/>
        </w:rPr>
        <w:t>Cook v Lewis</w:t>
      </w:r>
      <w:r w:rsidRPr="006D5CAE">
        <w:rPr>
          <w:b w:val="0"/>
          <w:sz w:val="22"/>
          <w:u w:val="none"/>
        </w:rPr>
        <w:t xml:space="preserve">, where two defendants are simultaneously negligent but only one of them could have caused the injury, the court in effect puts the onus on the defendant to prove it was not their shot that hit the plaintiff. </w:t>
      </w:r>
      <w:r w:rsidRPr="006D5CAE">
        <w:rPr>
          <w:b w:val="0"/>
          <w:i/>
          <w:sz w:val="22"/>
          <w:u w:val="none"/>
        </w:rPr>
        <w:t>Clements</w:t>
      </w:r>
      <w:r w:rsidRPr="006D5CAE">
        <w:rPr>
          <w:b w:val="0"/>
          <w:sz w:val="22"/>
          <w:u w:val="none"/>
        </w:rPr>
        <w:t xml:space="preserve"> reinterpreted this case as one in which a material contribution to the risk was sufficient to establish causation.</w:t>
      </w:r>
    </w:p>
    <w:p w:rsidR="00857F07" w:rsidRPr="006D5CAE" w:rsidRDefault="00857F07" w:rsidP="00857F07">
      <w:pPr>
        <w:pStyle w:val="Heading2"/>
        <w:rPr>
          <w:rFonts w:ascii="Baskerville Old Face" w:hAnsi="Baskerville Old Face"/>
          <w:b/>
          <w:color w:val="auto"/>
        </w:rPr>
      </w:pPr>
      <w:bookmarkStart w:id="26" w:name="_Toc258695628"/>
      <w:r w:rsidRPr="006D5CAE">
        <w:rPr>
          <w:rFonts w:ascii="Baskerville Old Face" w:hAnsi="Baskerville Old Face"/>
          <w:b/>
          <w:color w:val="auto"/>
        </w:rPr>
        <w:t xml:space="preserve">20.3: Res </w:t>
      </w:r>
      <w:proofErr w:type="spellStart"/>
      <w:r w:rsidRPr="006D5CAE">
        <w:rPr>
          <w:rFonts w:ascii="Baskerville Old Face" w:hAnsi="Baskerville Old Face"/>
          <w:b/>
          <w:color w:val="auto"/>
        </w:rPr>
        <w:t>ipsa</w:t>
      </w:r>
      <w:proofErr w:type="spellEnd"/>
      <w:r w:rsidRPr="006D5CAE">
        <w:rPr>
          <w:rFonts w:ascii="Baskerville Old Face" w:hAnsi="Baskerville Old Face"/>
          <w:b/>
          <w:color w:val="auto"/>
        </w:rPr>
        <w:t xml:space="preserve"> </w:t>
      </w:r>
      <w:proofErr w:type="spellStart"/>
      <w:r w:rsidRPr="006D5CAE">
        <w:rPr>
          <w:rFonts w:ascii="Baskerville Old Face" w:hAnsi="Baskerville Old Face"/>
          <w:b/>
          <w:color w:val="auto"/>
        </w:rPr>
        <w:t>loquitur</w:t>
      </w:r>
      <w:bookmarkEnd w:id="26"/>
      <w:proofErr w:type="spellEnd"/>
      <w:r w:rsidRPr="006D5CAE">
        <w:rPr>
          <w:rFonts w:ascii="Baskerville Old Face" w:hAnsi="Baskerville Old Face"/>
          <w:b/>
          <w:color w:val="auto"/>
        </w:rPr>
        <w:t xml:space="preserve"> </w:t>
      </w:r>
    </w:p>
    <w:p w:rsidR="00857F07" w:rsidRPr="006D5CAE" w:rsidRDefault="00857F07" w:rsidP="006D2D18">
      <w:pPr>
        <w:rPr>
          <w:b w:val="0"/>
          <w:sz w:val="22"/>
        </w:rPr>
      </w:pPr>
      <w:r w:rsidRPr="006D5CAE">
        <w:rPr>
          <w:b w:val="0"/>
          <w:sz w:val="22"/>
          <w:highlight w:val="yellow"/>
        </w:rPr>
        <w:br/>
        <w:t>Fontaine v British Columbia (Official Administrator) (1997 SCC)</w:t>
      </w:r>
    </w:p>
    <w:p w:rsidR="00857F07" w:rsidRPr="006D5CAE" w:rsidRDefault="00857F07" w:rsidP="006D2D18">
      <w:pPr>
        <w:rPr>
          <w:b w:val="0"/>
          <w:sz w:val="22"/>
          <w:u w:val="none"/>
        </w:rPr>
      </w:pPr>
      <w:r w:rsidRPr="006D5CAE">
        <w:rPr>
          <w:b w:val="0"/>
          <w:sz w:val="22"/>
          <w:u w:val="none"/>
        </w:rPr>
        <w:t xml:space="preserve">There is no more </w:t>
      </w:r>
      <w:r w:rsidRPr="006D5CAE">
        <w:rPr>
          <w:b w:val="0"/>
          <w:i/>
          <w:sz w:val="22"/>
          <w:u w:val="none"/>
        </w:rPr>
        <w:t xml:space="preserve">res </w:t>
      </w:r>
      <w:proofErr w:type="spellStart"/>
      <w:r w:rsidRPr="006D5CAE">
        <w:rPr>
          <w:b w:val="0"/>
          <w:i/>
          <w:sz w:val="22"/>
          <w:u w:val="none"/>
        </w:rPr>
        <w:t>ipsa</w:t>
      </w:r>
      <w:proofErr w:type="spellEnd"/>
      <w:r w:rsidRPr="006D5CAE">
        <w:rPr>
          <w:b w:val="0"/>
          <w:i/>
          <w:sz w:val="22"/>
          <w:u w:val="none"/>
        </w:rPr>
        <w:t xml:space="preserve"> </w:t>
      </w:r>
      <w:proofErr w:type="spellStart"/>
      <w:r w:rsidRPr="006D5CAE">
        <w:rPr>
          <w:b w:val="0"/>
          <w:i/>
          <w:sz w:val="22"/>
          <w:u w:val="none"/>
        </w:rPr>
        <w:t>loquitur</w:t>
      </w:r>
      <w:proofErr w:type="spellEnd"/>
      <w:r w:rsidRPr="006D5CAE">
        <w:rPr>
          <w:b w:val="0"/>
          <w:sz w:val="22"/>
          <w:u w:val="none"/>
        </w:rPr>
        <w:t xml:space="preserve"> doctrine because it adds nothing to the law. </w:t>
      </w:r>
      <w:proofErr w:type="spellStart"/>
      <w:r w:rsidRPr="006D5CAE">
        <w:rPr>
          <w:b w:val="0"/>
          <w:sz w:val="22"/>
          <w:u w:val="none"/>
        </w:rPr>
        <w:t>Circumstancial</w:t>
      </w:r>
      <w:proofErr w:type="spellEnd"/>
      <w:r w:rsidRPr="006D5CAE">
        <w:rPr>
          <w:b w:val="0"/>
          <w:sz w:val="22"/>
          <w:u w:val="none"/>
        </w:rPr>
        <w:t xml:space="preserve"> evidence may be some evidence for negligence, and how compelling it is depends on the facts. Sometimes negligence is easy to infer, in food adulteration cases, while sometimes it is hard to prove (like in the driving accident case of </w:t>
      </w:r>
      <w:r w:rsidRPr="006D5CAE">
        <w:rPr>
          <w:b w:val="0"/>
          <w:i/>
          <w:sz w:val="22"/>
          <w:u w:val="none"/>
        </w:rPr>
        <w:t>Fontaine</w:t>
      </w:r>
      <w:r w:rsidRPr="006D5CAE">
        <w:rPr>
          <w:b w:val="0"/>
          <w:sz w:val="22"/>
          <w:u w:val="none"/>
        </w:rPr>
        <w:t>).</w:t>
      </w:r>
    </w:p>
    <w:p w:rsidR="001078E7" w:rsidRPr="006D5CAE" w:rsidRDefault="001078E7" w:rsidP="006D2D18">
      <w:pPr>
        <w:rPr>
          <w:b w:val="0"/>
          <w:sz w:val="22"/>
          <w:u w:val="none"/>
        </w:rPr>
      </w:pPr>
      <w:r w:rsidRPr="006D5CAE">
        <w:rPr>
          <w:b w:val="0"/>
          <w:sz w:val="22"/>
          <w:u w:val="none"/>
        </w:rPr>
        <w:t xml:space="preserve">The test seems to be in the absence of direct proof, negligence can be inferred when the plaintiff proves that on the ordinary course of events the loss would not have happened unless there was negligence by the driver. </w:t>
      </w:r>
    </w:p>
    <w:p w:rsidR="00857F07" w:rsidRPr="006D5CAE" w:rsidRDefault="001078E7" w:rsidP="001078E7">
      <w:pPr>
        <w:pStyle w:val="Heading1"/>
        <w:rPr>
          <w:rFonts w:ascii="Baskerville" w:hAnsi="Baskerville"/>
          <w:b/>
          <w:color w:val="auto"/>
        </w:rPr>
      </w:pPr>
      <w:bookmarkStart w:id="27" w:name="_Toc258695629"/>
      <w:r w:rsidRPr="006D5CAE">
        <w:rPr>
          <w:rFonts w:ascii="Baskerville" w:hAnsi="Baskerville"/>
          <w:b/>
          <w:color w:val="auto"/>
        </w:rPr>
        <w:t>CHAPTER XXI – THE TORT LIABILITY OF PUBLIC AUTHORITIES</w:t>
      </w:r>
      <w:bookmarkEnd w:id="27"/>
    </w:p>
    <w:p w:rsidR="001078E7" w:rsidRPr="006D5CAE" w:rsidRDefault="001078E7" w:rsidP="001078E7">
      <w:pPr>
        <w:pStyle w:val="Heading2"/>
        <w:rPr>
          <w:rFonts w:ascii="Baskerville Old Face" w:hAnsi="Baskerville Old Face"/>
          <w:b/>
          <w:color w:val="auto"/>
        </w:rPr>
      </w:pPr>
      <w:bookmarkStart w:id="28" w:name="_Toc258695630"/>
      <w:r w:rsidRPr="006D5CAE">
        <w:rPr>
          <w:rFonts w:ascii="Baskerville Old Face" w:hAnsi="Baskerville Old Face"/>
          <w:b/>
          <w:color w:val="auto"/>
        </w:rPr>
        <w:t>21.3: The negligence liability of public authorities</w:t>
      </w:r>
      <w:bookmarkEnd w:id="28"/>
    </w:p>
    <w:p w:rsidR="001078E7" w:rsidRPr="006D5CAE" w:rsidRDefault="001078E7" w:rsidP="006D2D18">
      <w:pPr>
        <w:rPr>
          <w:b w:val="0"/>
          <w:sz w:val="22"/>
          <w:highlight w:val="yellow"/>
        </w:rPr>
      </w:pPr>
      <w:r w:rsidRPr="006D5CAE">
        <w:rPr>
          <w:b w:val="0"/>
          <w:sz w:val="22"/>
          <w:highlight w:val="yellow"/>
        </w:rPr>
        <w:br/>
      </w:r>
    </w:p>
    <w:p w:rsidR="001078E7" w:rsidRPr="006D5CAE" w:rsidRDefault="001078E7" w:rsidP="006D2D18">
      <w:pPr>
        <w:rPr>
          <w:b w:val="0"/>
          <w:sz w:val="22"/>
        </w:rPr>
      </w:pPr>
      <w:r w:rsidRPr="006D5CAE">
        <w:rPr>
          <w:b w:val="0"/>
          <w:sz w:val="22"/>
          <w:highlight w:val="yellow"/>
        </w:rPr>
        <w:t>Just v British Columbia</w:t>
      </w:r>
      <w:r w:rsidR="00AC6BD4" w:rsidRPr="006D5CAE">
        <w:rPr>
          <w:b w:val="0"/>
          <w:sz w:val="22"/>
          <w:highlight w:val="yellow"/>
        </w:rPr>
        <w:t xml:space="preserve"> (1989 SCC)</w:t>
      </w:r>
    </w:p>
    <w:p w:rsidR="001078E7" w:rsidRPr="006D5CAE" w:rsidRDefault="001078E7" w:rsidP="006D2D18">
      <w:pPr>
        <w:rPr>
          <w:b w:val="0"/>
          <w:sz w:val="22"/>
          <w:u w:val="none"/>
        </w:rPr>
      </w:pPr>
      <w:r w:rsidRPr="006D5CAE">
        <w:rPr>
          <w:b w:val="0"/>
          <w:sz w:val="22"/>
          <w:u w:val="none"/>
        </w:rPr>
        <w:t>This was the boulder falling and crashing on the car killing the plaintiff’s daughter case.</w:t>
      </w:r>
    </w:p>
    <w:p w:rsidR="001078E7" w:rsidRPr="006D5CAE" w:rsidRDefault="001078E7" w:rsidP="006D2D18">
      <w:pPr>
        <w:rPr>
          <w:b w:val="0"/>
          <w:sz w:val="22"/>
          <w:u w:val="none"/>
        </w:rPr>
      </w:pPr>
      <w:r w:rsidRPr="006D5CAE">
        <w:rPr>
          <w:b w:val="0"/>
          <w:sz w:val="22"/>
          <w:u w:val="none"/>
        </w:rPr>
        <w:t>The province owes a duty of care, which ordinarily extends to reasonable maintenance, to those using its highways. The Department of Highways could readily foresee the risk that harm might befall the users of a highway if it were not reasonably maintained. Therefore, the duty to reasonable maintenance extends to the duty of prevention of injury from falling rock.</w:t>
      </w:r>
    </w:p>
    <w:p w:rsidR="007B7858" w:rsidRPr="006D5CAE" w:rsidRDefault="001078E7" w:rsidP="006D2D18">
      <w:pPr>
        <w:rPr>
          <w:b w:val="0"/>
          <w:sz w:val="22"/>
          <w:u w:val="none"/>
        </w:rPr>
      </w:pPr>
      <w:r w:rsidRPr="006D5CAE">
        <w:rPr>
          <w:b w:val="0"/>
          <w:sz w:val="22"/>
          <w:u w:val="none"/>
        </w:rPr>
        <w:t xml:space="preserve">Government agencies may be exempt from the application of the traditional tort law duty of care if an explicit statutory exemption exists or if the decision arose as a </w:t>
      </w:r>
      <w:r w:rsidRPr="006D5CAE">
        <w:rPr>
          <w:color w:val="800000"/>
          <w:sz w:val="22"/>
          <w:u w:val="none"/>
        </w:rPr>
        <w:t>result of a policy decision</w:t>
      </w:r>
      <w:r w:rsidRPr="006D5CAE">
        <w:rPr>
          <w:b w:val="0"/>
          <w:sz w:val="22"/>
          <w:u w:val="none"/>
        </w:rPr>
        <w:t xml:space="preserve"> or as an </w:t>
      </w:r>
      <w:r w:rsidRPr="006D5CAE">
        <w:rPr>
          <w:color w:val="800000"/>
          <w:sz w:val="22"/>
          <w:u w:val="none"/>
        </w:rPr>
        <w:t>operational decisions</w:t>
      </w:r>
      <w:r w:rsidRPr="006D5CAE">
        <w:rPr>
          <w:b w:val="0"/>
          <w:sz w:val="22"/>
          <w:u w:val="none"/>
        </w:rPr>
        <w:t xml:space="preserve"> that rests on the </w:t>
      </w:r>
      <w:r w:rsidRPr="006D5CAE">
        <w:rPr>
          <w:color w:val="800000"/>
          <w:sz w:val="22"/>
          <w:u w:val="none"/>
        </w:rPr>
        <w:t>nature of the decision</w:t>
      </w:r>
      <w:r w:rsidRPr="006D5CAE">
        <w:rPr>
          <w:b w:val="0"/>
          <w:sz w:val="22"/>
          <w:u w:val="none"/>
        </w:rPr>
        <w:t xml:space="preserve"> and not the identity of the actors.</w:t>
      </w:r>
    </w:p>
    <w:p w:rsidR="00AC6BD4" w:rsidRPr="006D5CAE" w:rsidRDefault="007B7858" w:rsidP="006D2D18">
      <w:pPr>
        <w:rPr>
          <w:b w:val="0"/>
          <w:sz w:val="22"/>
          <w:u w:val="none"/>
        </w:rPr>
      </w:pPr>
      <w:r w:rsidRPr="006D5CAE">
        <w:rPr>
          <w:b w:val="0"/>
          <w:sz w:val="22"/>
          <w:u w:val="none"/>
        </w:rPr>
        <w:t xml:space="preserve">This case drew the policy/operation distinction pretty high up, declaring that the decision to inspect at all was policy and how often they inspect to be the operational </w:t>
      </w:r>
      <w:proofErr w:type="gramStart"/>
      <w:r w:rsidRPr="006D5CAE">
        <w:rPr>
          <w:b w:val="0"/>
          <w:sz w:val="22"/>
          <w:u w:val="none"/>
        </w:rPr>
        <w:t>decision which</w:t>
      </w:r>
      <w:proofErr w:type="gramEnd"/>
      <w:r w:rsidRPr="006D5CAE">
        <w:rPr>
          <w:b w:val="0"/>
          <w:sz w:val="22"/>
          <w:u w:val="none"/>
        </w:rPr>
        <w:t xml:space="preserve"> demanded reasonableness. In </w:t>
      </w:r>
      <w:proofErr w:type="spellStart"/>
      <w:r w:rsidRPr="006D5CAE">
        <w:rPr>
          <w:b w:val="0"/>
          <w:i/>
          <w:sz w:val="22"/>
          <w:u w:val="none"/>
        </w:rPr>
        <w:t>Swinamer</w:t>
      </w:r>
      <w:proofErr w:type="spellEnd"/>
      <w:r w:rsidRPr="006D5CAE">
        <w:rPr>
          <w:b w:val="0"/>
          <w:i/>
          <w:sz w:val="22"/>
          <w:u w:val="none"/>
        </w:rPr>
        <w:t xml:space="preserve"> </w:t>
      </w:r>
      <w:r w:rsidRPr="006D5CAE">
        <w:rPr>
          <w:b w:val="0"/>
          <w:sz w:val="22"/>
          <w:u w:val="none"/>
        </w:rPr>
        <w:t>by contrast, the court found the decision of how often and how rigorously to inspect a policy decision and therefore protected. The idea is that the scale and overall design of a system is a policy whereas its execution is operational, but there’s no bright line between the two.</w:t>
      </w:r>
    </w:p>
    <w:p w:rsidR="00AC6BD4" w:rsidRPr="006D5CAE" w:rsidRDefault="00AC6BD4" w:rsidP="00AC6BD4">
      <w:pPr>
        <w:pStyle w:val="Heading2"/>
        <w:rPr>
          <w:rFonts w:ascii="Baskerville Old Face" w:hAnsi="Baskerville Old Face"/>
          <w:b/>
          <w:color w:val="auto"/>
        </w:rPr>
      </w:pPr>
      <w:bookmarkStart w:id="29" w:name="_Toc258695631"/>
      <w:r w:rsidRPr="006D5CAE">
        <w:rPr>
          <w:rFonts w:ascii="Baskerville Old Face" w:hAnsi="Baskerville Old Face"/>
          <w:b/>
          <w:color w:val="auto"/>
        </w:rPr>
        <w:t>21.4: Misfeasance in Public Office</w:t>
      </w:r>
      <w:bookmarkEnd w:id="29"/>
    </w:p>
    <w:p w:rsidR="00AC6BD4" w:rsidRPr="006D5CAE" w:rsidRDefault="00AC6BD4" w:rsidP="00AC6BD4">
      <w:pPr>
        <w:rPr>
          <w:b w:val="0"/>
          <w:sz w:val="22"/>
        </w:rPr>
      </w:pPr>
      <w:r w:rsidRPr="006D5CAE">
        <w:rPr>
          <w:b w:val="0"/>
          <w:sz w:val="22"/>
        </w:rPr>
        <w:br/>
      </w:r>
      <w:proofErr w:type="spellStart"/>
      <w:r w:rsidRPr="006D5CAE">
        <w:rPr>
          <w:b w:val="0"/>
          <w:sz w:val="22"/>
          <w:highlight w:val="yellow"/>
        </w:rPr>
        <w:t>Odhavji</w:t>
      </w:r>
      <w:proofErr w:type="spellEnd"/>
      <w:r w:rsidRPr="006D5CAE">
        <w:rPr>
          <w:b w:val="0"/>
          <w:sz w:val="22"/>
          <w:highlight w:val="yellow"/>
        </w:rPr>
        <w:t xml:space="preserve"> Estate v Woodhouse (2003 SCC)</w:t>
      </w:r>
    </w:p>
    <w:p w:rsidR="00AC6BD4" w:rsidRPr="006D5CAE" w:rsidRDefault="00AC6BD4" w:rsidP="00AC6BD4">
      <w:pPr>
        <w:rPr>
          <w:b w:val="0"/>
          <w:sz w:val="22"/>
          <w:u w:val="none"/>
        </w:rPr>
      </w:pPr>
      <w:r w:rsidRPr="006D5CAE">
        <w:rPr>
          <w:b w:val="0"/>
          <w:sz w:val="22"/>
          <w:u w:val="none"/>
        </w:rPr>
        <w:t>The tort of misfeasance comes in two categories:</w:t>
      </w:r>
    </w:p>
    <w:p w:rsidR="00AC6BD4" w:rsidRPr="006D5CAE" w:rsidRDefault="00AC6BD4" w:rsidP="00AC6BD4">
      <w:pPr>
        <w:pStyle w:val="ListParagraph"/>
        <w:numPr>
          <w:ilvl w:val="0"/>
          <w:numId w:val="21"/>
        </w:numPr>
        <w:rPr>
          <w:b w:val="0"/>
          <w:sz w:val="22"/>
          <w:u w:val="none"/>
        </w:rPr>
      </w:pPr>
      <w:r w:rsidRPr="006D5CAE">
        <w:rPr>
          <w:b w:val="0"/>
          <w:sz w:val="22"/>
          <w:u w:val="none"/>
        </w:rPr>
        <w:t>Involves conduct that is specifically intended to injure a person or class of persons</w:t>
      </w:r>
    </w:p>
    <w:p w:rsidR="00AC6BD4" w:rsidRPr="006D5CAE" w:rsidRDefault="00AC6BD4" w:rsidP="00AC6BD4">
      <w:pPr>
        <w:pStyle w:val="ListParagraph"/>
        <w:numPr>
          <w:ilvl w:val="0"/>
          <w:numId w:val="21"/>
        </w:numPr>
        <w:rPr>
          <w:b w:val="0"/>
          <w:sz w:val="22"/>
          <w:u w:val="none"/>
        </w:rPr>
      </w:pPr>
      <w:r w:rsidRPr="006D5CAE">
        <w:rPr>
          <w:b w:val="0"/>
          <w:sz w:val="22"/>
          <w:u w:val="none"/>
        </w:rPr>
        <w:t>Involves a public officer who acts with knowledge both that she or he has no power to do the act complained of and that the act is likely to injure the plaintiff.</w:t>
      </w:r>
    </w:p>
    <w:p w:rsidR="00AC6BD4" w:rsidRPr="006D5CAE" w:rsidRDefault="00AC6BD4" w:rsidP="00AC6BD4">
      <w:pPr>
        <w:rPr>
          <w:b w:val="0"/>
          <w:sz w:val="22"/>
          <w:u w:val="none"/>
        </w:rPr>
      </w:pPr>
      <w:r w:rsidRPr="006D5CAE">
        <w:rPr>
          <w:b w:val="0"/>
          <w:sz w:val="22"/>
          <w:u w:val="none"/>
        </w:rPr>
        <w:t>The same two elements are required for both categories:</w:t>
      </w:r>
    </w:p>
    <w:p w:rsidR="00AC6BD4" w:rsidRPr="006D5CAE" w:rsidRDefault="00AC6BD4" w:rsidP="00AC6BD4">
      <w:pPr>
        <w:pStyle w:val="ListParagraph"/>
        <w:numPr>
          <w:ilvl w:val="0"/>
          <w:numId w:val="22"/>
        </w:numPr>
        <w:rPr>
          <w:b w:val="0"/>
          <w:sz w:val="22"/>
          <w:u w:val="none"/>
        </w:rPr>
      </w:pPr>
      <w:proofErr w:type="gramStart"/>
      <w:r w:rsidRPr="006D5CAE">
        <w:rPr>
          <w:color w:val="800000"/>
          <w:sz w:val="22"/>
          <w:u w:val="none"/>
        </w:rPr>
        <w:t>deliberate</w:t>
      </w:r>
      <w:proofErr w:type="gramEnd"/>
      <w:r w:rsidRPr="006D5CAE">
        <w:rPr>
          <w:color w:val="800000"/>
          <w:sz w:val="22"/>
          <w:u w:val="none"/>
        </w:rPr>
        <w:t xml:space="preserve"> and unlawful</w:t>
      </w:r>
      <w:r w:rsidRPr="006D5CAE">
        <w:rPr>
          <w:b w:val="0"/>
          <w:sz w:val="22"/>
          <w:u w:val="none"/>
        </w:rPr>
        <w:t xml:space="preserve"> conduct in his or her capacity as public officer</w:t>
      </w:r>
    </w:p>
    <w:p w:rsidR="00AC6BD4" w:rsidRPr="006D5CAE" w:rsidRDefault="00AC6BD4" w:rsidP="00AC6BD4">
      <w:pPr>
        <w:pStyle w:val="ListParagraph"/>
        <w:numPr>
          <w:ilvl w:val="0"/>
          <w:numId w:val="22"/>
        </w:numPr>
        <w:rPr>
          <w:b w:val="0"/>
          <w:sz w:val="22"/>
          <w:u w:val="none"/>
        </w:rPr>
      </w:pPr>
      <w:proofErr w:type="gramStart"/>
      <w:r w:rsidRPr="006D5CAE">
        <w:rPr>
          <w:b w:val="0"/>
          <w:sz w:val="22"/>
          <w:u w:val="none"/>
        </w:rPr>
        <w:t>the</w:t>
      </w:r>
      <w:proofErr w:type="gramEnd"/>
      <w:r w:rsidRPr="006D5CAE">
        <w:rPr>
          <w:b w:val="0"/>
          <w:sz w:val="22"/>
          <w:u w:val="none"/>
        </w:rPr>
        <w:t xml:space="preserve"> officer must have been aware both that his or her conduct was unlawful and that it was likely to harm the plaintiff</w:t>
      </w:r>
    </w:p>
    <w:p w:rsidR="00AC6BD4" w:rsidRPr="006D5CAE" w:rsidRDefault="00AC6BD4" w:rsidP="00AC6BD4">
      <w:pPr>
        <w:rPr>
          <w:b w:val="0"/>
          <w:sz w:val="22"/>
          <w:u w:val="none"/>
        </w:rPr>
      </w:pPr>
      <w:r w:rsidRPr="006D5CAE">
        <w:rPr>
          <w:b w:val="0"/>
          <w:sz w:val="22"/>
          <w:u w:val="none"/>
        </w:rPr>
        <w:t xml:space="preserve">Category B, the plaintiff must prove two elements independently from each other. In A the fact that the officer has acted for the express purpose of harming the plaintiff is enough to </w:t>
      </w:r>
      <w:proofErr w:type="spellStart"/>
      <w:r w:rsidRPr="006D5CAE">
        <w:rPr>
          <w:b w:val="0"/>
          <w:sz w:val="22"/>
          <w:u w:val="none"/>
        </w:rPr>
        <w:t>statisfy</w:t>
      </w:r>
      <w:proofErr w:type="spellEnd"/>
      <w:r w:rsidRPr="006D5CAE">
        <w:rPr>
          <w:b w:val="0"/>
          <w:sz w:val="22"/>
          <w:u w:val="none"/>
        </w:rPr>
        <w:t xml:space="preserve"> both elements.</w:t>
      </w:r>
    </w:p>
    <w:p w:rsidR="00AC6BD4" w:rsidRPr="006D5CAE" w:rsidRDefault="00AC6BD4" w:rsidP="00AC6BD4">
      <w:pPr>
        <w:rPr>
          <w:b w:val="0"/>
          <w:sz w:val="22"/>
          <w:u w:val="none"/>
        </w:rPr>
      </w:pPr>
      <w:r w:rsidRPr="006D5CAE">
        <w:rPr>
          <w:b w:val="0"/>
          <w:sz w:val="22"/>
          <w:u w:val="none"/>
        </w:rPr>
        <w:t>There is a requirement of “bad faith” or “dishonesty”</w:t>
      </w:r>
    </w:p>
    <w:p w:rsidR="004B4C3E" w:rsidRPr="006D5CAE" w:rsidRDefault="00AC6BD4" w:rsidP="00AC6BD4">
      <w:pPr>
        <w:rPr>
          <w:b w:val="0"/>
          <w:sz w:val="22"/>
          <w:u w:val="none"/>
        </w:rPr>
      </w:pPr>
      <w:r w:rsidRPr="006D5CAE">
        <w:rPr>
          <w:b w:val="0"/>
          <w:sz w:val="22"/>
          <w:u w:val="none"/>
        </w:rPr>
        <w:t>Proximity is met when there is knowledge that misconduct will likely harm the plaintiff or class of plaintiff.</w:t>
      </w:r>
    </w:p>
    <w:p w:rsidR="00AC6BD4" w:rsidRPr="006D5CAE" w:rsidRDefault="004B4C3E" w:rsidP="00AC6BD4">
      <w:pPr>
        <w:rPr>
          <w:b w:val="0"/>
          <w:sz w:val="22"/>
          <w:u w:val="none"/>
        </w:rPr>
      </w:pPr>
      <w:r w:rsidRPr="006D5CAE">
        <w:rPr>
          <w:b w:val="0"/>
          <w:sz w:val="22"/>
          <w:u w:val="none"/>
        </w:rPr>
        <w:t xml:space="preserve">Misfeasance in public office requires special damage, at least in the sense of actual harm (including psychiatric or emotional harm). </w:t>
      </w:r>
    </w:p>
    <w:p w:rsidR="004B4C3E" w:rsidRPr="006D5CAE" w:rsidRDefault="004B4C3E" w:rsidP="004B4C3E">
      <w:pPr>
        <w:pStyle w:val="Heading1"/>
        <w:rPr>
          <w:rFonts w:ascii="Baskerville" w:hAnsi="Baskerville"/>
          <w:b/>
          <w:color w:val="auto"/>
        </w:rPr>
      </w:pPr>
      <w:bookmarkStart w:id="30" w:name="_Toc258695632"/>
      <w:r w:rsidRPr="006D5CAE">
        <w:rPr>
          <w:rFonts w:ascii="Baskerville" w:hAnsi="Baskerville"/>
          <w:b/>
          <w:color w:val="auto"/>
        </w:rPr>
        <w:t>CHAPTER XXII — STATUTORY PROVISIONS AND TORT LIABILITY</w:t>
      </w:r>
      <w:bookmarkEnd w:id="30"/>
    </w:p>
    <w:p w:rsidR="004B4C3E" w:rsidRPr="006D5CAE" w:rsidRDefault="004B4C3E" w:rsidP="00AC6BD4">
      <w:pPr>
        <w:rPr>
          <w:b w:val="0"/>
          <w:sz w:val="22"/>
          <w:highlight w:val="yellow"/>
        </w:rPr>
      </w:pPr>
    </w:p>
    <w:p w:rsidR="004B4C3E" w:rsidRPr="006D5CAE" w:rsidRDefault="004B4C3E" w:rsidP="00AC6BD4">
      <w:pPr>
        <w:rPr>
          <w:b w:val="0"/>
          <w:sz w:val="22"/>
        </w:rPr>
      </w:pPr>
      <w:r w:rsidRPr="006D5CAE">
        <w:rPr>
          <w:b w:val="0"/>
          <w:sz w:val="22"/>
          <w:highlight w:val="yellow"/>
        </w:rPr>
        <w:t>R v Saskatchewan Wheat Pool (1983 SCC)</w:t>
      </w:r>
    </w:p>
    <w:p w:rsidR="004B4C3E" w:rsidRPr="006D5CAE" w:rsidRDefault="004B4C3E" w:rsidP="00AC6BD4">
      <w:pPr>
        <w:rPr>
          <w:b w:val="0"/>
          <w:sz w:val="22"/>
          <w:u w:val="none"/>
        </w:rPr>
      </w:pPr>
      <w:r w:rsidRPr="006D5CAE">
        <w:rPr>
          <w:b w:val="0"/>
          <w:sz w:val="22"/>
          <w:u w:val="none"/>
        </w:rPr>
        <w:t>If the defendant broke a statutory obligation, it can be evidence of negligence but has no other civil liability consequence (unless, of course, the statute creates a civil cause of action)</w:t>
      </w:r>
    </w:p>
    <w:p w:rsidR="004B4C3E" w:rsidRPr="006D5CAE" w:rsidRDefault="004B4C3E" w:rsidP="00AC6BD4">
      <w:pPr>
        <w:rPr>
          <w:b w:val="0"/>
          <w:sz w:val="22"/>
          <w:u w:val="none"/>
        </w:rPr>
      </w:pPr>
      <w:r w:rsidRPr="006D5CAE">
        <w:rPr>
          <w:b w:val="0"/>
          <w:sz w:val="22"/>
          <w:u w:val="none"/>
        </w:rPr>
        <w:t>Conversely, complying with statutory regulation does not necessarily absolve a defendant of liability from negligence (</w:t>
      </w:r>
      <w:r w:rsidRPr="006D5CAE">
        <w:rPr>
          <w:b w:val="0"/>
          <w:i/>
          <w:sz w:val="22"/>
          <w:u w:val="none"/>
        </w:rPr>
        <w:t>Ryan v Victoria</w:t>
      </w:r>
      <w:r w:rsidRPr="006D5CAE">
        <w:rPr>
          <w:b w:val="0"/>
          <w:sz w:val="22"/>
          <w:u w:val="none"/>
        </w:rPr>
        <w:t xml:space="preserve"> – </w:t>
      </w:r>
      <w:proofErr w:type="spellStart"/>
      <w:r w:rsidRPr="006D5CAE">
        <w:rPr>
          <w:b w:val="0"/>
          <w:sz w:val="22"/>
          <w:u w:val="none"/>
        </w:rPr>
        <w:t>flangeway</w:t>
      </w:r>
      <w:proofErr w:type="spellEnd"/>
      <w:r w:rsidRPr="006D5CAE">
        <w:rPr>
          <w:b w:val="0"/>
          <w:sz w:val="22"/>
          <w:u w:val="none"/>
        </w:rPr>
        <w:t xml:space="preserve"> case), plaintiff still has to prove that the standard of care demanded of the defendant’s duty goes above the regulations imposed by statute.</w:t>
      </w:r>
    </w:p>
    <w:p w:rsidR="00BA146C" w:rsidRPr="006D5CAE" w:rsidRDefault="00BA146C" w:rsidP="000A6B33">
      <w:pPr>
        <w:pStyle w:val="Heading1"/>
        <w:rPr>
          <w:rFonts w:ascii="Baskerville" w:hAnsi="Baskerville"/>
          <w:b/>
          <w:color w:val="auto"/>
        </w:rPr>
      </w:pPr>
      <w:bookmarkStart w:id="31" w:name="_Toc258695633"/>
      <w:r w:rsidRPr="006D5CAE">
        <w:rPr>
          <w:rFonts w:ascii="Baskerville" w:hAnsi="Baskerville"/>
          <w:b/>
          <w:color w:val="auto"/>
        </w:rPr>
        <w:t>CHAPTER XXIV — NUISANCE</w:t>
      </w:r>
      <w:bookmarkEnd w:id="31"/>
    </w:p>
    <w:p w:rsidR="000A6B33" w:rsidRPr="006D5CAE" w:rsidRDefault="000A6B33" w:rsidP="000A6B33">
      <w:pPr>
        <w:pStyle w:val="Heading2"/>
        <w:rPr>
          <w:rFonts w:ascii="Baskerville Old Face" w:hAnsi="Baskerville Old Face"/>
          <w:b/>
          <w:color w:val="auto"/>
        </w:rPr>
      </w:pPr>
      <w:bookmarkStart w:id="32" w:name="_Toc258695634"/>
      <w:r w:rsidRPr="006D5CAE">
        <w:rPr>
          <w:rFonts w:ascii="Baskerville Old Face" w:hAnsi="Baskerville Old Face"/>
          <w:b/>
          <w:color w:val="auto"/>
        </w:rPr>
        <w:t>24.2: Private Nuisance</w:t>
      </w:r>
      <w:bookmarkEnd w:id="32"/>
    </w:p>
    <w:p w:rsidR="000A6B33" w:rsidRPr="006D5CAE" w:rsidRDefault="000A6B33" w:rsidP="00AC6BD4">
      <w:pPr>
        <w:rPr>
          <w:b w:val="0"/>
          <w:sz w:val="22"/>
          <w:u w:val="none"/>
        </w:rPr>
      </w:pPr>
    </w:p>
    <w:p w:rsidR="000A6B33" w:rsidRPr="006D5CAE" w:rsidRDefault="000A6B33" w:rsidP="00AC6BD4">
      <w:pPr>
        <w:rPr>
          <w:b w:val="0"/>
          <w:sz w:val="22"/>
        </w:rPr>
      </w:pPr>
      <w:r w:rsidRPr="006D5CAE">
        <w:rPr>
          <w:b w:val="0"/>
          <w:sz w:val="22"/>
          <w:highlight w:val="yellow"/>
        </w:rPr>
        <w:t xml:space="preserve">430909 Ontario Ltd v Huron Steel Products (Windsor) Ltd. (1990 </w:t>
      </w:r>
      <w:proofErr w:type="spellStart"/>
      <w:r w:rsidRPr="006D5CAE">
        <w:rPr>
          <w:b w:val="0"/>
          <w:sz w:val="22"/>
          <w:highlight w:val="yellow"/>
        </w:rPr>
        <w:t>Ont</w:t>
      </w:r>
      <w:proofErr w:type="spellEnd"/>
      <w:r w:rsidRPr="006D5CAE">
        <w:rPr>
          <w:b w:val="0"/>
          <w:sz w:val="22"/>
          <w:highlight w:val="yellow"/>
        </w:rPr>
        <w:t xml:space="preserve"> HC)</w:t>
      </w:r>
    </w:p>
    <w:p w:rsidR="00E55AE2" w:rsidRPr="006D5CAE" w:rsidRDefault="00E55AE2" w:rsidP="00AC6BD4">
      <w:pPr>
        <w:rPr>
          <w:b w:val="0"/>
          <w:sz w:val="22"/>
          <w:u w:val="none"/>
        </w:rPr>
      </w:pPr>
      <w:r w:rsidRPr="006D5CAE">
        <w:rPr>
          <w:b w:val="0"/>
          <w:sz w:val="22"/>
          <w:u w:val="none"/>
        </w:rPr>
        <w:t>Nuisance is proved when the plaintiff proves that there was:</w:t>
      </w:r>
    </w:p>
    <w:p w:rsidR="00E55AE2" w:rsidRPr="006D5CAE" w:rsidRDefault="00E55AE2" w:rsidP="00E55AE2">
      <w:pPr>
        <w:pStyle w:val="ListParagraph"/>
        <w:numPr>
          <w:ilvl w:val="0"/>
          <w:numId w:val="23"/>
        </w:numPr>
        <w:rPr>
          <w:b w:val="0"/>
          <w:sz w:val="22"/>
          <w:u w:val="none"/>
        </w:rPr>
      </w:pPr>
      <w:proofErr w:type="gramStart"/>
      <w:r w:rsidRPr="006D5CAE">
        <w:rPr>
          <w:b w:val="0"/>
          <w:sz w:val="22"/>
          <w:u w:val="none"/>
        </w:rPr>
        <w:t>unreasonable</w:t>
      </w:r>
      <w:proofErr w:type="gramEnd"/>
      <w:r w:rsidRPr="006D5CAE">
        <w:rPr>
          <w:b w:val="0"/>
          <w:sz w:val="22"/>
          <w:u w:val="none"/>
        </w:rPr>
        <w:t xml:space="preserve"> interference with their use and enjoyment of their land</w:t>
      </w:r>
    </w:p>
    <w:p w:rsidR="00E55AE2" w:rsidRPr="006D5CAE" w:rsidRDefault="00E55AE2" w:rsidP="00E55AE2">
      <w:pPr>
        <w:pStyle w:val="ListParagraph"/>
        <w:numPr>
          <w:ilvl w:val="0"/>
          <w:numId w:val="23"/>
        </w:numPr>
        <w:rPr>
          <w:b w:val="0"/>
          <w:sz w:val="22"/>
          <w:u w:val="none"/>
        </w:rPr>
      </w:pPr>
      <w:proofErr w:type="gramStart"/>
      <w:r w:rsidRPr="006D5CAE">
        <w:rPr>
          <w:b w:val="0"/>
          <w:sz w:val="22"/>
          <w:u w:val="none"/>
        </w:rPr>
        <w:t>caused</w:t>
      </w:r>
      <w:proofErr w:type="gramEnd"/>
      <w:r w:rsidRPr="006D5CAE">
        <w:rPr>
          <w:b w:val="0"/>
          <w:sz w:val="22"/>
          <w:u w:val="none"/>
        </w:rPr>
        <w:t xml:space="preserve"> by the use or enjoyment of the defendant’s land</w:t>
      </w:r>
    </w:p>
    <w:p w:rsidR="00365A4F" w:rsidRPr="006D5CAE" w:rsidRDefault="00365A4F" w:rsidP="00AC6BD4">
      <w:pPr>
        <w:rPr>
          <w:b w:val="0"/>
          <w:sz w:val="22"/>
          <w:u w:val="none"/>
        </w:rPr>
      </w:pPr>
      <w:r w:rsidRPr="006D5CAE">
        <w:rPr>
          <w:b w:val="0"/>
          <w:sz w:val="22"/>
          <w:u w:val="none"/>
        </w:rPr>
        <w:t xml:space="preserve">Liability in nuisance (private) depends on proof of unreasonableness. The </w:t>
      </w:r>
      <w:proofErr w:type="gramStart"/>
      <w:r w:rsidRPr="006D5CAE">
        <w:rPr>
          <w:b w:val="0"/>
          <w:sz w:val="22"/>
          <w:u w:val="none"/>
        </w:rPr>
        <w:t>court has to way different interests</w:t>
      </w:r>
      <w:r w:rsidR="00E55AE2" w:rsidRPr="006D5CAE">
        <w:rPr>
          <w:b w:val="0"/>
          <w:sz w:val="22"/>
          <w:u w:val="none"/>
        </w:rPr>
        <w:t xml:space="preserve"> and consider</w:t>
      </w:r>
      <w:proofErr w:type="gramEnd"/>
      <w:r w:rsidR="00E55AE2" w:rsidRPr="006D5CAE">
        <w:rPr>
          <w:b w:val="0"/>
          <w:sz w:val="22"/>
          <w:u w:val="none"/>
        </w:rPr>
        <w:t xml:space="preserve"> not only the defendant’s perspective, but also the plaintiffs and the interests of the surrounding occupiers</w:t>
      </w:r>
      <w:r w:rsidRPr="006D5CAE">
        <w:rPr>
          <w:b w:val="0"/>
          <w:sz w:val="22"/>
          <w:u w:val="none"/>
        </w:rPr>
        <w:t xml:space="preserve">. </w:t>
      </w:r>
    </w:p>
    <w:p w:rsidR="00334D9E" w:rsidRPr="006D5CAE" w:rsidRDefault="00365A4F" w:rsidP="00AC6BD4">
      <w:pPr>
        <w:rPr>
          <w:b w:val="0"/>
          <w:sz w:val="22"/>
          <w:u w:val="none"/>
        </w:rPr>
      </w:pPr>
      <w:r w:rsidRPr="006D5CAE">
        <w:rPr>
          <w:b w:val="0"/>
          <w:sz w:val="22"/>
          <w:u w:val="none"/>
        </w:rPr>
        <w:t xml:space="preserve">Unlike negligence, the inquiry of reasonability attaches to </w:t>
      </w:r>
      <w:r w:rsidRPr="006D5CAE">
        <w:rPr>
          <w:color w:val="800000"/>
          <w:sz w:val="22"/>
          <w:u w:val="none"/>
        </w:rPr>
        <w:t>effect on plaintiff’s enjoyment of the land</w:t>
      </w:r>
      <w:r w:rsidRPr="006D5CAE">
        <w:rPr>
          <w:b w:val="0"/>
          <w:sz w:val="22"/>
          <w:u w:val="none"/>
        </w:rPr>
        <w:t>, not the defendant’s conduct. So, someone acting reasonably might nevertheless be liable for nuisance.</w:t>
      </w:r>
    </w:p>
    <w:p w:rsidR="00334D9E" w:rsidRPr="006D5CAE" w:rsidRDefault="00334D9E" w:rsidP="00AC6BD4">
      <w:pPr>
        <w:rPr>
          <w:b w:val="0"/>
          <w:sz w:val="22"/>
          <w:u w:val="none"/>
        </w:rPr>
      </w:pPr>
      <w:r w:rsidRPr="006D5CAE">
        <w:rPr>
          <w:b w:val="0"/>
          <w:sz w:val="22"/>
          <w:u w:val="none"/>
        </w:rPr>
        <w:t xml:space="preserve">Unreasonableness is met when the </w:t>
      </w:r>
      <w:proofErr w:type="gramStart"/>
      <w:r w:rsidRPr="006D5CAE">
        <w:rPr>
          <w:b w:val="0"/>
          <w:sz w:val="22"/>
          <w:u w:val="none"/>
        </w:rPr>
        <w:t>interference in question would not be tolerated by the ordinary occupier</w:t>
      </w:r>
      <w:proofErr w:type="gramEnd"/>
      <w:r w:rsidRPr="006D5CAE">
        <w:rPr>
          <w:b w:val="0"/>
          <w:sz w:val="22"/>
          <w:u w:val="none"/>
        </w:rPr>
        <w:t>.</w:t>
      </w:r>
    </w:p>
    <w:p w:rsidR="00334D9E" w:rsidRPr="006D5CAE" w:rsidRDefault="00334D9E" w:rsidP="00AC6BD4">
      <w:pPr>
        <w:rPr>
          <w:b w:val="0"/>
          <w:sz w:val="22"/>
          <w:u w:val="none"/>
        </w:rPr>
      </w:pPr>
      <w:r w:rsidRPr="006D5CAE">
        <w:rPr>
          <w:b w:val="0"/>
          <w:sz w:val="22"/>
          <w:u w:val="none"/>
        </w:rPr>
        <w:t>The court must weigh a number of factors:</w:t>
      </w:r>
    </w:p>
    <w:p w:rsidR="00334D9E" w:rsidRPr="006D5CAE" w:rsidRDefault="00334D9E" w:rsidP="00334D9E">
      <w:pPr>
        <w:rPr>
          <w:b w:val="0"/>
          <w:sz w:val="22"/>
          <w:u w:val="none"/>
        </w:rPr>
      </w:pPr>
      <w:r w:rsidRPr="006D5CAE">
        <w:rPr>
          <w:b w:val="0"/>
          <w:sz w:val="22"/>
          <w:u w:val="none"/>
        </w:rPr>
        <w:t xml:space="preserve">1) </w:t>
      </w:r>
      <w:proofErr w:type="gramStart"/>
      <w:r w:rsidRPr="006D5CAE">
        <w:rPr>
          <w:color w:val="800000"/>
          <w:sz w:val="22"/>
          <w:u w:val="none"/>
        </w:rPr>
        <w:t>severity</w:t>
      </w:r>
      <w:proofErr w:type="gramEnd"/>
      <w:r w:rsidRPr="006D5CAE">
        <w:rPr>
          <w:color w:val="800000"/>
          <w:sz w:val="22"/>
          <w:u w:val="none"/>
        </w:rPr>
        <w:t xml:space="preserve"> of interference</w:t>
      </w:r>
      <w:r w:rsidRPr="006D5CAE">
        <w:rPr>
          <w:b w:val="0"/>
          <w:sz w:val="22"/>
          <w:u w:val="none"/>
        </w:rPr>
        <w:t xml:space="preserve"> (nature, duration, effect). To be successful the plaintiff must show that the nuisance </w:t>
      </w:r>
      <w:r w:rsidRPr="006D5CAE">
        <w:rPr>
          <w:color w:val="800000"/>
          <w:sz w:val="22"/>
          <w:u w:val="none"/>
        </w:rPr>
        <w:t>caused damage</w:t>
      </w:r>
      <w:r w:rsidR="00E55AE2" w:rsidRPr="006D5CAE">
        <w:rPr>
          <w:color w:val="800000"/>
          <w:sz w:val="22"/>
          <w:u w:val="none"/>
        </w:rPr>
        <w:t xml:space="preserve"> </w:t>
      </w:r>
      <w:r w:rsidR="00E55AE2" w:rsidRPr="006D5CAE">
        <w:rPr>
          <w:b w:val="0"/>
          <w:sz w:val="22"/>
          <w:u w:val="none"/>
        </w:rPr>
        <w:t>(effect)</w:t>
      </w:r>
      <w:r w:rsidRPr="006D5CAE">
        <w:rPr>
          <w:b w:val="0"/>
          <w:sz w:val="22"/>
          <w:u w:val="none"/>
        </w:rPr>
        <w:t xml:space="preserve">. </w:t>
      </w:r>
    </w:p>
    <w:p w:rsidR="00334D9E" w:rsidRPr="006D5CAE" w:rsidRDefault="00334D9E" w:rsidP="00334D9E">
      <w:pPr>
        <w:rPr>
          <w:b w:val="0"/>
          <w:sz w:val="22"/>
          <w:u w:val="none"/>
        </w:rPr>
      </w:pPr>
      <w:r w:rsidRPr="006D5CAE">
        <w:rPr>
          <w:b w:val="0"/>
          <w:sz w:val="22"/>
          <w:u w:val="none"/>
        </w:rPr>
        <w:t xml:space="preserve">2) </w:t>
      </w:r>
      <w:proofErr w:type="gramStart"/>
      <w:r w:rsidRPr="006D5CAE">
        <w:rPr>
          <w:b w:val="0"/>
          <w:sz w:val="22"/>
          <w:u w:val="none"/>
        </w:rPr>
        <w:t>the</w:t>
      </w:r>
      <w:proofErr w:type="gramEnd"/>
      <w:r w:rsidRPr="006D5CAE">
        <w:rPr>
          <w:b w:val="0"/>
          <w:sz w:val="22"/>
          <w:u w:val="none"/>
        </w:rPr>
        <w:t xml:space="preserve"> character of the locale</w:t>
      </w:r>
      <w:r w:rsidR="00E55AE2" w:rsidRPr="006D5CAE">
        <w:rPr>
          <w:b w:val="0"/>
          <w:sz w:val="22"/>
          <w:u w:val="none"/>
        </w:rPr>
        <w:t xml:space="preserve">. What </w:t>
      </w:r>
      <w:proofErr w:type="gramStart"/>
      <w:r w:rsidR="00E55AE2" w:rsidRPr="006D5CAE">
        <w:rPr>
          <w:b w:val="0"/>
          <w:sz w:val="22"/>
          <w:u w:val="none"/>
        </w:rPr>
        <w:t>kind of zoning regulations apply</w:t>
      </w:r>
      <w:proofErr w:type="gramEnd"/>
      <w:r w:rsidR="00E55AE2" w:rsidRPr="006D5CAE">
        <w:rPr>
          <w:b w:val="0"/>
          <w:sz w:val="22"/>
          <w:u w:val="none"/>
        </w:rPr>
        <w:t>?</w:t>
      </w:r>
    </w:p>
    <w:p w:rsidR="00334D9E" w:rsidRPr="006D5CAE" w:rsidRDefault="00334D9E" w:rsidP="00334D9E">
      <w:pPr>
        <w:rPr>
          <w:b w:val="0"/>
          <w:sz w:val="22"/>
          <w:u w:val="none"/>
        </w:rPr>
      </w:pPr>
      <w:r w:rsidRPr="006D5CAE">
        <w:rPr>
          <w:b w:val="0"/>
          <w:sz w:val="22"/>
          <w:u w:val="none"/>
        </w:rPr>
        <w:t xml:space="preserve">3) </w:t>
      </w:r>
      <w:proofErr w:type="gramStart"/>
      <w:r w:rsidRPr="006D5CAE">
        <w:rPr>
          <w:b w:val="0"/>
          <w:sz w:val="22"/>
          <w:u w:val="none"/>
        </w:rPr>
        <w:t>the</w:t>
      </w:r>
      <w:proofErr w:type="gramEnd"/>
      <w:r w:rsidRPr="006D5CAE">
        <w:rPr>
          <w:b w:val="0"/>
          <w:sz w:val="22"/>
          <w:u w:val="none"/>
        </w:rPr>
        <w:t xml:space="preserve"> utility of ∂’s conduct</w:t>
      </w:r>
      <w:r w:rsidR="00E55AE2" w:rsidRPr="006D5CAE">
        <w:rPr>
          <w:b w:val="0"/>
          <w:sz w:val="22"/>
          <w:u w:val="none"/>
        </w:rPr>
        <w:t xml:space="preserve">. The utility of the defendant’s use of land may make the remedy more lenient but does affect liability. </w:t>
      </w:r>
    </w:p>
    <w:p w:rsidR="006679A9" w:rsidRPr="006D5CAE" w:rsidRDefault="00334D9E" w:rsidP="00334D9E">
      <w:pPr>
        <w:rPr>
          <w:b w:val="0"/>
          <w:sz w:val="22"/>
          <w:u w:val="none"/>
        </w:rPr>
      </w:pPr>
      <w:r w:rsidRPr="006D5CAE">
        <w:rPr>
          <w:b w:val="0"/>
          <w:sz w:val="22"/>
          <w:u w:val="none"/>
        </w:rPr>
        <w:t xml:space="preserve">4) </w:t>
      </w:r>
      <w:proofErr w:type="gramStart"/>
      <w:r w:rsidRPr="006D5CAE">
        <w:rPr>
          <w:b w:val="0"/>
          <w:sz w:val="22"/>
          <w:u w:val="none"/>
        </w:rPr>
        <w:t>the</w:t>
      </w:r>
      <w:proofErr w:type="gramEnd"/>
      <w:r w:rsidRPr="006D5CAE">
        <w:rPr>
          <w:b w:val="0"/>
          <w:sz w:val="22"/>
          <w:u w:val="none"/>
        </w:rPr>
        <w:t xml:space="preserve"> sensitivity of the use interfered with</w:t>
      </w:r>
    </w:p>
    <w:p w:rsidR="003D3B7B" w:rsidRPr="006D5CAE" w:rsidRDefault="006679A9" w:rsidP="00334D9E">
      <w:pPr>
        <w:rPr>
          <w:b w:val="0"/>
          <w:sz w:val="22"/>
          <w:u w:val="none"/>
        </w:rPr>
      </w:pPr>
      <w:r w:rsidRPr="006D5CAE">
        <w:rPr>
          <w:b w:val="0"/>
          <w:sz w:val="22"/>
          <w:u w:val="none"/>
        </w:rPr>
        <w:t xml:space="preserve">In </w:t>
      </w:r>
      <w:r w:rsidRPr="006D5CAE">
        <w:rPr>
          <w:b w:val="0"/>
          <w:i/>
          <w:sz w:val="22"/>
          <w:u w:val="none"/>
        </w:rPr>
        <w:t>Coventry v Lawrence</w:t>
      </w:r>
      <w:r w:rsidRPr="006D5CAE">
        <w:rPr>
          <w:b w:val="0"/>
          <w:sz w:val="22"/>
          <w:u w:val="none"/>
        </w:rPr>
        <w:t xml:space="preserve"> the UK court held that the defendant could refer to its own (noisy) activity as part of the character of the </w:t>
      </w:r>
      <w:proofErr w:type="spellStart"/>
      <w:r w:rsidRPr="006D5CAE">
        <w:rPr>
          <w:b w:val="0"/>
          <w:sz w:val="22"/>
          <w:u w:val="none"/>
        </w:rPr>
        <w:t>neighbourhood</w:t>
      </w:r>
      <w:proofErr w:type="spellEnd"/>
      <w:r w:rsidRPr="006D5CAE">
        <w:rPr>
          <w:b w:val="0"/>
          <w:sz w:val="22"/>
          <w:u w:val="none"/>
        </w:rPr>
        <w:t xml:space="preserve">, but only to the extent that the activity was not a nuisance. It also held that if the plaintiff acquires the “dominant” property (the property to which the right to complain of nuisance attaches), he is no better position than the previous owner of that </w:t>
      </w:r>
      <w:proofErr w:type="spellStart"/>
      <w:r w:rsidRPr="006D5CAE">
        <w:rPr>
          <w:b w:val="0"/>
          <w:sz w:val="22"/>
          <w:u w:val="none"/>
        </w:rPr>
        <w:t>propery</w:t>
      </w:r>
      <w:proofErr w:type="spellEnd"/>
      <w:r w:rsidRPr="006D5CAE">
        <w:rPr>
          <w:b w:val="0"/>
          <w:sz w:val="22"/>
          <w:u w:val="none"/>
        </w:rPr>
        <w:t xml:space="preserve"> in terms of whether the defendant’s activity amounts to </w:t>
      </w:r>
      <w:proofErr w:type="gramStart"/>
      <w:r w:rsidRPr="006D5CAE">
        <w:rPr>
          <w:b w:val="0"/>
          <w:sz w:val="22"/>
          <w:u w:val="none"/>
        </w:rPr>
        <w:t>an</w:t>
      </w:r>
      <w:proofErr w:type="gramEnd"/>
      <w:r w:rsidRPr="006D5CAE">
        <w:rPr>
          <w:b w:val="0"/>
          <w:sz w:val="22"/>
          <w:u w:val="none"/>
        </w:rPr>
        <w:t xml:space="preserve"> nuisance. However, if the plaintiff changes the use of that property, by increasing its sensitivity to nuisance, the plaintiff cannot use that to support a nuisance claim if what the defendant doing was not nuisance under the former use of that property.</w:t>
      </w:r>
    </w:p>
    <w:p w:rsidR="003D3B7B" w:rsidRPr="006D5CAE" w:rsidRDefault="003D3B7B" w:rsidP="00334D9E">
      <w:pPr>
        <w:rPr>
          <w:b w:val="0"/>
          <w:sz w:val="22"/>
          <w:u w:val="none"/>
        </w:rPr>
      </w:pPr>
      <w:r w:rsidRPr="006D5CAE">
        <w:rPr>
          <w:b w:val="0"/>
          <w:sz w:val="22"/>
          <w:u w:val="none"/>
        </w:rPr>
        <w:t>Only someone with proprietary or possessory interests in the property can have a claim in private nuisance (</w:t>
      </w:r>
      <w:r w:rsidRPr="006D5CAE">
        <w:rPr>
          <w:b w:val="0"/>
          <w:i/>
          <w:sz w:val="22"/>
          <w:u w:val="none"/>
        </w:rPr>
        <w:t>Hunter</w:t>
      </w:r>
      <w:r w:rsidRPr="006D5CAE">
        <w:rPr>
          <w:b w:val="0"/>
          <w:sz w:val="22"/>
          <w:u w:val="none"/>
        </w:rPr>
        <w:t xml:space="preserve">). </w:t>
      </w:r>
    </w:p>
    <w:p w:rsidR="00D24294" w:rsidRPr="006D5CAE" w:rsidRDefault="003D3B7B" w:rsidP="00334D9E">
      <w:pPr>
        <w:rPr>
          <w:b w:val="0"/>
          <w:sz w:val="22"/>
          <w:u w:val="none"/>
        </w:rPr>
      </w:pPr>
      <w:r w:rsidRPr="006D5CAE">
        <w:rPr>
          <w:b w:val="0"/>
          <w:sz w:val="22"/>
          <w:u w:val="none"/>
        </w:rPr>
        <w:t>Interference with TV reception is not sufficient interference for nuisance (</w:t>
      </w:r>
      <w:r w:rsidRPr="006D5CAE">
        <w:rPr>
          <w:b w:val="0"/>
          <w:i/>
          <w:sz w:val="22"/>
          <w:u w:val="none"/>
        </w:rPr>
        <w:t>Nor-Video</w:t>
      </w:r>
      <w:r w:rsidRPr="006D5CAE">
        <w:rPr>
          <w:b w:val="0"/>
          <w:sz w:val="22"/>
          <w:u w:val="none"/>
        </w:rPr>
        <w:t>).</w:t>
      </w:r>
      <w:r w:rsidR="00D24294" w:rsidRPr="006D5CAE">
        <w:rPr>
          <w:b w:val="0"/>
          <w:sz w:val="22"/>
          <w:u w:val="none"/>
        </w:rPr>
        <w:t xml:space="preserve"> Neither is having your view, light… etc blocked by the construction of a building.</w:t>
      </w:r>
    </w:p>
    <w:p w:rsidR="00E55AE2" w:rsidRPr="006D5CAE" w:rsidRDefault="00D24294" w:rsidP="00334D9E">
      <w:pPr>
        <w:rPr>
          <w:b w:val="0"/>
          <w:sz w:val="22"/>
          <w:u w:val="none"/>
        </w:rPr>
      </w:pPr>
      <w:r w:rsidRPr="006D5CAE">
        <w:rPr>
          <w:color w:val="800000"/>
          <w:sz w:val="22"/>
          <w:u w:val="none"/>
        </w:rPr>
        <w:t xml:space="preserve">Nuisance has to be tied to something done or not done by the defendant as owner of the </w:t>
      </w:r>
      <w:proofErr w:type="gramStart"/>
      <w:r w:rsidRPr="006D5CAE">
        <w:rPr>
          <w:color w:val="800000"/>
          <w:sz w:val="22"/>
          <w:u w:val="none"/>
        </w:rPr>
        <w:t>property,</w:t>
      </w:r>
      <w:proofErr w:type="gramEnd"/>
      <w:r w:rsidRPr="006D5CAE">
        <w:rPr>
          <w:color w:val="800000"/>
          <w:sz w:val="22"/>
          <w:u w:val="none"/>
        </w:rPr>
        <w:t xml:space="preserve"> it’s not a strict liability tort for whatever comes off your property</w:t>
      </w:r>
      <w:r w:rsidRPr="006D5CAE">
        <w:rPr>
          <w:b w:val="0"/>
          <w:sz w:val="22"/>
          <w:u w:val="none"/>
        </w:rPr>
        <w:t xml:space="preserve">. In </w:t>
      </w:r>
      <w:r w:rsidRPr="006D5CAE">
        <w:rPr>
          <w:b w:val="0"/>
          <w:i/>
          <w:sz w:val="22"/>
          <w:u w:val="none"/>
        </w:rPr>
        <w:t xml:space="preserve">Goldman v </w:t>
      </w:r>
      <w:proofErr w:type="spellStart"/>
      <w:r w:rsidRPr="006D5CAE">
        <w:rPr>
          <w:b w:val="0"/>
          <w:i/>
          <w:sz w:val="22"/>
          <w:u w:val="none"/>
        </w:rPr>
        <w:t>Hargrave</w:t>
      </w:r>
      <w:proofErr w:type="spellEnd"/>
      <w:r w:rsidRPr="006D5CAE">
        <w:rPr>
          <w:b w:val="0"/>
          <w:sz w:val="22"/>
          <w:u w:val="none"/>
        </w:rPr>
        <w:t xml:space="preserve"> liability attached to a landowner who had </w:t>
      </w:r>
      <w:r w:rsidRPr="006D5CAE">
        <w:rPr>
          <w:b w:val="0"/>
          <w:sz w:val="22"/>
        </w:rPr>
        <w:t>culpably</w:t>
      </w:r>
      <w:r w:rsidRPr="006D5CAE">
        <w:rPr>
          <w:b w:val="0"/>
          <w:sz w:val="22"/>
          <w:u w:val="none"/>
        </w:rPr>
        <w:t xml:space="preserve"> failed to put out a fire that had started with a lightning strike on his gum tree, and spread to the plaintiff’s property.</w:t>
      </w:r>
    </w:p>
    <w:p w:rsidR="00177CED" w:rsidRPr="006D5CAE" w:rsidRDefault="00177CED" w:rsidP="00334D9E">
      <w:pPr>
        <w:rPr>
          <w:b w:val="0"/>
          <w:sz w:val="22"/>
        </w:rPr>
      </w:pPr>
      <w:r w:rsidRPr="006D5CAE">
        <w:rPr>
          <w:b w:val="0"/>
          <w:sz w:val="22"/>
          <w:highlight w:val="yellow"/>
        </w:rPr>
        <w:t xml:space="preserve">Tock v St. John’s </w:t>
      </w:r>
      <w:proofErr w:type="spellStart"/>
      <w:r w:rsidRPr="006D5CAE">
        <w:rPr>
          <w:b w:val="0"/>
          <w:sz w:val="22"/>
          <w:highlight w:val="yellow"/>
        </w:rPr>
        <w:t>Metroplitan</w:t>
      </w:r>
      <w:proofErr w:type="spellEnd"/>
      <w:r w:rsidRPr="006D5CAE">
        <w:rPr>
          <w:b w:val="0"/>
          <w:sz w:val="22"/>
          <w:highlight w:val="yellow"/>
        </w:rPr>
        <w:t xml:space="preserve"> Area Board (1989 SCC)</w:t>
      </w:r>
    </w:p>
    <w:p w:rsidR="004C1459" w:rsidRPr="006D5CAE" w:rsidRDefault="004C1459" w:rsidP="00334D9E">
      <w:pPr>
        <w:rPr>
          <w:b w:val="0"/>
          <w:sz w:val="22"/>
          <w:u w:val="none"/>
        </w:rPr>
      </w:pPr>
      <w:r w:rsidRPr="006D5CAE">
        <w:rPr>
          <w:b w:val="0"/>
          <w:sz w:val="22"/>
          <w:u w:val="none"/>
        </w:rPr>
        <w:t>Majority says inevitability of nuisance</w:t>
      </w:r>
      <w:r w:rsidR="005D143E" w:rsidRPr="006D5CAE">
        <w:rPr>
          <w:b w:val="0"/>
          <w:sz w:val="22"/>
          <w:u w:val="none"/>
        </w:rPr>
        <w:t xml:space="preserve"> (</w:t>
      </w:r>
      <w:proofErr w:type="spellStart"/>
      <w:r w:rsidR="005D143E" w:rsidRPr="006D5CAE">
        <w:rPr>
          <w:b w:val="0"/>
          <w:sz w:val="22"/>
          <w:u w:val="none"/>
        </w:rPr>
        <w:t>defence</w:t>
      </w:r>
      <w:proofErr w:type="spellEnd"/>
      <w:r w:rsidR="005D143E" w:rsidRPr="006D5CAE">
        <w:rPr>
          <w:b w:val="0"/>
          <w:sz w:val="22"/>
          <w:u w:val="none"/>
        </w:rPr>
        <w:t xml:space="preserve"> of statutory authority)</w:t>
      </w:r>
      <w:r w:rsidRPr="006D5CAE">
        <w:rPr>
          <w:b w:val="0"/>
          <w:sz w:val="22"/>
          <w:u w:val="none"/>
        </w:rPr>
        <w:t xml:space="preserve"> is not a </w:t>
      </w:r>
      <w:proofErr w:type="spellStart"/>
      <w:r w:rsidRPr="006D5CAE">
        <w:rPr>
          <w:b w:val="0"/>
          <w:sz w:val="22"/>
          <w:u w:val="none"/>
        </w:rPr>
        <w:t>defence</w:t>
      </w:r>
      <w:proofErr w:type="spellEnd"/>
      <w:r w:rsidRPr="006D5CAE">
        <w:rPr>
          <w:b w:val="0"/>
          <w:sz w:val="22"/>
          <w:u w:val="none"/>
        </w:rPr>
        <w:t xml:space="preserve"> for statutorily authorized activities. </w:t>
      </w:r>
    </w:p>
    <w:p w:rsidR="004C1459" w:rsidRPr="006D5CAE" w:rsidRDefault="004C1459" w:rsidP="00334D9E">
      <w:pPr>
        <w:rPr>
          <w:b w:val="0"/>
          <w:sz w:val="22"/>
          <w:u w:val="none"/>
        </w:rPr>
      </w:pPr>
      <w:r w:rsidRPr="006D5CAE">
        <w:rPr>
          <w:b w:val="0"/>
          <w:sz w:val="22"/>
          <w:u w:val="none"/>
        </w:rPr>
        <w:t xml:space="preserve">Concurring judgment says the </w:t>
      </w:r>
      <w:proofErr w:type="spellStart"/>
      <w:r w:rsidRPr="006D5CAE">
        <w:rPr>
          <w:b w:val="0"/>
          <w:sz w:val="22"/>
          <w:u w:val="none"/>
        </w:rPr>
        <w:t>defence</w:t>
      </w:r>
      <w:proofErr w:type="spellEnd"/>
      <w:r w:rsidRPr="006D5CAE">
        <w:rPr>
          <w:b w:val="0"/>
          <w:sz w:val="22"/>
          <w:u w:val="none"/>
        </w:rPr>
        <w:t xml:space="preserve"> of inevitability should not be abolished, but should only be available when the government body has no choice of how it exercises its nuisance-creating activity or where it does so.</w:t>
      </w:r>
    </w:p>
    <w:p w:rsidR="003373C9" w:rsidRPr="006D5CAE" w:rsidRDefault="004C1459" w:rsidP="00334D9E">
      <w:pPr>
        <w:rPr>
          <w:b w:val="0"/>
          <w:sz w:val="22"/>
          <w:u w:val="none"/>
        </w:rPr>
      </w:pPr>
      <w:proofErr w:type="spellStart"/>
      <w:r w:rsidRPr="006D5CAE">
        <w:rPr>
          <w:b w:val="0"/>
          <w:sz w:val="22"/>
          <w:u w:val="none"/>
        </w:rPr>
        <w:t>Sopinka</w:t>
      </w:r>
      <w:proofErr w:type="spellEnd"/>
      <w:r w:rsidRPr="006D5CAE">
        <w:rPr>
          <w:b w:val="0"/>
          <w:sz w:val="22"/>
          <w:u w:val="none"/>
        </w:rPr>
        <w:t xml:space="preserve"> [concurring] says defendant has the onus of proving practical impossibility in avoiding nuisance.</w:t>
      </w:r>
      <w:r w:rsidR="003373C9" w:rsidRPr="006D5CAE">
        <w:rPr>
          <w:b w:val="0"/>
          <w:sz w:val="22"/>
          <w:u w:val="none"/>
        </w:rPr>
        <w:t xml:space="preserve"> </w:t>
      </w:r>
      <w:proofErr w:type="spellStart"/>
      <w:r w:rsidR="003373C9" w:rsidRPr="006D5CAE">
        <w:rPr>
          <w:b w:val="0"/>
          <w:sz w:val="22"/>
          <w:u w:val="none"/>
        </w:rPr>
        <w:t>Sopinka’s</w:t>
      </w:r>
      <w:proofErr w:type="spellEnd"/>
      <w:r w:rsidR="003373C9" w:rsidRPr="006D5CAE">
        <w:rPr>
          <w:b w:val="0"/>
          <w:sz w:val="22"/>
          <w:u w:val="none"/>
        </w:rPr>
        <w:t xml:space="preserve"> view prevailed in law. </w:t>
      </w:r>
    </w:p>
    <w:p w:rsidR="003373C9" w:rsidRPr="006D5CAE" w:rsidRDefault="003373C9" w:rsidP="00334D9E">
      <w:pPr>
        <w:rPr>
          <w:b w:val="0"/>
          <w:sz w:val="22"/>
          <w:u w:val="none"/>
        </w:rPr>
      </w:pPr>
      <w:r w:rsidRPr="006D5CAE">
        <w:rPr>
          <w:b w:val="0"/>
          <w:sz w:val="22"/>
          <w:u w:val="none"/>
        </w:rPr>
        <w:t xml:space="preserve">In </w:t>
      </w:r>
      <w:r w:rsidRPr="006D5CAE">
        <w:rPr>
          <w:b w:val="0"/>
          <w:i/>
          <w:sz w:val="22"/>
          <w:u w:val="none"/>
        </w:rPr>
        <w:t xml:space="preserve">Susan </w:t>
      </w:r>
      <w:proofErr w:type="spellStart"/>
      <w:r w:rsidRPr="006D5CAE">
        <w:rPr>
          <w:b w:val="0"/>
          <w:i/>
          <w:sz w:val="22"/>
          <w:u w:val="none"/>
        </w:rPr>
        <w:t>Heyes</w:t>
      </w:r>
      <w:proofErr w:type="spellEnd"/>
      <w:r w:rsidRPr="006D5CAE">
        <w:rPr>
          <w:b w:val="0"/>
          <w:sz w:val="22"/>
          <w:u w:val="none"/>
        </w:rPr>
        <w:t xml:space="preserve"> (Canada line construction case) the construction of the Canada line was unreasonable interference, but it would be too costly and impractical to make it entirely underground.</w:t>
      </w:r>
    </w:p>
    <w:p w:rsidR="00EA0A2B" w:rsidRPr="006D5CAE" w:rsidRDefault="003373C9" w:rsidP="00334D9E">
      <w:pPr>
        <w:rPr>
          <w:b w:val="0"/>
          <w:sz w:val="22"/>
          <w:u w:val="none"/>
        </w:rPr>
      </w:pPr>
      <w:r w:rsidRPr="006D5CAE">
        <w:rPr>
          <w:b w:val="0"/>
          <w:sz w:val="22"/>
          <w:u w:val="none"/>
        </w:rPr>
        <w:t>Furthermore, practical impossibility can be proven when there is no discretion to avoid nuisance.</w:t>
      </w:r>
    </w:p>
    <w:p w:rsidR="002D5CA6" w:rsidRPr="006D5CAE" w:rsidRDefault="00EA0A2B" w:rsidP="00334D9E">
      <w:pPr>
        <w:rPr>
          <w:b w:val="0"/>
          <w:sz w:val="22"/>
          <w:u w:val="none"/>
        </w:rPr>
      </w:pPr>
      <w:r w:rsidRPr="006D5CAE">
        <w:rPr>
          <w:b w:val="0"/>
          <w:sz w:val="22"/>
          <w:u w:val="none"/>
        </w:rPr>
        <w:t>You can be liable for nuisance if you buy a property from which nuisance emanates and do nothing to stop it (“adopting the nuisance”).</w:t>
      </w:r>
    </w:p>
    <w:p w:rsidR="002D5CA6" w:rsidRPr="006D5CAE" w:rsidRDefault="002D5CA6" w:rsidP="00334D9E">
      <w:pPr>
        <w:rPr>
          <w:b w:val="0"/>
          <w:sz w:val="22"/>
          <w:u w:val="none"/>
        </w:rPr>
      </w:pPr>
      <w:r w:rsidRPr="006D5CAE">
        <w:rPr>
          <w:b w:val="0"/>
          <w:sz w:val="22"/>
          <w:u w:val="none"/>
        </w:rPr>
        <w:t>24.3: Public Nuisance.</w:t>
      </w:r>
    </w:p>
    <w:p w:rsidR="002D5CA6" w:rsidRPr="006D5CAE" w:rsidRDefault="002D5CA6" w:rsidP="00334D9E">
      <w:pPr>
        <w:rPr>
          <w:b w:val="0"/>
          <w:sz w:val="22"/>
          <w:u w:val="none"/>
        </w:rPr>
      </w:pPr>
      <w:r w:rsidRPr="006D5CAE">
        <w:rPr>
          <w:b w:val="0"/>
          <w:sz w:val="22"/>
          <w:highlight w:val="yellow"/>
        </w:rPr>
        <w:t xml:space="preserve">Hickey v Electric Reduction Co. (1970 </w:t>
      </w:r>
      <w:proofErr w:type="spellStart"/>
      <w:r w:rsidRPr="006D5CAE">
        <w:rPr>
          <w:b w:val="0"/>
          <w:sz w:val="22"/>
          <w:highlight w:val="yellow"/>
        </w:rPr>
        <w:t>Nfld</w:t>
      </w:r>
      <w:proofErr w:type="spellEnd"/>
      <w:r w:rsidRPr="006D5CAE">
        <w:rPr>
          <w:b w:val="0"/>
          <w:sz w:val="22"/>
          <w:highlight w:val="yellow"/>
        </w:rPr>
        <w:t xml:space="preserve"> SC)</w:t>
      </w:r>
    </w:p>
    <w:p w:rsidR="00E8719B" w:rsidRPr="006D5CAE" w:rsidRDefault="00E8719B" w:rsidP="00E8719B">
      <w:pPr>
        <w:rPr>
          <w:b w:val="0"/>
          <w:sz w:val="22"/>
          <w:u w:val="none"/>
        </w:rPr>
      </w:pPr>
      <w:r w:rsidRPr="006D5CAE">
        <w:rPr>
          <w:b w:val="0"/>
          <w:sz w:val="22"/>
          <w:u w:val="none"/>
        </w:rPr>
        <w:t xml:space="preserve">Any person that suffers peculiar damage has a right of action, but where the damage is common to all persons of the same class, </w:t>
      </w:r>
      <w:proofErr w:type="gramStart"/>
      <w:r w:rsidRPr="006D5CAE">
        <w:rPr>
          <w:b w:val="0"/>
          <w:sz w:val="22"/>
          <w:u w:val="none"/>
        </w:rPr>
        <w:t>then</w:t>
      </w:r>
      <w:proofErr w:type="gramEnd"/>
      <w:r w:rsidRPr="006D5CAE">
        <w:rPr>
          <w:b w:val="0"/>
          <w:sz w:val="22"/>
          <w:u w:val="none"/>
        </w:rPr>
        <w:t xml:space="preserve"> a personal right of action is not maintainable. </w:t>
      </w:r>
    </w:p>
    <w:p w:rsidR="00E8719B" w:rsidRPr="006D5CAE" w:rsidRDefault="00E8719B" w:rsidP="00E8719B">
      <w:pPr>
        <w:rPr>
          <w:b w:val="0"/>
          <w:sz w:val="22"/>
          <w:u w:val="none"/>
        </w:rPr>
      </w:pPr>
      <w:r w:rsidRPr="006D5CAE">
        <w:rPr>
          <w:b w:val="0"/>
          <w:sz w:val="22"/>
          <w:u w:val="none"/>
        </w:rPr>
        <w:t>Plaintiff can’t use public nuisance to recover. Fishing rights are not peculiar, but common to all. Attorney General has to launch a cause of action.</w:t>
      </w:r>
    </w:p>
    <w:p w:rsidR="00E8719B" w:rsidRPr="006D5CAE" w:rsidRDefault="00E8719B" w:rsidP="00E8719B">
      <w:pPr>
        <w:rPr>
          <w:b w:val="0"/>
          <w:sz w:val="22"/>
          <w:u w:val="none"/>
        </w:rPr>
      </w:pPr>
      <w:r w:rsidRPr="006D5CAE">
        <w:rPr>
          <w:b w:val="0"/>
          <w:sz w:val="22"/>
          <w:u w:val="none"/>
        </w:rPr>
        <w:t>If damage from public nuisance is damage to property then private rights are damaged and so private actor may sue (property owner or possessory interest).</w:t>
      </w:r>
    </w:p>
    <w:p w:rsidR="005E2881" w:rsidRPr="006D5CAE" w:rsidRDefault="005E2881" w:rsidP="005E2881">
      <w:pPr>
        <w:pStyle w:val="Heading1"/>
        <w:rPr>
          <w:rFonts w:ascii="Baskerville" w:hAnsi="Baskerville"/>
          <w:b/>
          <w:color w:val="auto"/>
        </w:rPr>
      </w:pPr>
      <w:bookmarkStart w:id="33" w:name="_Toc258695635"/>
      <w:r w:rsidRPr="006D5CAE">
        <w:rPr>
          <w:rFonts w:ascii="Baskerville" w:hAnsi="Baskerville"/>
          <w:b/>
          <w:color w:val="auto"/>
        </w:rPr>
        <w:t>CHAPTER 25 — STRICT AND VICARIOUS LIABILITY</w:t>
      </w:r>
      <w:bookmarkEnd w:id="33"/>
    </w:p>
    <w:p w:rsidR="00EA0A2B" w:rsidRPr="006D5CAE" w:rsidRDefault="00EA0A2B" w:rsidP="00334D9E">
      <w:pPr>
        <w:rPr>
          <w:b w:val="0"/>
          <w:sz w:val="22"/>
          <w:u w:val="none"/>
        </w:rPr>
      </w:pPr>
    </w:p>
    <w:p w:rsidR="00EA0A2B" w:rsidRPr="006D5CAE" w:rsidRDefault="00EA0A2B" w:rsidP="008A7D56">
      <w:pPr>
        <w:pStyle w:val="Heading2"/>
        <w:rPr>
          <w:rFonts w:ascii="Baskerville Old Face" w:hAnsi="Baskerville Old Face"/>
          <w:b/>
          <w:color w:val="auto"/>
        </w:rPr>
      </w:pPr>
      <w:bookmarkStart w:id="34" w:name="_Toc258695636"/>
      <w:r w:rsidRPr="006D5CAE">
        <w:rPr>
          <w:rFonts w:ascii="Baskerville Old Face" w:hAnsi="Baskerville Old Face"/>
          <w:b/>
          <w:color w:val="auto"/>
        </w:rPr>
        <w:t xml:space="preserve">24.2: Strict Liability for escape of dangerous substances: </w:t>
      </w:r>
      <w:proofErr w:type="spellStart"/>
      <w:r w:rsidRPr="006D5CAE">
        <w:rPr>
          <w:rFonts w:ascii="Baskerville Old Face" w:hAnsi="Baskerville Old Face"/>
          <w:b/>
          <w:color w:val="auto"/>
        </w:rPr>
        <w:t>Rylands</w:t>
      </w:r>
      <w:proofErr w:type="spellEnd"/>
      <w:r w:rsidRPr="006D5CAE">
        <w:rPr>
          <w:rFonts w:ascii="Baskerville Old Face" w:hAnsi="Baskerville Old Face"/>
          <w:b/>
          <w:color w:val="auto"/>
        </w:rPr>
        <w:t xml:space="preserve"> v Fletcher tort</w:t>
      </w:r>
      <w:bookmarkEnd w:id="34"/>
    </w:p>
    <w:p w:rsidR="008A7D56" w:rsidRPr="006D5CAE" w:rsidRDefault="008A7D56" w:rsidP="00334D9E">
      <w:pPr>
        <w:rPr>
          <w:b w:val="0"/>
          <w:sz w:val="22"/>
        </w:rPr>
      </w:pPr>
    </w:p>
    <w:p w:rsidR="00EA0A2B" w:rsidRPr="006D5CAE" w:rsidRDefault="00EA0A2B" w:rsidP="00334D9E">
      <w:pPr>
        <w:rPr>
          <w:b w:val="0"/>
          <w:sz w:val="22"/>
          <w:u w:val="none"/>
        </w:rPr>
      </w:pPr>
      <w:proofErr w:type="spellStart"/>
      <w:r w:rsidRPr="006D5CAE">
        <w:rPr>
          <w:b w:val="0"/>
          <w:sz w:val="22"/>
          <w:highlight w:val="yellow"/>
        </w:rPr>
        <w:t>Rylands</w:t>
      </w:r>
      <w:proofErr w:type="spellEnd"/>
      <w:r w:rsidRPr="006D5CAE">
        <w:rPr>
          <w:b w:val="0"/>
          <w:sz w:val="22"/>
          <w:highlight w:val="yellow"/>
        </w:rPr>
        <w:t xml:space="preserve"> v Fletcher (1868 HL)</w:t>
      </w:r>
    </w:p>
    <w:p w:rsidR="00B33E47" w:rsidRPr="006D5CAE" w:rsidRDefault="00054C51" w:rsidP="00334D9E">
      <w:pPr>
        <w:rPr>
          <w:b w:val="0"/>
          <w:sz w:val="22"/>
          <w:u w:val="none"/>
        </w:rPr>
      </w:pPr>
      <w:r w:rsidRPr="006D5CAE">
        <w:rPr>
          <w:b w:val="0"/>
          <w:sz w:val="22"/>
          <w:u w:val="none"/>
        </w:rPr>
        <w:t>Created a unique strict liability tort.</w:t>
      </w:r>
    </w:p>
    <w:p w:rsidR="00B33E47" w:rsidRPr="006D5CAE" w:rsidRDefault="00B33E47" w:rsidP="00334D9E">
      <w:pPr>
        <w:rPr>
          <w:b w:val="0"/>
          <w:sz w:val="22"/>
          <w:u w:val="none"/>
        </w:rPr>
      </w:pPr>
      <w:r w:rsidRPr="006D5CAE">
        <w:rPr>
          <w:b w:val="0"/>
          <w:sz w:val="22"/>
          <w:u w:val="none"/>
        </w:rPr>
        <w:t>Any person who for his own purposes brings onto his land something, which is likely to cause mischief it is escapes, does so at his own peril and is strictly liable (</w:t>
      </w:r>
      <w:r w:rsidRPr="006D5CAE">
        <w:rPr>
          <w:b w:val="0"/>
          <w:i/>
          <w:sz w:val="22"/>
          <w:u w:val="none"/>
        </w:rPr>
        <w:t>prima facie</w:t>
      </w:r>
      <w:r w:rsidRPr="006D5CAE">
        <w:rPr>
          <w:b w:val="0"/>
          <w:sz w:val="22"/>
          <w:u w:val="none"/>
        </w:rPr>
        <w:t xml:space="preserve"> liability) for the damages it causes it if it escapes. </w:t>
      </w:r>
    </w:p>
    <w:p w:rsidR="00B33E47" w:rsidRPr="006D5CAE" w:rsidRDefault="00B33E47" w:rsidP="00334D9E">
      <w:pPr>
        <w:rPr>
          <w:b w:val="0"/>
          <w:sz w:val="22"/>
          <w:u w:val="none"/>
        </w:rPr>
      </w:pPr>
      <w:r w:rsidRPr="006D5CAE">
        <w:rPr>
          <w:b w:val="0"/>
          <w:sz w:val="22"/>
          <w:u w:val="none"/>
        </w:rPr>
        <w:t>Elements:</w:t>
      </w:r>
    </w:p>
    <w:p w:rsidR="00A266BF" w:rsidRPr="006D5CAE" w:rsidRDefault="00B33E47" w:rsidP="00B33E47">
      <w:pPr>
        <w:pStyle w:val="ListBullet"/>
        <w:rPr>
          <w:sz w:val="22"/>
        </w:rPr>
      </w:pPr>
      <w:proofErr w:type="gramStart"/>
      <w:r w:rsidRPr="006D5CAE">
        <w:rPr>
          <w:b w:val="0"/>
          <w:sz w:val="22"/>
          <w:u w:val="none"/>
        </w:rPr>
        <w:t>defendant</w:t>
      </w:r>
      <w:proofErr w:type="gramEnd"/>
      <w:r w:rsidRPr="006D5CAE">
        <w:rPr>
          <w:b w:val="0"/>
          <w:sz w:val="22"/>
          <w:u w:val="none"/>
        </w:rPr>
        <w:t xml:space="preserve"> must bring onto lan</w:t>
      </w:r>
      <w:r w:rsidR="00A266BF" w:rsidRPr="006D5CAE">
        <w:rPr>
          <w:b w:val="0"/>
          <w:sz w:val="22"/>
          <w:u w:val="none"/>
        </w:rPr>
        <w:t xml:space="preserve">d </w:t>
      </w:r>
      <w:r w:rsidRPr="006D5CAE">
        <w:rPr>
          <w:b w:val="0"/>
          <w:sz w:val="22"/>
          <w:u w:val="none"/>
        </w:rPr>
        <w:t xml:space="preserve">something that is likely to cause mischief it if escapes </w:t>
      </w:r>
    </w:p>
    <w:p w:rsidR="00B33E47" w:rsidRPr="006D5CAE" w:rsidRDefault="00A266BF" w:rsidP="00B33E47">
      <w:pPr>
        <w:pStyle w:val="ListBullet"/>
        <w:rPr>
          <w:sz w:val="22"/>
        </w:rPr>
      </w:pPr>
      <w:proofErr w:type="gramStart"/>
      <w:r w:rsidRPr="006D5CAE">
        <w:rPr>
          <w:b w:val="0"/>
          <w:sz w:val="22"/>
          <w:u w:val="none"/>
        </w:rPr>
        <w:t>has</w:t>
      </w:r>
      <w:proofErr w:type="gramEnd"/>
      <w:r w:rsidRPr="006D5CAE">
        <w:rPr>
          <w:b w:val="0"/>
          <w:sz w:val="22"/>
          <w:u w:val="none"/>
        </w:rPr>
        <w:t xml:space="preserve"> to cause damage on another’s property</w:t>
      </w:r>
    </w:p>
    <w:p w:rsidR="00B33E47" w:rsidRPr="006D5CAE" w:rsidRDefault="00B33E47" w:rsidP="00B33E47">
      <w:pPr>
        <w:pStyle w:val="ListBullet"/>
        <w:rPr>
          <w:b w:val="0"/>
          <w:sz w:val="22"/>
          <w:u w:val="none"/>
        </w:rPr>
      </w:pPr>
      <w:proofErr w:type="gramStart"/>
      <w:r w:rsidRPr="006D5CAE">
        <w:rPr>
          <w:b w:val="0"/>
          <w:sz w:val="22"/>
          <w:u w:val="none"/>
        </w:rPr>
        <w:t>has</w:t>
      </w:r>
      <w:proofErr w:type="gramEnd"/>
      <w:r w:rsidRPr="006D5CAE">
        <w:rPr>
          <w:b w:val="0"/>
          <w:sz w:val="22"/>
          <w:u w:val="none"/>
        </w:rPr>
        <w:t xml:space="preserve"> to be a non-natural use of land</w:t>
      </w:r>
    </w:p>
    <w:p w:rsidR="00B33E47" w:rsidRPr="006D5CAE" w:rsidRDefault="00B33E47" w:rsidP="00B33E47">
      <w:pPr>
        <w:pStyle w:val="ListBullet"/>
        <w:tabs>
          <w:tab w:val="clear" w:pos="360"/>
          <w:tab w:val="num" w:pos="720"/>
        </w:tabs>
        <w:ind w:left="720"/>
        <w:rPr>
          <w:b w:val="0"/>
          <w:sz w:val="22"/>
          <w:u w:val="none"/>
        </w:rPr>
      </w:pPr>
      <w:proofErr w:type="gramStart"/>
      <w:r w:rsidRPr="006D5CAE">
        <w:rPr>
          <w:b w:val="0"/>
          <w:sz w:val="22"/>
          <w:u w:val="none"/>
        </w:rPr>
        <w:t>natural</w:t>
      </w:r>
      <w:proofErr w:type="gramEnd"/>
      <w:r w:rsidRPr="006D5CAE">
        <w:rPr>
          <w:b w:val="0"/>
          <w:sz w:val="22"/>
          <w:u w:val="none"/>
        </w:rPr>
        <w:t xml:space="preserve"> is defined as something good, or socially useful.</w:t>
      </w:r>
    </w:p>
    <w:p w:rsidR="00866109" w:rsidRPr="006D5CAE" w:rsidRDefault="00B33E47" w:rsidP="00B33E47">
      <w:pPr>
        <w:pStyle w:val="ListBullet"/>
        <w:rPr>
          <w:b w:val="0"/>
          <w:sz w:val="22"/>
          <w:u w:val="none"/>
        </w:rPr>
      </w:pPr>
      <w:r w:rsidRPr="006D5CAE">
        <w:rPr>
          <w:b w:val="0"/>
          <w:sz w:val="22"/>
          <w:u w:val="none"/>
        </w:rPr>
        <w:t>Act of God/Third party exception</w:t>
      </w:r>
    </w:p>
    <w:p w:rsidR="004C1459" w:rsidRPr="006D5CAE" w:rsidRDefault="00B33E47" w:rsidP="00334D9E">
      <w:pPr>
        <w:rPr>
          <w:b w:val="0"/>
          <w:sz w:val="22"/>
        </w:rPr>
      </w:pPr>
      <w:r w:rsidRPr="006D5CAE">
        <w:rPr>
          <w:b w:val="0"/>
          <w:sz w:val="22"/>
          <w:highlight w:val="yellow"/>
        </w:rPr>
        <w:t>Read v J Lyons and Co</w:t>
      </w:r>
      <w:r w:rsidR="00A266BF" w:rsidRPr="006D5CAE">
        <w:rPr>
          <w:b w:val="0"/>
          <w:sz w:val="22"/>
          <w:highlight w:val="yellow"/>
        </w:rPr>
        <w:t xml:space="preserve"> (1947 HL)</w:t>
      </w:r>
      <w:r w:rsidRPr="006D5CAE">
        <w:rPr>
          <w:b w:val="0"/>
          <w:sz w:val="22"/>
          <w:highlight w:val="yellow"/>
        </w:rPr>
        <w:t>.</w:t>
      </w:r>
    </w:p>
    <w:p w:rsidR="00A266BF" w:rsidRPr="006D5CAE" w:rsidRDefault="00A266BF" w:rsidP="00334D9E">
      <w:pPr>
        <w:rPr>
          <w:b w:val="0"/>
          <w:sz w:val="22"/>
          <w:u w:val="none"/>
        </w:rPr>
      </w:pPr>
      <w:r w:rsidRPr="006D5CAE">
        <w:rPr>
          <w:b w:val="0"/>
          <w:sz w:val="22"/>
          <w:u w:val="none"/>
        </w:rPr>
        <w:t>Munitions factory case. Was deemed that creation of munitions was a natural use of land. Court expressed doubt as to whether the tort could apply to personal injury (there is Ontario precedence for this though).</w:t>
      </w:r>
    </w:p>
    <w:p w:rsidR="00A266BF" w:rsidRPr="006D5CAE" w:rsidRDefault="00A266BF" w:rsidP="00334D9E">
      <w:pPr>
        <w:rPr>
          <w:b w:val="0"/>
          <w:sz w:val="22"/>
          <w:u w:val="none"/>
        </w:rPr>
      </w:pPr>
      <w:r w:rsidRPr="006D5CAE">
        <w:rPr>
          <w:b w:val="0"/>
          <w:sz w:val="22"/>
          <w:u w:val="none"/>
        </w:rPr>
        <w:t>This case stands for the principle that the damage has to occur on another’s property.</w:t>
      </w:r>
    </w:p>
    <w:p w:rsidR="00A266BF" w:rsidRPr="006D5CAE" w:rsidRDefault="00A266BF" w:rsidP="00334D9E">
      <w:pPr>
        <w:rPr>
          <w:b w:val="0"/>
          <w:sz w:val="22"/>
          <w:u w:val="none"/>
        </w:rPr>
      </w:pPr>
      <w:proofErr w:type="spellStart"/>
      <w:r w:rsidRPr="006D5CAE">
        <w:rPr>
          <w:b w:val="0"/>
          <w:sz w:val="22"/>
          <w:highlight w:val="yellow"/>
        </w:rPr>
        <w:t>Gertsen</w:t>
      </w:r>
      <w:proofErr w:type="spellEnd"/>
      <w:r w:rsidRPr="006D5CAE">
        <w:rPr>
          <w:b w:val="0"/>
          <w:sz w:val="22"/>
          <w:highlight w:val="yellow"/>
        </w:rPr>
        <w:t xml:space="preserve"> v Metropolitan Toronto (Municipality) (1973 </w:t>
      </w:r>
      <w:proofErr w:type="spellStart"/>
      <w:r w:rsidRPr="006D5CAE">
        <w:rPr>
          <w:b w:val="0"/>
          <w:sz w:val="22"/>
          <w:highlight w:val="yellow"/>
        </w:rPr>
        <w:t>Ont</w:t>
      </w:r>
      <w:proofErr w:type="spellEnd"/>
      <w:r w:rsidRPr="006D5CAE">
        <w:rPr>
          <w:b w:val="0"/>
          <w:sz w:val="22"/>
          <w:highlight w:val="yellow"/>
        </w:rPr>
        <w:t xml:space="preserve"> HC)</w:t>
      </w:r>
    </w:p>
    <w:p w:rsidR="00652759" w:rsidRPr="006D5CAE" w:rsidRDefault="00DB58F3" w:rsidP="00334D9E">
      <w:pPr>
        <w:rPr>
          <w:b w:val="0"/>
          <w:sz w:val="22"/>
          <w:u w:val="none"/>
        </w:rPr>
      </w:pPr>
      <w:r w:rsidRPr="006D5CAE">
        <w:rPr>
          <w:b w:val="0"/>
          <w:sz w:val="22"/>
          <w:u w:val="none"/>
        </w:rPr>
        <w:t xml:space="preserve">Court says that in considering natural use one has to look at the context of the surrounding area (similar to nuisance). </w:t>
      </w:r>
    </w:p>
    <w:p w:rsidR="00652759" w:rsidRPr="006D5CAE" w:rsidRDefault="00652759" w:rsidP="00334D9E">
      <w:pPr>
        <w:rPr>
          <w:b w:val="0"/>
          <w:sz w:val="22"/>
          <w:u w:val="none"/>
        </w:rPr>
      </w:pPr>
      <w:r w:rsidRPr="006D5CAE">
        <w:rPr>
          <w:b w:val="0"/>
          <w:sz w:val="22"/>
          <w:u w:val="none"/>
        </w:rPr>
        <w:t xml:space="preserve">No clear determination if this tort exists in Canada, might just be a special case of nuisance. You only need it for the very unlikely situation wherein nuisance can’t do the job. However, the Courts set the bar for nuisance very low finding in one case that an escaped </w:t>
      </w:r>
      <w:proofErr w:type="gramStart"/>
      <w:r w:rsidRPr="006D5CAE">
        <w:rPr>
          <w:b w:val="0"/>
          <w:sz w:val="22"/>
          <w:u w:val="none"/>
        </w:rPr>
        <w:t>race car</w:t>
      </w:r>
      <w:proofErr w:type="gramEnd"/>
      <w:r w:rsidRPr="006D5CAE">
        <w:rPr>
          <w:b w:val="0"/>
          <w:sz w:val="22"/>
          <w:u w:val="none"/>
        </w:rPr>
        <w:t xml:space="preserve"> of a track, injuring someone was a case of nuisance.</w:t>
      </w:r>
    </w:p>
    <w:p w:rsidR="00652759" w:rsidRPr="006D5CAE" w:rsidRDefault="00652759" w:rsidP="00334D9E">
      <w:pPr>
        <w:rPr>
          <w:b w:val="0"/>
          <w:sz w:val="22"/>
          <w:u w:val="none"/>
        </w:rPr>
      </w:pPr>
      <w:r w:rsidRPr="006D5CAE">
        <w:rPr>
          <w:b w:val="0"/>
          <w:sz w:val="22"/>
          <w:u w:val="none"/>
        </w:rPr>
        <w:t xml:space="preserve">Tort has been abolished in Australia, due to </w:t>
      </w:r>
      <w:proofErr w:type="gramStart"/>
      <w:r w:rsidRPr="006D5CAE">
        <w:rPr>
          <w:b w:val="0"/>
          <w:sz w:val="22"/>
          <w:u w:val="none"/>
        </w:rPr>
        <w:t>their</w:t>
      </w:r>
      <w:proofErr w:type="gramEnd"/>
      <w:r w:rsidRPr="006D5CAE">
        <w:rPr>
          <w:b w:val="0"/>
          <w:sz w:val="22"/>
          <w:u w:val="none"/>
        </w:rPr>
        <w:t xml:space="preserve"> understanding that tort requires fault. </w:t>
      </w:r>
    </w:p>
    <w:p w:rsidR="006D411D" w:rsidRPr="006D5CAE" w:rsidRDefault="00652759" w:rsidP="00334D9E">
      <w:pPr>
        <w:rPr>
          <w:b w:val="0"/>
          <w:sz w:val="22"/>
          <w:u w:val="none"/>
        </w:rPr>
      </w:pPr>
      <w:r w:rsidRPr="006D5CAE">
        <w:rPr>
          <w:b w:val="0"/>
          <w:sz w:val="22"/>
          <w:u w:val="none"/>
        </w:rPr>
        <w:t xml:space="preserve">In UK, they added a requirement in </w:t>
      </w:r>
      <w:r w:rsidRPr="006D5CAE">
        <w:rPr>
          <w:b w:val="0"/>
          <w:i/>
          <w:sz w:val="22"/>
          <w:u w:val="none"/>
        </w:rPr>
        <w:t>Cambridge Leathers</w:t>
      </w:r>
      <w:r w:rsidRPr="006D5CAE">
        <w:rPr>
          <w:b w:val="0"/>
          <w:sz w:val="22"/>
          <w:u w:val="none"/>
        </w:rPr>
        <w:t xml:space="preserve"> that the mischief caused was foreseeable.</w:t>
      </w:r>
    </w:p>
    <w:p w:rsidR="001B4DFF" w:rsidRPr="006D5CAE" w:rsidRDefault="006D411D" w:rsidP="001B4DFF">
      <w:pPr>
        <w:pStyle w:val="Heading2"/>
        <w:rPr>
          <w:rFonts w:ascii="Baskerville Old Face" w:hAnsi="Baskerville Old Face"/>
          <w:b/>
          <w:color w:val="auto"/>
        </w:rPr>
      </w:pPr>
      <w:bookmarkStart w:id="35" w:name="_Toc258695637"/>
      <w:r w:rsidRPr="006D5CAE">
        <w:rPr>
          <w:rFonts w:ascii="Baskerville Old Face" w:hAnsi="Baskerville Old Face"/>
          <w:b/>
          <w:color w:val="auto"/>
        </w:rPr>
        <w:t>25.5 Vicarious Liability</w:t>
      </w:r>
      <w:bookmarkEnd w:id="35"/>
    </w:p>
    <w:p w:rsidR="001B4DFF" w:rsidRPr="006D5CAE" w:rsidRDefault="001B4DFF" w:rsidP="001B4DFF">
      <w:pPr>
        <w:rPr>
          <w:sz w:val="22"/>
        </w:rPr>
      </w:pPr>
    </w:p>
    <w:p w:rsidR="001B4DFF" w:rsidRPr="006D5CAE" w:rsidRDefault="001B4DFF" w:rsidP="001B4DFF">
      <w:pPr>
        <w:rPr>
          <w:b w:val="0"/>
          <w:sz w:val="22"/>
          <w:u w:val="none"/>
        </w:rPr>
      </w:pPr>
      <w:r w:rsidRPr="006D5CAE">
        <w:rPr>
          <w:b w:val="0"/>
          <w:sz w:val="22"/>
          <w:u w:val="none"/>
        </w:rPr>
        <w:t>Motor Vehicle owners are vicariously liable for accidents caused by family members who drive their cars, or non-family members who drive their car with their consent (</w:t>
      </w:r>
      <w:r w:rsidRPr="006D5CAE">
        <w:rPr>
          <w:b w:val="0"/>
          <w:i/>
          <w:sz w:val="22"/>
          <w:u w:val="none"/>
        </w:rPr>
        <w:t>Motor Vehicle Act</w:t>
      </w:r>
      <w:r w:rsidRPr="006D5CAE">
        <w:rPr>
          <w:b w:val="0"/>
          <w:sz w:val="22"/>
          <w:u w:val="none"/>
        </w:rPr>
        <w:t>).</w:t>
      </w:r>
    </w:p>
    <w:p w:rsidR="001B4DFF" w:rsidRPr="006D5CAE" w:rsidRDefault="001B4DFF" w:rsidP="001B4DFF">
      <w:pPr>
        <w:rPr>
          <w:b w:val="0"/>
          <w:sz w:val="22"/>
          <w:u w:val="none"/>
        </w:rPr>
      </w:pPr>
      <w:r w:rsidRPr="006D5CAE">
        <w:rPr>
          <w:b w:val="0"/>
          <w:sz w:val="22"/>
          <w:u w:val="none"/>
        </w:rPr>
        <w:t>Parents generally are not vicariously liable for their children’s torts except in a limited case of property damage (Parental Responsibility Act section 3).</w:t>
      </w:r>
    </w:p>
    <w:p w:rsidR="001B4DFF" w:rsidRPr="006D5CAE" w:rsidRDefault="001B4DFF" w:rsidP="001B4DFF">
      <w:pPr>
        <w:rPr>
          <w:b w:val="0"/>
          <w:sz w:val="22"/>
          <w:u w:val="none"/>
        </w:rPr>
      </w:pPr>
      <w:proofErr w:type="spellStart"/>
      <w:r w:rsidRPr="006D5CAE">
        <w:rPr>
          <w:b w:val="0"/>
          <w:sz w:val="22"/>
          <w:highlight w:val="yellow"/>
        </w:rPr>
        <w:t>Bazley</w:t>
      </w:r>
      <w:proofErr w:type="spellEnd"/>
      <w:r w:rsidRPr="006D5CAE">
        <w:rPr>
          <w:b w:val="0"/>
          <w:sz w:val="22"/>
          <w:highlight w:val="yellow"/>
        </w:rPr>
        <w:t xml:space="preserve"> v Curry (1999 SCC)</w:t>
      </w:r>
    </w:p>
    <w:p w:rsidR="00D60852" w:rsidRPr="006D5CAE" w:rsidRDefault="001B4DFF" w:rsidP="001B4DFF">
      <w:pPr>
        <w:rPr>
          <w:b w:val="0"/>
          <w:sz w:val="22"/>
          <w:u w:val="none"/>
        </w:rPr>
      </w:pPr>
      <w:r w:rsidRPr="006D5CAE">
        <w:rPr>
          <w:b w:val="0"/>
          <w:sz w:val="22"/>
          <w:u w:val="none"/>
        </w:rPr>
        <w:t xml:space="preserve">Legislation absolves many public sector employees from liability in negligence for good faith performance of their duties, but the public body that employed them is still liable (Local Government Act; Police Act). </w:t>
      </w:r>
    </w:p>
    <w:p w:rsidR="00D60852" w:rsidRPr="006D5CAE" w:rsidRDefault="00D60852" w:rsidP="001B4DFF">
      <w:pPr>
        <w:rPr>
          <w:b w:val="0"/>
          <w:sz w:val="22"/>
          <w:u w:val="none"/>
        </w:rPr>
      </w:pPr>
      <w:r w:rsidRPr="006D5CAE">
        <w:rPr>
          <w:b w:val="0"/>
          <w:sz w:val="22"/>
          <w:u w:val="none"/>
        </w:rPr>
        <w:t xml:space="preserve">Common law did not protect employees, but generally employees were not liable to their employers for their negligence on the job (except where liability stemmed for contract). </w:t>
      </w:r>
    </w:p>
    <w:p w:rsidR="00631E02" w:rsidRPr="006D5CAE" w:rsidRDefault="00D60852" w:rsidP="001B4DFF">
      <w:pPr>
        <w:rPr>
          <w:sz w:val="22"/>
          <w:u w:val="none"/>
        </w:rPr>
      </w:pPr>
      <w:r w:rsidRPr="006D5CAE">
        <w:rPr>
          <w:b w:val="0"/>
          <w:sz w:val="22"/>
          <w:u w:val="none"/>
        </w:rPr>
        <w:t xml:space="preserve">In this case (sexual assault, care facility) the employer was found vicariously liable because </w:t>
      </w:r>
      <w:r w:rsidRPr="006D5CAE">
        <w:rPr>
          <w:i/>
          <w:color w:val="800000"/>
          <w:sz w:val="22"/>
          <w:u w:val="none"/>
        </w:rPr>
        <w:t>their enterprise created and fostered the risk leading to the harm</w:t>
      </w:r>
      <w:r w:rsidRPr="006D5CAE">
        <w:rPr>
          <w:sz w:val="22"/>
          <w:u w:val="none"/>
        </w:rPr>
        <w:t xml:space="preserve">. </w:t>
      </w:r>
    </w:p>
    <w:p w:rsidR="00F96BCB" w:rsidRPr="006D5CAE" w:rsidRDefault="00F96BCB" w:rsidP="001B4DFF">
      <w:pPr>
        <w:rPr>
          <w:b w:val="0"/>
          <w:sz w:val="22"/>
          <w:u w:val="none"/>
        </w:rPr>
      </w:pPr>
      <w:r w:rsidRPr="006D5CAE">
        <w:rPr>
          <w:b w:val="0"/>
          <w:sz w:val="22"/>
          <w:u w:val="none"/>
        </w:rPr>
        <w:t>The test is one of “</w:t>
      </w:r>
      <w:r w:rsidRPr="006D5CAE">
        <w:rPr>
          <w:sz w:val="22"/>
          <w:u w:val="none"/>
        </w:rPr>
        <w:t>significant connection</w:t>
      </w:r>
      <w:r w:rsidRPr="006D5CAE">
        <w:rPr>
          <w:b w:val="0"/>
          <w:sz w:val="22"/>
          <w:u w:val="none"/>
        </w:rPr>
        <w:t>” between the employer’s enterprise and the risk</w:t>
      </w:r>
      <w:r w:rsidR="00D72D1D" w:rsidRPr="006D5CAE">
        <w:rPr>
          <w:b w:val="0"/>
          <w:sz w:val="22"/>
          <w:u w:val="none"/>
        </w:rPr>
        <w:t>,</w:t>
      </w:r>
      <w:r w:rsidRPr="006D5CAE">
        <w:rPr>
          <w:b w:val="0"/>
          <w:sz w:val="22"/>
          <w:u w:val="none"/>
        </w:rPr>
        <w:t xml:space="preserve"> which led to the harm. </w:t>
      </w:r>
    </w:p>
    <w:p w:rsidR="00F96BCB" w:rsidRPr="006D5CAE" w:rsidRDefault="00F96BCB" w:rsidP="001B4DFF">
      <w:pPr>
        <w:rPr>
          <w:b w:val="0"/>
          <w:sz w:val="22"/>
          <w:u w:val="none"/>
        </w:rPr>
      </w:pPr>
      <w:r w:rsidRPr="006D5CAE">
        <w:rPr>
          <w:b w:val="0"/>
          <w:sz w:val="22"/>
          <w:u w:val="none"/>
        </w:rPr>
        <w:t>Factors to consider:</w:t>
      </w:r>
    </w:p>
    <w:p w:rsidR="00F96BCB" w:rsidRPr="006D5CAE" w:rsidRDefault="00F96BCB" w:rsidP="001B4DFF">
      <w:pPr>
        <w:rPr>
          <w:sz w:val="22"/>
          <w:u w:val="none"/>
        </w:rPr>
      </w:pPr>
      <w:r w:rsidRPr="006D5CAE">
        <w:rPr>
          <w:rFonts w:ascii="Lucida Sans Unicode" w:hAnsi="Lucida Sans Unicode" w:cs="Lucida Sans Unicode"/>
          <w:sz w:val="22"/>
          <w:u w:val="none"/>
        </w:rPr>
        <w:t>⇒</w:t>
      </w:r>
      <w:r w:rsidRPr="006D5CAE">
        <w:rPr>
          <w:sz w:val="22"/>
          <w:u w:val="none"/>
        </w:rPr>
        <w:t> a. Opportunity afforded by the enterprise to the employee to abuse power</w:t>
      </w:r>
      <w:r w:rsidRPr="006D5CAE">
        <w:rPr>
          <w:sz w:val="22"/>
          <w:u w:val="none"/>
        </w:rPr>
        <w:br/>
      </w:r>
      <w:r w:rsidRPr="006D5CAE">
        <w:rPr>
          <w:rFonts w:ascii="Lucida Sans Unicode" w:hAnsi="Lucida Sans Unicode" w:cs="Lucida Sans Unicode"/>
          <w:sz w:val="22"/>
          <w:u w:val="none"/>
        </w:rPr>
        <w:t>⇒</w:t>
      </w:r>
      <w:r w:rsidRPr="006D5CAE">
        <w:rPr>
          <w:sz w:val="22"/>
          <w:u w:val="none"/>
        </w:rPr>
        <w:t> b. Extent to which wrongful act furthered employer’s aim</w:t>
      </w:r>
      <w:r w:rsidRPr="006D5CAE">
        <w:rPr>
          <w:sz w:val="22"/>
          <w:u w:val="none"/>
        </w:rPr>
        <w:br/>
      </w:r>
      <w:r w:rsidRPr="006D5CAE">
        <w:rPr>
          <w:rFonts w:ascii="Lucida Sans Unicode" w:hAnsi="Lucida Sans Unicode" w:cs="Lucida Sans Unicode"/>
          <w:sz w:val="22"/>
          <w:u w:val="none"/>
        </w:rPr>
        <w:t>⇒</w:t>
      </w:r>
      <w:r w:rsidRPr="006D5CAE">
        <w:rPr>
          <w:sz w:val="22"/>
          <w:u w:val="none"/>
        </w:rPr>
        <w:t> c. Extent to which wrongful act was related to an employer friction</w:t>
      </w:r>
      <w:r w:rsidRPr="006D5CAE">
        <w:rPr>
          <w:sz w:val="22"/>
          <w:u w:val="none"/>
        </w:rPr>
        <w:br/>
      </w:r>
      <w:r w:rsidRPr="006D5CAE">
        <w:rPr>
          <w:rFonts w:ascii="Lucida Sans Unicode" w:hAnsi="Lucida Sans Unicode" w:cs="Lucida Sans Unicode"/>
          <w:sz w:val="22"/>
          <w:u w:val="none"/>
        </w:rPr>
        <w:t>⇒</w:t>
      </w:r>
      <w:r w:rsidRPr="006D5CAE">
        <w:rPr>
          <w:sz w:val="22"/>
          <w:u w:val="none"/>
        </w:rPr>
        <w:t> d. Power relationship between employee and victim</w:t>
      </w:r>
      <w:r w:rsidRPr="006D5CAE">
        <w:rPr>
          <w:sz w:val="22"/>
          <w:u w:val="none"/>
        </w:rPr>
        <w:br/>
      </w:r>
      <w:r w:rsidRPr="006D5CAE">
        <w:rPr>
          <w:rFonts w:ascii="Lucida Sans Unicode" w:hAnsi="Lucida Sans Unicode" w:cs="Lucida Sans Unicode"/>
          <w:sz w:val="22"/>
          <w:u w:val="none"/>
        </w:rPr>
        <w:t>⇒</w:t>
      </w:r>
      <w:r w:rsidRPr="006D5CAE">
        <w:rPr>
          <w:sz w:val="22"/>
          <w:u w:val="none"/>
        </w:rPr>
        <w:t> e. Vulnerability of potential victims to wrongful exercise of power</w:t>
      </w:r>
    </w:p>
    <w:p w:rsidR="00F96BCB" w:rsidRPr="006D5CAE" w:rsidRDefault="00F96BCB" w:rsidP="001B4DFF">
      <w:pPr>
        <w:rPr>
          <w:b w:val="0"/>
          <w:sz w:val="22"/>
          <w:u w:val="none"/>
        </w:rPr>
      </w:pPr>
      <w:proofErr w:type="gramStart"/>
      <w:r w:rsidRPr="006D5CAE">
        <w:rPr>
          <w:b w:val="0"/>
          <w:sz w:val="22"/>
          <w:highlight w:val="yellow"/>
        </w:rPr>
        <w:t xml:space="preserve">671122 Ontario Ltd v </w:t>
      </w:r>
      <w:proofErr w:type="spellStart"/>
      <w:r w:rsidRPr="006D5CAE">
        <w:rPr>
          <w:b w:val="0"/>
          <w:sz w:val="22"/>
          <w:highlight w:val="yellow"/>
        </w:rPr>
        <w:t>Sagaz</w:t>
      </w:r>
      <w:proofErr w:type="spellEnd"/>
      <w:r w:rsidRPr="006D5CAE">
        <w:rPr>
          <w:b w:val="0"/>
          <w:sz w:val="22"/>
          <w:highlight w:val="yellow"/>
        </w:rPr>
        <w:t xml:space="preserve"> Industries Canada Inc (2001 SCC)</w:t>
      </w:r>
      <w:proofErr w:type="gramEnd"/>
    </w:p>
    <w:p w:rsidR="00F96BCB" w:rsidRPr="006D5CAE" w:rsidRDefault="00F96BCB" w:rsidP="001B4DFF">
      <w:pPr>
        <w:rPr>
          <w:b w:val="0"/>
          <w:sz w:val="22"/>
          <w:u w:val="none"/>
        </w:rPr>
      </w:pPr>
      <w:r w:rsidRPr="006D5CAE">
        <w:rPr>
          <w:b w:val="0"/>
          <w:sz w:val="22"/>
          <w:u w:val="none"/>
        </w:rPr>
        <w:t xml:space="preserve">Vicarious liability case but the issue was whether the </w:t>
      </w:r>
      <w:proofErr w:type="spellStart"/>
      <w:r w:rsidRPr="006D5CAE">
        <w:rPr>
          <w:b w:val="0"/>
          <w:sz w:val="22"/>
          <w:u w:val="none"/>
        </w:rPr>
        <w:t>tortfeasor</w:t>
      </w:r>
      <w:proofErr w:type="spellEnd"/>
      <w:r w:rsidRPr="006D5CAE">
        <w:rPr>
          <w:b w:val="0"/>
          <w:sz w:val="22"/>
          <w:u w:val="none"/>
        </w:rPr>
        <w:t xml:space="preserve"> was an employee of the company. The fact that it was within the scope of employment was clear. </w:t>
      </w:r>
    </w:p>
    <w:p w:rsidR="00F96BCB" w:rsidRPr="006D5CAE" w:rsidRDefault="00F96BCB" w:rsidP="001B4DFF">
      <w:pPr>
        <w:rPr>
          <w:b w:val="0"/>
          <w:sz w:val="22"/>
          <w:u w:val="none"/>
        </w:rPr>
      </w:pPr>
      <w:r w:rsidRPr="006D5CAE">
        <w:rPr>
          <w:b w:val="0"/>
          <w:sz w:val="22"/>
          <w:u w:val="none"/>
        </w:rPr>
        <w:t xml:space="preserve">Court ruled that generally independent contractors do not make their employers vicariously liable. The issue is whether the alleged employee is </w:t>
      </w:r>
      <w:r w:rsidRPr="006D5CAE">
        <w:rPr>
          <w:color w:val="800000"/>
          <w:sz w:val="22"/>
          <w:u w:val="none"/>
        </w:rPr>
        <w:t xml:space="preserve">acting on their own account: </w:t>
      </w:r>
      <w:r w:rsidRPr="006D5CAE">
        <w:rPr>
          <w:b w:val="0"/>
          <w:sz w:val="22"/>
          <w:u w:val="none"/>
        </w:rPr>
        <w:t>whether the employee provides their own equipment, hires its own workers, has an opportunity for profit and has autonomy.</w:t>
      </w:r>
    </w:p>
    <w:p w:rsidR="00D72D1D" w:rsidRPr="006D5CAE" w:rsidRDefault="00F96BCB" w:rsidP="001B4DFF">
      <w:pPr>
        <w:rPr>
          <w:b w:val="0"/>
          <w:sz w:val="22"/>
          <w:u w:val="none"/>
        </w:rPr>
      </w:pPr>
      <w:r w:rsidRPr="006D5CAE">
        <w:rPr>
          <w:b w:val="0"/>
          <w:sz w:val="22"/>
          <w:u w:val="none"/>
        </w:rPr>
        <w:t xml:space="preserve">It also raised the “non-delegable” aspect of vicarious liability, which deems that the </w:t>
      </w:r>
      <w:proofErr w:type="gramStart"/>
      <w:r w:rsidRPr="006D5CAE">
        <w:rPr>
          <w:b w:val="0"/>
          <w:sz w:val="22"/>
          <w:u w:val="none"/>
        </w:rPr>
        <w:t>liability for certain duties are</w:t>
      </w:r>
      <w:proofErr w:type="gramEnd"/>
      <w:r w:rsidRPr="006D5CAE">
        <w:rPr>
          <w:b w:val="0"/>
          <w:sz w:val="22"/>
          <w:u w:val="none"/>
        </w:rPr>
        <w:t xml:space="preserve"> not allowed to be passed to employees or private parties (like Statutory duties).  </w:t>
      </w:r>
    </w:p>
    <w:p w:rsidR="00B810C6" w:rsidRPr="006D5CAE" w:rsidRDefault="00B810C6" w:rsidP="00B810C6">
      <w:pPr>
        <w:pStyle w:val="Heading1"/>
        <w:rPr>
          <w:rFonts w:ascii="Baskerville" w:hAnsi="Baskerville"/>
          <w:b/>
          <w:color w:val="auto"/>
        </w:rPr>
      </w:pPr>
      <w:bookmarkStart w:id="36" w:name="_Toc258695638"/>
      <w:r w:rsidRPr="006D5CAE">
        <w:rPr>
          <w:rFonts w:ascii="Baskerville" w:hAnsi="Baskerville"/>
          <w:b/>
          <w:color w:val="auto"/>
        </w:rPr>
        <w:t>CHAPTER XXV</w:t>
      </w:r>
      <w:r w:rsidR="00761EF1" w:rsidRPr="006D5CAE">
        <w:rPr>
          <w:rFonts w:ascii="Baskerville" w:hAnsi="Baskerville"/>
          <w:b/>
          <w:color w:val="auto"/>
        </w:rPr>
        <w:t>II</w:t>
      </w:r>
      <w:r w:rsidRPr="006D5CAE">
        <w:rPr>
          <w:rFonts w:ascii="Baskerville" w:hAnsi="Baskerville"/>
          <w:b/>
          <w:color w:val="auto"/>
        </w:rPr>
        <w:t xml:space="preserve"> — DEFAMATION</w:t>
      </w:r>
      <w:bookmarkEnd w:id="36"/>
      <w:r w:rsidRPr="006D5CAE">
        <w:rPr>
          <w:rFonts w:ascii="Baskerville" w:hAnsi="Baskerville"/>
          <w:b/>
          <w:color w:val="auto"/>
        </w:rPr>
        <w:t xml:space="preserve"> </w:t>
      </w:r>
    </w:p>
    <w:p w:rsidR="00761EF1" w:rsidRPr="006D5CAE" w:rsidRDefault="00761EF1" w:rsidP="001B4DFF">
      <w:pPr>
        <w:rPr>
          <w:b w:val="0"/>
          <w:sz w:val="22"/>
          <w:u w:val="none"/>
        </w:rPr>
      </w:pPr>
    </w:p>
    <w:p w:rsidR="001B76DE" w:rsidRPr="006D5CAE" w:rsidRDefault="00761EF1" w:rsidP="001B4DFF">
      <w:pPr>
        <w:rPr>
          <w:b w:val="0"/>
          <w:sz w:val="22"/>
          <w:u w:val="none"/>
        </w:rPr>
      </w:pPr>
      <w:r w:rsidRPr="006D5CAE">
        <w:rPr>
          <w:b w:val="0"/>
          <w:sz w:val="22"/>
          <w:u w:val="none"/>
        </w:rPr>
        <w:t xml:space="preserve">Common law historically distinguished between </w:t>
      </w:r>
      <w:r w:rsidR="001B76DE" w:rsidRPr="006D5CAE">
        <w:rPr>
          <w:i/>
          <w:color w:val="800000"/>
          <w:sz w:val="22"/>
          <w:u w:val="none"/>
        </w:rPr>
        <w:t>libe</w:t>
      </w:r>
      <w:r w:rsidR="001B76DE" w:rsidRPr="006D5CAE">
        <w:rPr>
          <w:i/>
          <w:sz w:val="22"/>
          <w:u w:val="none"/>
        </w:rPr>
        <w:t>l</w:t>
      </w:r>
      <w:r w:rsidR="001B76DE" w:rsidRPr="006D5CAE">
        <w:rPr>
          <w:sz w:val="22"/>
          <w:u w:val="none"/>
        </w:rPr>
        <w:t xml:space="preserve"> </w:t>
      </w:r>
      <w:r w:rsidR="001B76DE" w:rsidRPr="006D5CAE">
        <w:rPr>
          <w:b w:val="0"/>
          <w:sz w:val="22"/>
          <w:u w:val="none"/>
        </w:rPr>
        <w:t xml:space="preserve">and </w:t>
      </w:r>
      <w:r w:rsidR="001B76DE" w:rsidRPr="006D5CAE">
        <w:rPr>
          <w:i/>
          <w:color w:val="800000"/>
          <w:sz w:val="22"/>
          <w:u w:val="none"/>
        </w:rPr>
        <w:t>slander</w:t>
      </w:r>
      <w:r w:rsidR="001B76DE" w:rsidRPr="006D5CAE">
        <w:rPr>
          <w:b w:val="0"/>
          <w:color w:val="800000"/>
          <w:sz w:val="22"/>
          <w:u w:val="none"/>
        </w:rPr>
        <w:t>.</w:t>
      </w:r>
      <w:r w:rsidR="001B76DE" w:rsidRPr="006D5CAE">
        <w:rPr>
          <w:b w:val="0"/>
          <w:sz w:val="22"/>
          <w:u w:val="none"/>
        </w:rPr>
        <w:t xml:space="preserve"> Libel was written defamation, and includes Broadcasts (Libel and Slander Act). Slander is spoken defamation. The only relevant difference is that since slander is “transitory” it requires </w:t>
      </w:r>
      <w:r w:rsidR="001B76DE" w:rsidRPr="006D5CAE">
        <w:rPr>
          <w:b w:val="0"/>
          <w:color w:val="800000"/>
          <w:sz w:val="22"/>
          <w:u w:val="none"/>
        </w:rPr>
        <w:t>proof of special damages</w:t>
      </w:r>
      <w:r w:rsidR="001B76DE" w:rsidRPr="006D5CAE">
        <w:rPr>
          <w:b w:val="0"/>
          <w:sz w:val="22"/>
          <w:u w:val="none"/>
        </w:rPr>
        <w:t xml:space="preserve"> unless it falls into one of the four excepted categories: commissions of a crime, a loathsome disease, a lack of chastity (women only), and being unfit to practice your profession.</w:t>
      </w:r>
    </w:p>
    <w:p w:rsidR="00B810C6" w:rsidRPr="006D5CAE" w:rsidRDefault="001B76DE" w:rsidP="001B76DE">
      <w:pPr>
        <w:pStyle w:val="Heading2"/>
        <w:rPr>
          <w:rFonts w:ascii="Baskerville Old Face" w:hAnsi="Baskerville Old Face"/>
          <w:b/>
          <w:color w:val="auto"/>
        </w:rPr>
      </w:pPr>
      <w:bookmarkStart w:id="37" w:name="_Toc258695639"/>
      <w:r w:rsidRPr="006D5CAE">
        <w:rPr>
          <w:rFonts w:ascii="Baskerville Old Face" w:hAnsi="Baskerville Old Face"/>
          <w:b/>
          <w:color w:val="auto"/>
        </w:rPr>
        <w:t>27.2: Elements of a defamation action.</w:t>
      </w:r>
      <w:bookmarkEnd w:id="37"/>
    </w:p>
    <w:p w:rsidR="001B76DE" w:rsidRPr="006D5CAE" w:rsidRDefault="001B76DE" w:rsidP="001B76DE">
      <w:pPr>
        <w:rPr>
          <w:b w:val="0"/>
          <w:sz w:val="22"/>
          <w:u w:val="none"/>
        </w:rPr>
      </w:pPr>
      <w:r w:rsidRPr="006D5CAE">
        <w:rPr>
          <w:b w:val="0"/>
          <w:sz w:val="22"/>
          <w:u w:val="none"/>
        </w:rPr>
        <w:t>Elements:</w:t>
      </w:r>
    </w:p>
    <w:p w:rsidR="001B76DE" w:rsidRPr="006D5CAE" w:rsidRDefault="001B76DE" w:rsidP="001B76DE">
      <w:pPr>
        <w:pStyle w:val="ListParagraph"/>
        <w:numPr>
          <w:ilvl w:val="0"/>
          <w:numId w:val="24"/>
        </w:numPr>
        <w:rPr>
          <w:b w:val="0"/>
          <w:sz w:val="22"/>
          <w:u w:val="none"/>
        </w:rPr>
      </w:pPr>
      <w:proofErr w:type="gramStart"/>
      <w:r w:rsidRPr="006D5CAE">
        <w:rPr>
          <w:b w:val="0"/>
          <w:sz w:val="22"/>
          <w:u w:val="none"/>
        </w:rPr>
        <w:t>statement</w:t>
      </w:r>
      <w:proofErr w:type="gramEnd"/>
      <w:r w:rsidRPr="006D5CAE">
        <w:rPr>
          <w:b w:val="0"/>
          <w:sz w:val="22"/>
          <w:u w:val="none"/>
        </w:rPr>
        <w:t xml:space="preserve"> was defamatory</w:t>
      </w:r>
    </w:p>
    <w:p w:rsidR="001B76DE" w:rsidRPr="006D5CAE" w:rsidRDefault="001B76DE" w:rsidP="001B76DE">
      <w:pPr>
        <w:pStyle w:val="ListParagraph"/>
        <w:numPr>
          <w:ilvl w:val="0"/>
          <w:numId w:val="24"/>
        </w:numPr>
        <w:rPr>
          <w:b w:val="0"/>
          <w:sz w:val="22"/>
          <w:u w:val="none"/>
        </w:rPr>
      </w:pPr>
      <w:proofErr w:type="gramStart"/>
      <w:r w:rsidRPr="006D5CAE">
        <w:rPr>
          <w:b w:val="0"/>
          <w:sz w:val="22"/>
          <w:u w:val="none"/>
        </w:rPr>
        <w:t>made</w:t>
      </w:r>
      <w:proofErr w:type="gramEnd"/>
      <w:r w:rsidRPr="006D5CAE">
        <w:rPr>
          <w:b w:val="0"/>
          <w:sz w:val="22"/>
          <w:u w:val="none"/>
        </w:rPr>
        <w:t xml:space="preserve"> reference to the plaintiff</w:t>
      </w:r>
    </w:p>
    <w:p w:rsidR="00A60F51" w:rsidRPr="006D5CAE" w:rsidRDefault="001B76DE" w:rsidP="001B76DE">
      <w:pPr>
        <w:pStyle w:val="ListParagraph"/>
        <w:numPr>
          <w:ilvl w:val="0"/>
          <w:numId w:val="24"/>
        </w:numPr>
        <w:rPr>
          <w:b w:val="0"/>
          <w:sz w:val="22"/>
          <w:u w:val="none"/>
        </w:rPr>
      </w:pPr>
      <w:proofErr w:type="gramStart"/>
      <w:r w:rsidRPr="006D5CAE">
        <w:rPr>
          <w:b w:val="0"/>
          <w:sz w:val="22"/>
          <w:u w:val="none"/>
        </w:rPr>
        <w:t>were</w:t>
      </w:r>
      <w:proofErr w:type="gramEnd"/>
      <w:r w:rsidRPr="006D5CAE">
        <w:rPr>
          <w:b w:val="0"/>
          <w:sz w:val="22"/>
          <w:u w:val="none"/>
        </w:rPr>
        <w:t xml:space="preserve"> published or disseminated</w:t>
      </w:r>
      <w:r w:rsidR="00B33C44" w:rsidRPr="006D5CAE">
        <w:rPr>
          <w:b w:val="0"/>
          <w:sz w:val="22"/>
          <w:u w:val="none"/>
        </w:rPr>
        <w:t xml:space="preserve"> [words have to be communicated to someone other than the plaintiff, the third party has to understand them, and every subsequent reiteration of the statement is a new count of defamation]</w:t>
      </w:r>
    </w:p>
    <w:p w:rsidR="00A60F51" w:rsidRPr="006D5CAE" w:rsidRDefault="00A60F51" w:rsidP="00A60F51">
      <w:pPr>
        <w:rPr>
          <w:b w:val="0"/>
          <w:sz w:val="22"/>
          <w:u w:val="none"/>
        </w:rPr>
      </w:pPr>
      <w:proofErr w:type="spellStart"/>
      <w:r w:rsidRPr="006D5CAE">
        <w:rPr>
          <w:b w:val="0"/>
          <w:sz w:val="22"/>
          <w:highlight w:val="yellow"/>
        </w:rPr>
        <w:t>Sim</w:t>
      </w:r>
      <w:proofErr w:type="spellEnd"/>
      <w:r w:rsidRPr="006D5CAE">
        <w:rPr>
          <w:b w:val="0"/>
          <w:sz w:val="22"/>
          <w:highlight w:val="yellow"/>
        </w:rPr>
        <w:t xml:space="preserve"> v Stretch (1936 HL)</w:t>
      </w:r>
      <w:r w:rsidRPr="006D5CAE">
        <w:rPr>
          <w:b w:val="0"/>
          <w:sz w:val="22"/>
          <w:u w:val="none"/>
        </w:rPr>
        <w:t xml:space="preserve"> [defamatory meaning]</w:t>
      </w:r>
    </w:p>
    <w:p w:rsidR="00A60F51" w:rsidRPr="006D5CAE" w:rsidRDefault="00A60F51" w:rsidP="00A60F51">
      <w:pPr>
        <w:rPr>
          <w:b w:val="0"/>
          <w:sz w:val="22"/>
          <w:u w:val="none"/>
        </w:rPr>
      </w:pPr>
      <w:r w:rsidRPr="006D5CAE">
        <w:rPr>
          <w:b w:val="0"/>
          <w:sz w:val="22"/>
          <w:u w:val="none"/>
        </w:rPr>
        <w:t xml:space="preserve">The test for whether words are defamatory is </w:t>
      </w:r>
      <w:r w:rsidRPr="006D5CAE">
        <w:rPr>
          <w:i/>
          <w:color w:val="800000"/>
          <w:sz w:val="22"/>
          <w:u w:val="none"/>
        </w:rPr>
        <w:t xml:space="preserve">whether the words would tend to lower the plaintiff in the estimation of right-thinking members of society </w:t>
      </w:r>
      <w:proofErr w:type="spellStart"/>
      <w:r w:rsidRPr="006D5CAE">
        <w:rPr>
          <w:i/>
          <w:color w:val="800000"/>
          <w:sz w:val="22"/>
          <w:u w:val="none"/>
        </w:rPr>
        <w:t>generally</w:t>
      </w:r>
      <w:proofErr w:type="spellEnd"/>
      <w:r w:rsidRPr="006D5CAE">
        <w:rPr>
          <w:i/>
          <w:sz w:val="22"/>
          <w:u w:val="none"/>
        </w:rPr>
        <w:t>.</w:t>
      </w:r>
      <w:r w:rsidR="00682486" w:rsidRPr="006D5CAE">
        <w:rPr>
          <w:b w:val="0"/>
          <w:sz w:val="22"/>
          <w:u w:val="none"/>
        </w:rPr>
        <w:t xml:space="preserve"> This involves both a question of fact to be decided by the judge (are the words capable of carrying defamatory meaning) and a question of fact for the jury (would the words tend to lower the plaintiff in the estimation of ordinary people)</w:t>
      </w:r>
    </w:p>
    <w:p w:rsidR="00A60F51" w:rsidRPr="006D5CAE" w:rsidRDefault="00A60F51" w:rsidP="00A60F51">
      <w:pPr>
        <w:rPr>
          <w:b w:val="0"/>
          <w:sz w:val="22"/>
          <w:u w:val="none"/>
        </w:rPr>
      </w:pPr>
      <w:r w:rsidRPr="006D5CAE">
        <w:rPr>
          <w:b w:val="0"/>
          <w:sz w:val="22"/>
          <w:u w:val="none"/>
        </w:rPr>
        <w:t xml:space="preserve">Where there are a number of reasonable good or neutral interpretations it is unreasonable to seize upon a bad one. </w:t>
      </w:r>
    </w:p>
    <w:p w:rsidR="00A60F51" w:rsidRPr="006D5CAE" w:rsidRDefault="00A60F51" w:rsidP="00A60F51">
      <w:pPr>
        <w:rPr>
          <w:b w:val="0"/>
          <w:sz w:val="22"/>
          <w:u w:val="none"/>
        </w:rPr>
      </w:pPr>
      <w:proofErr w:type="spellStart"/>
      <w:r w:rsidRPr="006D5CAE">
        <w:rPr>
          <w:b w:val="0"/>
          <w:sz w:val="22"/>
          <w:highlight w:val="yellow"/>
        </w:rPr>
        <w:t>Knupfer</w:t>
      </w:r>
      <w:proofErr w:type="spellEnd"/>
      <w:r w:rsidRPr="006D5CAE">
        <w:rPr>
          <w:b w:val="0"/>
          <w:sz w:val="22"/>
          <w:highlight w:val="yellow"/>
        </w:rPr>
        <w:t xml:space="preserve"> v London Express Newspaper Ltd (1944 HL)</w:t>
      </w:r>
      <w:r w:rsidRPr="006D5CAE">
        <w:rPr>
          <w:b w:val="0"/>
          <w:sz w:val="22"/>
          <w:u w:val="none"/>
        </w:rPr>
        <w:t xml:space="preserve"> [reference to plaintiff]</w:t>
      </w:r>
    </w:p>
    <w:p w:rsidR="00682486" w:rsidRPr="006D5CAE" w:rsidRDefault="00682486" w:rsidP="00A60F51">
      <w:pPr>
        <w:rPr>
          <w:b w:val="0"/>
          <w:sz w:val="22"/>
          <w:u w:val="none"/>
        </w:rPr>
      </w:pPr>
      <w:r w:rsidRPr="006D5CAE">
        <w:rPr>
          <w:b w:val="0"/>
          <w:sz w:val="22"/>
          <w:u w:val="none"/>
        </w:rPr>
        <w:t>Whether the words make reference to the plaintiff also is a question of law (whether the words are capable of referring to the plaintiff), and a question of fact (do the words, as the people who saw or heard them – or a significant portion of those people – refer to the plaintiff)</w:t>
      </w:r>
    </w:p>
    <w:p w:rsidR="00682486" w:rsidRPr="006D5CAE" w:rsidRDefault="00682486" w:rsidP="00A60F51">
      <w:pPr>
        <w:rPr>
          <w:b w:val="0"/>
          <w:sz w:val="22"/>
          <w:u w:val="none"/>
        </w:rPr>
      </w:pPr>
      <w:r w:rsidRPr="006D5CAE">
        <w:rPr>
          <w:b w:val="0"/>
          <w:sz w:val="22"/>
          <w:u w:val="none"/>
        </w:rPr>
        <w:t>There is a statutory tort against promoting hatred or contempt against a group (Civil Rights Protection Act)</w:t>
      </w:r>
    </w:p>
    <w:p w:rsidR="001B76DE" w:rsidRPr="006D5CAE" w:rsidRDefault="00AA21F6" w:rsidP="00AA21F6">
      <w:pPr>
        <w:pStyle w:val="Heading2"/>
        <w:rPr>
          <w:rFonts w:ascii="Baskerville Old Face" w:hAnsi="Baskerville Old Face"/>
          <w:b/>
          <w:color w:val="auto"/>
        </w:rPr>
      </w:pPr>
      <w:bookmarkStart w:id="38" w:name="_Toc258695640"/>
      <w:r w:rsidRPr="006D5CAE">
        <w:rPr>
          <w:rFonts w:ascii="Baskerville Old Face" w:hAnsi="Baskerville Old Face"/>
          <w:b/>
          <w:color w:val="auto"/>
        </w:rPr>
        <w:t xml:space="preserve">27.3: </w:t>
      </w:r>
      <w:proofErr w:type="spellStart"/>
      <w:r w:rsidRPr="006D5CAE">
        <w:rPr>
          <w:rFonts w:ascii="Baskerville Old Face" w:hAnsi="Baskerville Old Face"/>
          <w:b/>
          <w:color w:val="auto"/>
        </w:rPr>
        <w:t>Defences</w:t>
      </w:r>
      <w:proofErr w:type="spellEnd"/>
      <w:r w:rsidRPr="006D5CAE">
        <w:rPr>
          <w:rFonts w:ascii="Baskerville Old Face" w:hAnsi="Baskerville Old Face"/>
          <w:b/>
          <w:color w:val="auto"/>
        </w:rPr>
        <w:t xml:space="preserve"> to Defamation</w:t>
      </w:r>
      <w:bookmarkEnd w:id="38"/>
    </w:p>
    <w:p w:rsidR="00AA21F6" w:rsidRPr="006D5CAE" w:rsidRDefault="00AA21F6" w:rsidP="001B4DFF">
      <w:pPr>
        <w:rPr>
          <w:b w:val="0"/>
          <w:sz w:val="22"/>
        </w:rPr>
      </w:pPr>
    </w:p>
    <w:p w:rsidR="0013282B" w:rsidRPr="006D5CAE" w:rsidRDefault="00AA21F6" w:rsidP="001B4DFF">
      <w:pPr>
        <w:rPr>
          <w:b w:val="0"/>
          <w:sz w:val="22"/>
          <w:u w:val="none"/>
        </w:rPr>
      </w:pPr>
      <w:proofErr w:type="gramStart"/>
      <w:r w:rsidRPr="006D5CAE">
        <w:rPr>
          <w:b w:val="0"/>
          <w:sz w:val="22"/>
          <w:highlight w:val="yellow"/>
        </w:rPr>
        <w:t>Williams</w:t>
      </w:r>
      <w:proofErr w:type="gramEnd"/>
      <w:r w:rsidRPr="006D5CAE">
        <w:rPr>
          <w:b w:val="0"/>
          <w:sz w:val="22"/>
          <w:highlight w:val="yellow"/>
        </w:rPr>
        <w:t xml:space="preserve"> v Reason (1983 CA)</w:t>
      </w:r>
      <w:r w:rsidR="001C2258" w:rsidRPr="006D5CAE">
        <w:rPr>
          <w:b w:val="0"/>
          <w:sz w:val="22"/>
          <w:u w:val="none"/>
        </w:rPr>
        <w:t xml:space="preserve"> [justification]</w:t>
      </w:r>
    </w:p>
    <w:p w:rsidR="00B33C44" w:rsidRPr="006D5CAE" w:rsidRDefault="0013282B" w:rsidP="001B4DFF">
      <w:pPr>
        <w:rPr>
          <w:b w:val="0"/>
          <w:sz w:val="22"/>
          <w:u w:val="none"/>
        </w:rPr>
      </w:pPr>
      <w:proofErr w:type="gramStart"/>
      <w:r w:rsidRPr="006D5CAE">
        <w:rPr>
          <w:b w:val="0"/>
          <w:sz w:val="22"/>
          <w:u w:val="none"/>
        </w:rPr>
        <w:t>“</w:t>
      </w:r>
      <w:proofErr w:type="spellStart"/>
      <w:r w:rsidRPr="006D5CAE">
        <w:rPr>
          <w:b w:val="0"/>
          <w:sz w:val="22"/>
          <w:u w:val="none"/>
        </w:rPr>
        <w:t>Shammateur</w:t>
      </w:r>
      <w:proofErr w:type="spellEnd"/>
      <w:r w:rsidRPr="006D5CAE">
        <w:rPr>
          <w:b w:val="0"/>
          <w:sz w:val="22"/>
          <w:u w:val="none"/>
        </w:rPr>
        <w:t>” case.</w:t>
      </w:r>
      <w:proofErr w:type="gramEnd"/>
    </w:p>
    <w:p w:rsidR="001C2258" w:rsidRPr="006D5CAE" w:rsidRDefault="001C2258" w:rsidP="001B4DFF">
      <w:pPr>
        <w:rPr>
          <w:b w:val="0"/>
          <w:sz w:val="22"/>
          <w:u w:val="none"/>
        </w:rPr>
      </w:pPr>
      <w:r w:rsidRPr="006D5CAE">
        <w:rPr>
          <w:b w:val="0"/>
          <w:sz w:val="22"/>
          <w:u w:val="none"/>
        </w:rPr>
        <w:t xml:space="preserve">Upon proof of </w:t>
      </w:r>
      <w:r w:rsidRPr="006D5CAE">
        <w:rPr>
          <w:b w:val="0"/>
          <w:i/>
          <w:sz w:val="22"/>
          <w:u w:val="none"/>
        </w:rPr>
        <w:t>prima facie</w:t>
      </w:r>
      <w:r w:rsidRPr="006D5CAE">
        <w:rPr>
          <w:b w:val="0"/>
          <w:sz w:val="22"/>
          <w:u w:val="none"/>
        </w:rPr>
        <w:t xml:space="preserve"> defamation, the defendant can raise justification – prove that the words were true – and get a complete </w:t>
      </w:r>
      <w:proofErr w:type="spellStart"/>
      <w:r w:rsidRPr="006D5CAE">
        <w:rPr>
          <w:b w:val="0"/>
          <w:sz w:val="22"/>
          <w:u w:val="none"/>
        </w:rPr>
        <w:t>defence</w:t>
      </w:r>
      <w:proofErr w:type="spellEnd"/>
      <w:r w:rsidRPr="006D5CAE">
        <w:rPr>
          <w:b w:val="0"/>
          <w:sz w:val="22"/>
          <w:u w:val="none"/>
        </w:rPr>
        <w:t>.</w:t>
      </w:r>
    </w:p>
    <w:p w:rsidR="001C2258" w:rsidRPr="006D5CAE" w:rsidRDefault="001C2258" w:rsidP="001B4DFF">
      <w:pPr>
        <w:rPr>
          <w:b w:val="0"/>
          <w:sz w:val="22"/>
          <w:u w:val="none"/>
        </w:rPr>
      </w:pPr>
      <w:r w:rsidRPr="006D5CAE">
        <w:rPr>
          <w:b w:val="0"/>
          <w:sz w:val="22"/>
          <w:u w:val="none"/>
        </w:rPr>
        <w:t>Must show that the “whole of the defamatory matter is substantially true” – courts have applied this also more narrowly as only having to prove the truth of the defamatory sting.</w:t>
      </w:r>
    </w:p>
    <w:p w:rsidR="001C2258" w:rsidRPr="006D5CAE" w:rsidRDefault="001C2258" w:rsidP="001B4DFF">
      <w:pPr>
        <w:rPr>
          <w:b w:val="0"/>
          <w:sz w:val="22"/>
          <w:u w:val="none"/>
        </w:rPr>
      </w:pPr>
      <w:r w:rsidRPr="006D5CAE">
        <w:rPr>
          <w:b w:val="0"/>
          <w:sz w:val="22"/>
          <w:u w:val="none"/>
        </w:rPr>
        <w:t xml:space="preserve">A failed justification defense counts as a repeat of defamation and aggravates damages. </w:t>
      </w:r>
    </w:p>
    <w:p w:rsidR="0013282B" w:rsidRPr="006D5CAE" w:rsidRDefault="001C2258" w:rsidP="001B4DFF">
      <w:pPr>
        <w:rPr>
          <w:b w:val="0"/>
          <w:sz w:val="22"/>
          <w:u w:val="none"/>
        </w:rPr>
      </w:pPr>
      <w:r w:rsidRPr="006D5CAE">
        <w:rPr>
          <w:b w:val="0"/>
          <w:sz w:val="22"/>
          <w:u w:val="none"/>
        </w:rPr>
        <w:t xml:space="preserve">Reliance on third party, or honest belief in the truth is not a </w:t>
      </w:r>
      <w:proofErr w:type="spellStart"/>
      <w:r w:rsidRPr="006D5CAE">
        <w:rPr>
          <w:b w:val="0"/>
          <w:sz w:val="22"/>
          <w:u w:val="none"/>
        </w:rPr>
        <w:t>defence</w:t>
      </w:r>
      <w:proofErr w:type="spellEnd"/>
      <w:r w:rsidRPr="006D5CAE">
        <w:rPr>
          <w:b w:val="0"/>
          <w:sz w:val="22"/>
          <w:u w:val="none"/>
        </w:rPr>
        <w:t>.</w:t>
      </w:r>
    </w:p>
    <w:p w:rsidR="001C2258" w:rsidRPr="006D5CAE" w:rsidRDefault="0013282B" w:rsidP="001B4DFF">
      <w:pPr>
        <w:rPr>
          <w:b w:val="0"/>
          <w:sz w:val="22"/>
          <w:u w:val="none"/>
        </w:rPr>
      </w:pPr>
      <w:r w:rsidRPr="006D5CAE">
        <w:rPr>
          <w:b w:val="0"/>
          <w:sz w:val="22"/>
          <w:u w:val="none"/>
        </w:rPr>
        <w:t>The court must interpret the words first to see what facts could justify them, and the defendant does not have to prove the truth of all defamatory interpretations just one reasonable one.</w:t>
      </w:r>
    </w:p>
    <w:p w:rsidR="001C2258" w:rsidRPr="006D5CAE" w:rsidRDefault="001C2258" w:rsidP="001B4DFF">
      <w:pPr>
        <w:rPr>
          <w:b w:val="0"/>
          <w:sz w:val="22"/>
          <w:u w:val="none"/>
        </w:rPr>
      </w:pPr>
      <w:r w:rsidRPr="006D5CAE">
        <w:rPr>
          <w:b w:val="0"/>
          <w:sz w:val="22"/>
          <w:highlight w:val="yellow"/>
        </w:rPr>
        <w:t>Hill v Church of Scientology (1995 SCC)</w:t>
      </w:r>
      <w:r w:rsidRPr="006D5CAE">
        <w:rPr>
          <w:b w:val="0"/>
          <w:sz w:val="22"/>
          <w:u w:val="none"/>
        </w:rPr>
        <w:t xml:space="preserve"> [qualified privilege]</w:t>
      </w:r>
    </w:p>
    <w:p w:rsidR="0013282B" w:rsidRPr="006D5CAE" w:rsidRDefault="001C2258" w:rsidP="001B4DFF">
      <w:pPr>
        <w:rPr>
          <w:b w:val="0"/>
          <w:sz w:val="22"/>
          <w:u w:val="none"/>
        </w:rPr>
      </w:pPr>
      <w:r w:rsidRPr="006D5CAE">
        <w:rPr>
          <w:b w:val="0"/>
          <w:sz w:val="22"/>
          <w:u w:val="none"/>
        </w:rPr>
        <w:t xml:space="preserve">There is a statutory qualified privilege </w:t>
      </w:r>
      <w:proofErr w:type="spellStart"/>
      <w:r w:rsidRPr="006D5CAE">
        <w:rPr>
          <w:b w:val="0"/>
          <w:sz w:val="22"/>
          <w:u w:val="none"/>
        </w:rPr>
        <w:t>defence</w:t>
      </w:r>
      <w:proofErr w:type="spellEnd"/>
      <w:r w:rsidRPr="006D5CAE">
        <w:rPr>
          <w:b w:val="0"/>
          <w:sz w:val="22"/>
          <w:u w:val="none"/>
        </w:rPr>
        <w:t xml:space="preserve"> for certain fair and accurate reports of public meetings </w:t>
      </w:r>
      <w:r w:rsidRPr="006D5CAE">
        <w:rPr>
          <w:b w:val="0"/>
          <w:i/>
          <w:sz w:val="22"/>
          <w:u w:val="none"/>
        </w:rPr>
        <w:t>Libel and Slander Act</w:t>
      </w:r>
      <w:r w:rsidRPr="006D5CAE">
        <w:rPr>
          <w:b w:val="0"/>
          <w:sz w:val="22"/>
          <w:u w:val="none"/>
        </w:rPr>
        <w:t xml:space="preserve">. </w:t>
      </w:r>
      <w:r w:rsidR="0013282B" w:rsidRPr="006D5CAE">
        <w:rPr>
          <w:b w:val="0"/>
          <w:sz w:val="22"/>
          <w:u w:val="none"/>
        </w:rPr>
        <w:t>The privilege is lost if the publisher refuses to publish a reasonable contradictory or explanatory letter.</w:t>
      </w:r>
    </w:p>
    <w:p w:rsidR="0013282B" w:rsidRPr="006D5CAE" w:rsidRDefault="001C2258" w:rsidP="001B4DFF">
      <w:pPr>
        <w:rPr>
          <w:b w:val="0"/>
          <w:sz w:val="22"/>
          <w:u w:val="none"/>
        </w:rPr>
      </w:pPr>
      <w:r w:rsidRPr="006D5CAE">
        <w:rPr>
          <w:b w:val="0"/>
          <w:sz w:val="22"/>
          <w:u w:val="none"/>
        </w:rPr>
        <w:t xml:space="preserve"> </w:t>
      </w:r>
      <w:r w:rsidR="0013282B" w:rsidRPr="006D5CAE">
        <w:rPr>
          <w:b w:val="0"/>
          <w:sz w:val="22"/>
          <w:u w:val="none"/>
        </w:rPr>
        <w:t xml:space="preserve">Qualified privilege attaches to the occasion on which the statement was made and not the content of the statement. </w:t>
      </w:r>
    </w:p>
    <w:p w:rsidR="00D66FC4" w:rsidRPr="006D5CAE" w:rsidRDefault="0013282B" w:rsidP="001B4DFF">
      <w:pPr>
        <w:rPr>
          <w:b w:val="0"/>
          <w:sz w:val="22"/>
          <w:u w:val="none"/>
        </w:rPr>
      </w:pPr>
      <w:r w:rsidRPr="006D5CAE">
        <w:rPr>
          <w:b w:val="0"/>
          <w:sz w:val="22"/>
          <w:u w:val="none"/>
        </w:rPr>
        <w:t xml:space="preserve">Qualified privilege requires a </w:t>
      </w:r>
      <w:r w:rsidRPr="006D5CAE">
        <w:rPr>
          <w:color w:val="800000"/>
          <w:sz w:val="22"/>
          <w:u w:val="none"/>
        </w:rPr>
        <w:t>duty on the part of the defendant</w:t>
      </w:r>
      <w:r w:rsidRPr="006D5CAE">
        <w:rPr>
          <w:b w:val="0"/>
          <w:sz w:val="22"/>
          <w:u w:val="none"/>
        </w:rPr>
        <w:t xml:space="preserve"> to make a statement and a </w:t>
      </w:r>
      <w:r w:rsidRPr="006D5CAE">
        <w:rPr>
          <w:color w:val="800000"/>
          <w:sz w:val="22"/>
          <w:u w:val="none"/>
        </w:rPr>
        <w:t>duty or interest on the part of the recipients</w:t>
      </w:r>
      <w:r w:rsidRPr="006D5CAE">
        <w:rPr>
          <w:b w:val="0"/>
          <w:sz w:val="22"/>
          <w:u w:val="none"/>
        </w:rPr>
        <w:t xml:space="preserve"> to hear it. The idea is that when the defendant has a legitimate reason for discussing the statements with the audience he should not be liable even if the statements turn out to be not true. </w:t>
      </w:r>
      <w:r w:rsidRPr="006D5CAE">
        <w:rPr>
          <w:b w:val="0"/>
          <w:color w:val="800000"/>
          <w:sz w:val="22"/>
          <w:u w:val="none"/>
        </w:rPr>
        <w:t>Malice, therefore, negates privilege</w:t>
      </w:r>
      <w:r w:rsidRPr="006D5CAE">
        <w:rPr>
          <w:b w:val="0"/>
          <w:sz w:val="22"/>
          <w:u w:val="none"/>
        </w:rPr>
        <w:t xml:space="preserve">. </w:t>
      </w:r>
    </w:p>
    <w:p w:rsidR="00935309" w:rsidRPr="006D5CAE" w:rsidRDefault="00D66FC4" w:rsidP="001B4DFF">
      <w:pPr>
        <w:rPr>
          <w:b w:val="0"/>
          <w:sz w:val="22"/>
          <w:u w:val="none"/>
        </w:rPr>
      </w:pPr>
      <w:r w:rsidRPr="006D5CAE">
        <w:rPr>
          <w:b w:val="0"/>
          <w:sz w:val="22"/>
          <w:u w:val="none"/>
        </w:rPr>
        <w:t xml:space="preserve">Qualified privilege usually attaches to private or confidential statements since the general people do not have a duty to speak publically about the plaintiff and no personal interest to defend in doing so. However, </w:t>
      </w:r>
      <w:proofErr w:type="gramStart"/>
      <w:r w:rsidRPr="006D5CAE">
        <w:rPr>
          <w:b w:val="0"/>
          <w:sz w:val="22"/>
          <w:u w:val="none"/>
        </w:rPr>
        <w:t>sometimes public</w:t>
      </w:r>
      <w:proofErr w:type="gramEnd"/>
      <w:r w:rsidRPr="006D5CAE">
        <w:rPr>
          <w:b w:val="0"/>
          <w:sz w:val="22"/>
          <w:u w:val="none"/>
        </w:rPr>
        <w:t xml:space="preserve"> statements are privileged like the duty to report on judicial proceedings like in Hill. However, in Hill the statements were said with malice and </w:t>
      </w:r>
      <w:r w:rsidRPr="006D5CAE">
        <w:rPr>
          <w:b w:val="0"/>
          <w:color w:val="800000"/>
          <w:sz w:val="22"/>
          <w:u w:val="none"/>
        </w:rPr>
        <w:t>were communicated in a way that exceeded the duty</w:t>
      </w:r>
      <w:r w:rsidRPr="006D5CAE">
        <w:rPr>
          <w:b w:val="0"/>
          <w:sz w:val="22"/>
          <w:u w:val="none"/>
        </w:rPr>
        <w:t xml:space="preserve"> (reporting).</w:t>
      </w:r>
      <w:r w:rsidR="000A04CB" w:rsidRPr="006D5CAE">
        <w:rPr>
          <w:b w:val="0"/>
          <w:sz w:val="22"/>
          <w:u w:val="none"/>
        </w:rPr>
        <w:t xml:space="preserve"> The test for qualified privilege is </w:t>
      </w:r>
      <w:r w:rsidR="000A04CB" w:rsidRPr="006D5CAE">
        <w:rPr>
          <w:color w:val="800000"/>
          <w:sz w:val="22"/>
          <w:u w:val="none"/>
        </w:rPr>
        <w:t>reasonable appropriateness</w:t>
      </w:r>
      <w:r w:rsidR="000A04CB" w:rsidRPr="006D5CAE">
        <w:rPr>
          <w:b w:val="0"/>
          <w:sz w:val="22"/>
          <w:u w:val="none"/>
        </w:rPr>
        <w:t>.</w:t>
      </w:r>
    </w:p>
    <w:p w:rsidR="000A04CB" w:rsidRPr="006D5CAE" w:rsidRDefault="00935309" w:rsidP="001B4DFF">
      <w:pPr>
        <w:rPr>
          <w:b w:val="0"/>
          <w:sz w:val="22"/>
          <w:u w:val="none"/>
        </w:rPr>
      </w:pPr>
      <w:r w:rsidRPr="006D5CAE">
        <w:rPr>
          <w:b w:val="0"/>
          <w:sz w:val="22"/>
          <w:highlight w:val="yellow"/>
        </w:rPr>
        <w:t>WIC Ltd Radio v Simpson (2008 SCC)</w:t>
      </w:r>
      <w:r w:rsidR="000A04CB" w:rsidRPr="006D5CAE">
        <w:rPr>
          <w:b w:val="0"/>
          <w:sz w:val="22"/>
          <w:u w:val="none"/>
        </w:rPr>
        <w:t xml:space="preserve"> [fair comment]</w:t>
      </w:r>
    </w:p>
    <w:p w:rsidR="00750935" w:rsidRPr="006D5CAE" w:rsidRDefault="008E5B82" w:rsidP="008E5B82">
      <w:pPr>
        <w:rPr>
          <w:b w:val="0"/>
          <w:sz w:val="20"/>
          <w:u w:val="none"/>
        </w:rPr>
      </w:pPr>
      <w:r w:rsidRPr="006D5CAE">
        <w:rPr>
          <w:b w:val="0"/>
          <w:sz w:val="20"/>
          <w:u w:val="none"/>
        </w:rPr>
        <w:t xml:space="preserve">Fair comment, the </w:t>
      </w:r>
      <w:proofErr w:type="spellStart"/>
      <w:r w:rsidRPr="006D5CAE">
        <w:rPr>
          <w:b w:val="0"/>
          <w:sz w:val="20"/>
          <w:u w:val="none"/>
        </w:rPr>
        <w:t>defence</w:t>
      </w:r>
      <w:proofErr w:type="spellEnd"/>
      <w:r w:rsidRPr="006D5CAE">
        <w:rPr>
          <w:b w:val="0"/>
          <w:sz w:val="20"/>
          <w:u w:val="none"/>
        </w:rPr>
        <w:t xml:space="preserve"> in WIC v Simpson, allows “false” commentary to be sheltered, on the basis that debate on matters of public interest is a good thing and shouldn’t be discouraged by fear of libel suits. It only protects what the </w:t>
      </w:r>
      <w:r w:rsidRPr="006D5CAE">
        <w:rPr>
          <w:color w:val="800000"/>
          <w:sz w:val="20"/>
          <w:u w:val="none"/>
        </w:rPr>
        <w:t>hearers or readers would perceive as the writer’s opinion</w:t>
      </w:r>
      <w:r w:rsidRPr="006D5CAE">
        <w:rPr>
          <w:b w:val="0"/>
          <w:sz w:val="20"/>
          <w:u w:val="none"/>
        </w:rPr>
        <w:t xml:space="preserve"> as distinct from assertions of actual fact. The actual facts on which the opinion is based have to be stated or known to the audience. </w:t>
      </w:r>
    </w:p>
    <w:p w:rsidR="00750935" w:rsidRPr="006D5CAE" w:rsidRDefault="00750935" w:rsidP="008E5B82">
      <w:pPr>
        <w:rPr>
          <w:b w:val="0"/>
          <w:sz w:val="20"/>
          <w:u w:val="none"/>
        </w:rPr>
      </w:pPr>
      <w:r w:rsidRPr="006D5CAE">
        <w:rPr>
          <w:b w:val="0"/>
          <w:sz w:val="20"/>
          <w:u w:val="none"/>
        </w:rPr>
        <w:t>The words “fair” do not mean objectively reasonable, but refers to the limits to what any honest person, however opinionated or prejudiced, would express upon the basis of the relevant facts. Malic</w:t>
      </w:r>
      <w:r w:rsidR="006D4F6C">
        <w:rPr>
          <w:b w:val="0"/>
          <w:sz w:val="20"/>
          <w:u w:val="none"/>
        </w:rPr>
        <w:t>e also defeats fair co</w:t>
      </w:r>
      <w:r w:rsidRPr="006D5CAE">
        <w:rPr>
          <w:b w:val="0"/>
          <w:sz w:val="20"/>
          <w:u w:val="none"/>
        </w:rPr>
        <w:t>mment</w:t>
      </w:r>
    </w:p>
    <w:p w:rsidR="008E5B82" w:rsidRPr="006D5CAE" w:rsidRDefault="00750935" w:rsidP="008E5B82">
      <w:pPr>
        <w:rPr>
          <w:b w:val="0"/>
          <w:sz w:val="20"/>
          <w:u w:val="none"/>
        </w:rPr>
      </w:pPr>
      <w:proofErr w:type="gramStart"/>
      <w:r w:rsidRPr="006D5CAE">
        <w:rPr>
          <w:b w:val="0"/>
          <w:sz w:val="20"/>
          <w:highlight w:val="yellow"/>
        </w:rPr>
        <w:t>Grant v Torstar Corp.</w:t>
      </w:r>
      <w:proofErr w:type="gramEnd"/>
      <w:r w:rsidRPr="006D5CAE">
        <w:rPr>
          <w:b w:val="0"/>
          <w:sz w:val="20"/>
          <w:highlight w:val="yellow"/>
        </w:rPr>
        <w:t xml:space="preserve"> (2009 SCC)</w:t>
      </w:r>
      <w:r w:rsidRPr="006D5CAE">
        <w:rPr>
          <w:b w:val="0"/>
          <w:sz w:val="20"/>
          <w:u w:val="none"/>
        </w:rPr>
        <w:t xml:space="preserve"> [</w:t>
      </w:r>
      <w:proofErr w:type="gramStart"/>
      <w:r w:rsidR="00EC7434" w:rsidRPr="006D5CAE">
        <w:rPr>
          <w:b w:val="0"/>
          <w:sz w:val="20"/>
          <w:u w:val="none"/>
        </w:rPr>
        <w:t>reasonable</w:t>
      </w:r>
      <w:proofErr w:type="gramEnd"/>
      <w:r w:rsidR="00EC7434" w:rsidRPr="006D5CAE">
        <w:rPr>
          <w:b w:val="0"/>
          <w:sz w:val="20"/>
          <w:u w:val="none"/>
        </w:rPr>
        <w:t xml:space="preserve"> communication in the public interest]</w:t>
      </w:r>
    </w:p>
    <w:p w:rsidR="00EC7434" w:rsidRPr="006D5CAE" w:rsidRDefault="00EC7434" w:rsidP="008E5B82">
      <w:pPr>
        <w:rPr>
          <w:b w:val="0"/>
          <w:sz w:val="20"/>
          <w:u w:val="none"/>
        </w:rPr>
      </w:pPr>
      <w:r w:rsidRPr="006D5CAE">
        <w:rPr>
          <w:b w:val="0"/>
          <w:sz w:val="20"/>
          <w:u w:val="none"/>
        </w:rPr>
        <w:t xml:space="preserve">The </w:t>
      </w:r>
      <w:proofErr w:type="spellStart"/>
      <w:r w:rsidRPr="006D5CAE">
        <w:rPr>
          <w:b w:val="0"/>
          <w:sz w:val="20"/>
          <w:u w:val="none"/>
        </w:rPr>
        <w:t>defence</w:t>
      </w:r>
      <w:proofErr w:type="spellEnd"/>
      <w:r w:rsidRPr="006D5CAE">
        <w:rPr>
          <w:b w:val="0"/>
          <w:sz w:val="20"/>
          <w:u w:val="none"/>
        </w:rPr>
        <w:t xml:space="preserve"> of reasonable communication in the public interest was established in this case.</w:t>
      </w:r>
    </w:p>
    <w:p w:rsidR="008E5B82" w:rsidRPr="006D5CAE" w:rsidRDefault="00EC7434" w:rsidP="008E5B82">
      <w:pPr>
        <w:rPr>
          <w:b w:val="0"/>
          <w:sz w:val="20"/>
          <w:u w:val="none"/>
        </w:rPr>
      </w:pPr>
      <w:r w:rsidRPr="006D5CAE">
        <w:rPr>
          <w:b w:val="0"/>
          <w:sz w:val="20"/>
          <w:u w:val="none"/>
        </w:rPr>
        <w:t xml:space="preserve">Bridges a gap in defamation law that existed when a defendant published statements of fact on a matter of public interest that defamed the plaintiff. Justification would fail if ∂ could not prove BOP that statements were true, fair comment would not be available because the statements were allegations of fact (not opinion). Finally, the </w:t>
      </w:r>
      <w:proofErr w:type="spellStart"/>
      <w:r w:rsidRPr="006D5CAE">
        <w:rPr>
          <w:b w:val="0"/>
          <w:sz w:val="20"/>
          <w:u w:val="none"/>
        </w:rPr>
        <w:t>defence</w:t>
      </w:r>
      <w:proofErr w:type="spellEnd"/>
      <w:r w:rsidRPr="006D5CAE">
        <w:rPr>
          <w:b w:val="0"/>
          <w:sz w:val="20"/>
          <w:u w:val="none"/>
        </w:rPr>
        <w:t xml:space="preserve"> of qualified privilege would likely fail because there is no “duty” to publish information to the world at large.</w:t>
      </w:r>
    </w:p>
    <w:p w:rsidR="00EC7434" w:rsidRPr="006D5CAE" w:rsidRDefault="00EC7434" w:rsidP="001B4DFF">
      <w:pPr>
        <w:rPr>
          <w:b w:val="0"/>
          <w:sz w:val="22"/>
          <w:u w:val="none"/>
        </w:rPr>
      </w:pPr>
      <w:r w:rsidRPr="006D5CAE">
        <w:rPr>
          <w:b w:val="0"/>
          <w:sz w:val="22"/>
          <w:u w:val="none"/>
        </w:rPr>
        <w:t>Elements:</w:t>
      </w:r>
    </w:p>
    <w:p w:rsidR="00EC7434" w:rsidRPr="006D5CAE" w:rsidRDefault="00EC7434" w:rsidP="00EC7434">
      <w:pPr>
        <w:pStyle w:val="ListParagraph"/>
        <w:numPr>
          <w:ilvl w:val="0"/>
          <w:numId w:val="25"/>
        </w:numPr>
        <w:rPr>
          <w:b w:val="0"/>
          <w:sz w:val="22"/>
          <w:u w:val="none"/>
        </w:rPr>
      </w:pPr>
      <w:r w:rsidRPr="006D5CAE">
        <w:rPr>
          <w:b w:val="0"/>
          <w:sz w:val="22"/>
          <w:u w:val="none"/>
        </w:rPr>
        <w:t xml:space="preserve">Public interest. What interest the public is not the same as public interest. It has to be a </w:t>
      </w:r>
      <w:r w:rsidRPr="006D5CAE">
        <w:rPr>
          <w:color w:val="800000"/>
          <w:sz w:val="22"/>
          <w:u w:val="none"/>
        </w:rPr>
        <w:t>matter inviting public intention</w:t>
      </w:r>
      <w:r w:rsidRPr="006D5CAE">
        <w:rPr>
          <w:b w:val="0"/>
          <w:sz w:val="22"/>
          <w:u w:val="none"/>
        </w:rPr>
        <w:t xml:space="preserve">, or where the public’s welfare is at stake. </w:t>
      </w:r>
    </w:p>
    <w:p w:rsidR="00EC7434" w:rsidRPr="006D5CAE" w:rsidRDefault="00EC7434" w:rsidP="00EC7434">
      <w:pPr>
        <w:pStyle w:val="ListParagraph"/>
        <w:numPr>
          <w:ilvl w:val="0"/>
          <w:numId w:val="25"/>
        </w:numPr>
        <w:rPr>
          <w:b w:val="0"/>
          <w:sz w:val="22"/>
          <w:u w:val="none"/>
        </w:rPr>
      </w:pPr>
      <w:r w:rsidRPr="006D5CAE">
        <w:rPr>
          <w:b w:val="0"/>
          <w:sz w:val="22"/>
          <w:u w:val="none"/>
        </w:rPr>
        <w:t xml:space="preserve">Responsible communication. This amounts to the defendant showing that he was diligent in verifying the truth of the statements with regard to all relevant circumstances. </w:t>
      </w:r>
      <w:r w:rsidRPr="006D5CAE">
        <w:rPr>
          <w:b w:val="0"/>
          <w:sz w:val="20"/>
          <w:u w:val="none"/>
        </w:rPr>
        <w:t xml:space="preserve">Proportionality demands you consider the seriousness of the allegation, public importance of the matter, the urgency of the matter, the status and reliability of the source, whether the </w:t>
      </w:r>
      <w:proofErr w:type="spellStart"/>
      <w:r w:rsidRPr="006D5CAE">
        <w:rPr>
          <w:b w:val="0"/>
          <w:sz w:val="20"/>
          <w:u w:val="none"/>
        </w:rPr>
        <w:t>π’s</w:t>
      </w:r>
      <w:proofErr w:type="spellEnd"/>
      <w:r w:rsidRPr="006D5CAE">
        <w:rPr>
          <w:b w:val="0"/>
          <w:sz w:val="20"/>
          <w:u w:val="none"/>
        </w:rPr>
        <w:t xml:space="preserve"> side was sought and accurately reported, whether inclusion of the defamatory statement was justifiable, whether the defamatory statement’s Public Interest lay in the fact that it was made rather than its truth (‘reportage’) are all important factors to this </w:t>
      </w:r>
      <w:proofErr w:type="spellStart"/>
      <w:r w:rsidRPr="006D5CAE">
        <w:rPr>
          <w:b w:val="0"/>
          <w:sz w:val="20"/>
          <w:u w:val="none"/>
        </w:rPr>
        <w:t>defence</w:t>
      </w:r>
      <w:proofErr w:type="spellEnd"/>
      <w:r w:rsidRPr="006D5CAE">
        <w:rPr>
          <w:b w:val="0"/>
          <w:sz w:val="20"/>
          <w:u w:val="none"/>
        </w:rPr>
        <w:t xml:space="preserve"> but non-exhaustive. </w:t>
      </w:r>
      <w:r w:rsidRPr="006D5CAE">
        <w:rPr>
          <w:color w:val="800000"/>
          <w:sz w:val="20"/>
          <w:u w:val="none"/>
        </w:rPr>
        <w:t>Responsibility is not synonymous with carefulness</w:t>
      </w:r>
      <w:r w:rsidRPr="006D5CAE">
        <w:rPr>
          <w:b w:val="0"/>
          <w:sz w:val="20"/>
          <w:u w:val="none"/>
        </w:rPr>
        <w:t>.</w:t>
      </w:r>
    </w:p>
    <w:p w:rsidR="00EC7434" w:rsidRPr="006D5CAE" w:rsidRDefault="00EC7434" w:rsidP="00EC7434">
      <w:pPr>
        <w:rPr>
          <w:b w:val="0"/>
          <w:sz w:val="22"/>
          <w:u w:val="none"/>
        </w:rPr>
      </w:pPr>
      <w:r w:rsidRPr="006D5CAE">
        <w:rPr>
          <w:b w:val="0"/>
          <w:sz w:val="22"/>
          <w:u w:val="none"/>
        </w:rPr>
        <w:t xml:space="preserve">Public interest is a matter of law </w:t>
      </w:r>
    </w:p>
    <w:p w:rsidR="00A72992" w:rsidRPr="006D5CAE" w:rsidRDefault="00EC7434" w:rsidP="00EC7434">
      <w:pPr>
        <w:rPr>
          <w:b w:val="0"/>
          <w:sz w:val="22"/>
          <w:u w:val="none"/>
        </w:rPr>
      </w:pPr>
      <w:r w:rsidRPr="006D5CAE">
        <w:rPr>
          <w:b w:val="0"/>
          <w:sz w:val="22"/>
          <w:u w:val="none"/>
        </w:rPr>
        <w:t>Responsibility is a matter of fact.</w:t>
      </w:r>
    </w:p>
    <w:p w:rsidR="00935309" w:rsidRPr="006D5CAE" w:rsidRDefault="00A72992" w:rsidP="006E360E">
      <w:pPr>
        <w:pStyle w:val="Heading2"/>
        <w:rPr>
          <w:rFonts w:ascii="Baskerville Old Face" w:hAnsi="Baskerville Old Face"/>
          <w:b/>
          <w:color w:val="auto"/>
        </w:rPr>
      </w:pPr>
      <w:bookmarkStart w:id="39" w:name="_Toc258695641"/>
      <w:r w:rsidRPr="006D5CAE">
        <w:rPr>
          <w:rFonts w:ascii="Baskerville Old Face" w:hAnsi="Baskerville Old Face"/>
          <w:b/>
          <w:color w:val="auto"/>
        </w:rPr>
        <w:t>27.4: Remedies</w:t>
      </w:r>
      <w:bookmarkEnd w:id="39"/>
    </w:p>
    <w:p w:rsidR="006E360E" w:rsidRPr="006D5CAE" w:rsidRDefault="006E360E" w:rsidP="001B4DFF">
      <w:pPr>
        <w:rPr>
          <w:b w:val="0"/>
          <w:sz w:val="22"/>
        </w:rPr>
      </w:pPr>
      <w:r w:rsidRPr="006D5CAE">
        <w:rPr>
          <w:b w:val="0"/>
          <w:sz w:val="22"/>
        </w:rPr>
        <w:br/>
      </w:r>
      <w:r w:rsidRPr="006D5CAE">
        <w:rPr>
          <w:b w:val="0"/>
          <w:sz w:val="22"/>
          <w:highlight w:val="yellow"/>
        </w:rPr>
        <w:t>Hill v Church of Scientology (1995 SCC)</w:t>
      </w:r>
    </w:p>
    <w:p w:rsidR="006E360E" w:rsidRPr="006D5CAE" w:rsidRDefault="006E360E" w:rsidP="001B4DFF">
      <w:pPr>
        <w:rPr>
          <w:b w:val="0"/>
          <w:sz w:val="22"/>
          <w:u w:val="none"/>
        </w:rPr>
      </w:pPr>
      <w:r w:rsidRPr="006D5CAE">
        <w:rPr>
          <w:b w:val="0"/>
          <w:sz w:val="22"/>
          <w:u w:val="none"/>
        </w:rPr>
        <w:t xml:space="preserve">If statements were false and defamatory then </w:t>
      </w:r>
      <w:r w:rsidRPr="006D5CAE">
        <w:rPr>
          <w:color w:val="800000"/>
          <w:sz w:val="22"/>
          <w:u w:val="none"/>
        </w:rPr>
        <w:t>damage is presumed</w:t>
      </w:r>
      <w:r w:rsidRPr="006D5CAE">
        <w:rPr>
          <w:b w:val="0"/>
          <w:sz w:val="22"/>
          <w:u w:val="none"/>
        </w:rPr>
        <w:t>. Some jurisdictions require further proof on some categories of slander, but not relating to capacity to do job or illegality.</w:t>
      </w:r>
    </w:p>
    <w:p w:rsidR="006E360E" w:rsidRPr="006D5CAE" w:rsidRDefault="006E360E" w:rsidP="001B4DFF">
      <w:pPr>
        <w:rPr>
          <w:b w:val="0"/>
          <w:sz w:val="22"/>
          <w:u w:val="none"/>
        </w:rPr>
      </w:pPr>
      <w:r w:rsidRPr="006D5CAE">
        <w:rPr>
          <w:b w:val="0"/>
          <w:sz w:val="22"/>
          <w:u w:val="none"/>
        </w:rPr>
        <w:t xml:space="preserve">Damages for defamation are compensatory, although not identifiable. They are non-pecuniary but the SCC determined that the cap does not apply to defamation. In personal injury, non-pecuniary damages are meant to supplement the compensatory </w:t>
      </w:r>
      <w:proofErr w:type="gramStart"/>
      <w:r w:rsidRPr="006D5CAE">
        <w:rPr>
          <w:b w:val="0"/>
          <w:sz w:val="22"/>
          <w:u w:val="none"/>
        </w:rPr>
        <w:t>damages which are usually pecuniary</w:t>
      </w:r>
      <w:proofErr w:type="gramEnd"/>
      <w:r w:rsidRPr="006D5CAE">
        <w:rPr>
          <w:b w:val="0"/>
          <w:sz w:val="22"/>
          <w:u w:val="none"/>
        </w:rPr>
        <w:t xml:space="preserve"> but in defamation all compensatory damages are compensatory.</w:t>
      </w:r>
    </w:p>
    <w:p w:rsidR="006E360E" w:rsidRPr="006D5CAE" w:rsidRDefault="006E360E" w:rsidP="001B4DFF">
      <w:pPr>
        <w:rPr>
          <w:b w:val="0"/>
          <w:sz w:val="22"/>
          <w:u w:val="none"/>
        </w:rPr>
      </w:pPr>
      <w:r w:rsidRPr="006D5CAE">
        <w:rPr>
          <w:b w:val="0"/>
          <w:sz w:val="22"/>
          <w:u w:val="none"/>
        </w:rPr>
        <w:t>This is the leading case on aggravated and punitive damages. They are both triggered but bad conduct. Aggravated focus on the effects of badness on the victim, punitive focuses on deterrence and stopping the bad conduct.</w:t>
      </w:r>
    </w:p>
    <w:p w:rsidR="00710D09" w:rsidRPr="006D5CAE" w:rsidRDefault="00857E92" w:rsidP="001B4DFF">
      <w:pPr>
        <w:rPr>
          <w:b w:val="0"/>
          <w:sz w:val="22"/>
          <w:u w:val="none"/>
        </w:rPr>
      </w:pPr>
      <w:r w:rsidRPr="006D5CAE">
        <w:rPr>
          <w:b w:val="0"/>
          <w:sz w:val="22"/>
          <w:u w:val="none"/>
        </w:rPr>
        <w:t xml:space="preserve">Deference to jury award is very high and should only be reduced when the award </w:t>
      </w:r>
      <w:r w:rsidRPr="006D5CAE">
        <w:rPr>
          <w:b w:val="0"/>
          <w:color w:val="800000"/>
          <w:sz w:val="22"/>
          <w:u w:val="none"/>
        </w:rPr>
        <w:t>“shocks the court’s conscience”</w:t>
      </w:r>
      <w:r w:rsidRPr="006D5CAE">
        <w:rPr>
          <w:b w:val="0"/>
          <w:sz w:val="22"/>
          <w:u w:val="none"/>
        </w:rPr>
        <w:t xml:space="preserve">. </w:t>
      </w:r>
    </w:p>
    <w:p w:rsidR="006E360E" w:rsidRPr="006D5CAE" w:rsidRDefault="00710D09" w:rsidP="001B4DFF">
      <w:pPr>
        <w:rPr>
          <w:b w:val="0"/>
          <w:sz w:val="22"/>
          <w:u w:val="none"/>
        </w:rPr>
      </w:pPr>
      <w:r w:rsidRPr="006D5CAE">
        <w:rPr>
          <w:b w:val="0"/>
          <w:sz w:val="22"/>
          <w:u w:val="none"/>
        </w:rPr>
        <w:t>Newspapers, periodicals and broadcasters can plead a prompt apology in mitigation of damages. If they prove they promptly apologized then the plaintiff can only recover actual damages if the broadcaster proves good faith (Libel and Slander Act). Section 10 allows all defendants to adduce, in mitigation of damages, evidence that they made or offered to make a written apology to the plaintiff.</w:t>
      </w:r>
    </w:p>
    <w:p w:rsidR="006E360E" w:rsidRPr="006D5CAE" w:rsidRDefault="006E360E" w:rsidP="001B4DFF">
      <w:pPr>
        <w:rPr>
          <w:b w:val="0"/>
          <w:sz w:val="22"/>
          <w:u w:val="none"/>
        </w:rPr>
      </w:pPr>
    </w:p>
    <w:p w:rsidR="00334D9E" w:rsidRPr="006D5CAE" w:rsidRDefault="00334D9E" w:rsidP="001B4DFF">
      <w:pPr>
        <w:rPr>
          <w:b w:val="0"/>
          <w:sz w:val="22"/>
          <w:u w:val="none"/>
        </w:rPr>
      </w:pPr>
    </w:p>
    <w:p w:rsidR="006F1255" w:rsidRPr="006D5CAE" w:rsidRDefault="006F1255" w:rsidP="006F1255">
      <w:pPr>
        <w:pStyle w:val="Heading1"/>
        <w:rPr>
          <w:b/>
          <w:u w:val="none"/>
        </w:rPr>
      </w:pPr>
      <w:bookmarkStart w:id="40" w:name="_Toc258695642"/>
      <w:r w:rsidRPr="006D5CAE">
        <w:rPr>
          <w:rFonts w:ascii="Baskerville" w:hAnsi="Baskerville"/>
          <w:b/>
          <w:color w:val="auto"/>
        </w:rPr>
        <w:t>STATUTES AND MISCELLANEOUS</w:t>
      </w:r>
      <w:bookmarkEnd w:id="40"/>
      <w:r w:rsidRPr="006D5CAE">
        <w:rPr>
          <w:b/>
          <w:u w:val="none"/>
        </w:rPr>
        <w:t xml:space="preserve"> </w:t>
      </w:r>
    </w:p>
    <w:p w:rsidR="006F1255" w:rsidRPr="006D5CAE" w:rsidRDefault="006F1255" w:rsidP="00C86679">
      <w:pPr>
        <w:rPr>
          <w:b w:val="0"/>
          <w:sz w:val="22"/>
        </w:rPr>
      </w:pPr>
    </w:p>
    <w:p w:rsidR="006F1255" w:rsidRPr="006D5CAE" w:rsidRDefault="006F1255" w:rsidP="006F1255">
      <w:pPr>
        <w:pStyle w:val="Heading2"/>
        <w:rPr>
          <w:rFonts w:ascii="Baskerville Old Face" w:hAnsi="Baskerville Old Face"/>
          <w:b/>
          <w:color w:val="auto"/>
        </w:rPr>
      </w:pPr>
      <w:bookmarkStart w:id="41" w:name="_Toc258695643"/>
      <w:r w:rsidRPr="006D5CAE">
        <w:rPr>
          <w:rFonts w:ascii="Baskerville Old Face" w:hAnsi="Baskerville Old Face"/>
          <w:b/>
          <w:color w:val="auto"/>
        </w:rPr>
        <w:t>Class Action Law Suits – Class Proceedings Act</w:t>
      </w:r>
      <w:bookmarkEnd w:id="41"/>
    </w:p>
    <w:p w:rsidR="006F1255" w:rsidRPr="006D5CAE" w:rsidRDefault="006F1255" w:rsidP="006F1255">
      <w:pPr>
        <w:rPr>
          <w:sz w:val="22"/>
        </w:rPr>
      </w:pPr>
    </w:p>
    <w:p w:rsidR="006F1255" w:rsidRPr="006D5CAE" w:rsidRDefault="006F1255" w:rsidP="006F1255">
      <w:pPr>
        <w:pStyle w:val="ListParagraph"/>
        <w:numPr>
          <w:ilvl w:val="0"/>
          <w:numId w:val="1"/>
        </w:numPr>
        <w:rPr>
          <w:b w:val="0"/>
          <w:sz w:val="22"/>
          <w:u w:val="none"/>
        </w:rPr>
      </w:pPr>
      <w:r w:rsidRPr="006D5CAE">
        <w:rPr>
          <w:b w:val="0"/>
          <w:sz w:val="22"/>
          <w:u w:val="none"/>
        </w:rPr>
        <w:t xml:space="preserve">There must be common issues (legal issues common to the potential claims of all members of the class) </w:t>
      </w:r>
    </w:p>
    <w:p w:rsidR="006F1255" w:rsidRPr="006D5CAE" w:rsidRDefault="006F1255" w:rsidP="006F1255">
      <w:pPr>
        <w:pStyle w:val="ListParagraph"/>
        <w:numPr>
          <w:ilvl w:val="0"/>
          <w:numId w:val="1"/>
        </w:numPr>
        <w:rPr>
          <w:b w:val="0"/>
          <w:sz w:val="22"/>
          <w:u w:val="none"/>
        </w:rPr>
      </w:pPr>
      <w:r w:rsidRPr="006D5CAE">
        <w:rPr>
          <w:b w:val="0"/>
          <w:sz w:val="22"/>
          <w:u w:val="none"/>
        </w:rPr>
        <w:t xml:space="preserve">Class proceeding must be the preferable alternative to dealing with numerous individual actions </w:t>
      </w:r>
    </w:p>
    <w:p w:rsidR="006F1255" w:rsidRPr="006D5CAE" w:rsidRDefault="006F1255" w:rsidP="006F1255">
      <w:pPr>
        <w:pStyle w:val="ListParagraph"/>
        <w:numPr>
          <w:ilvl w:val="0"/>
          <w:numId w:val="1"/>
        </w:numPr>
        <w:rPr>
          <w:b w:val="0"/>
          <w:sz w:val="22"/>
          <w:u w:val="none"/>
        </w:rPr>
      </w:pPr>
      <w:r w:rsidRPr="006D5CAE">
        <w:rPr>
          <w:b w:val="0"/>
          <w:sz w:val="22"/>
          <w:u w:val="none"/>
        </w:rPr>
        <w:t xml:space="preserve">Allows individuals to pool litigation resources </w:t>
      </w:r>
    </w:p>
    <w:p w:rsidR="006F1255" w:rsidRPr="006D5CAE" w:rsidRDefault="006F1255" w:rsidP="006F1255">
      <w:pPr>
        <w:pStyle w:val="ListParagraph"/>
        <w:numPr>
          <w:ilvl w:val="0"/>
          <w:numId w:val="1"/>
        </w:numPr>
        <w:rPr>
          <w:b w:val="0"/>
          <w:sz w:val="22"/>
          <w:u w:val="none"/>
        </w:rPr>
      </w:pPr>
      <w:r w:rsidRPr="006D5CAE">
        <w:rPr>
          <w:b w:val="0"/>
          <w:sz w:val="22"/>
          <w:u w:val="none"/>
        </w:rPr>
        <w:t xml:space="preserve">Decision is binding on all members of the class proceeding </w:t>
      </w:r>
    </w:p>
    <w:p w:rsidR="00011FE9" w:rsidRPr="006D5CAE" w:rsidRDefault="00011FE9" w:rsidP="00011FE9">
      <w:pPr>
        <w:pStyle w:val="Heading2"/>
        <w:rPr>
          <w:rFonts w:ascii="Baskerville Old Face" w:hAnsi="Baskerville Old Face"/>
          <w:b/>
          <w:color w:val="auto"/>
        </w:rPr>
      </w:pPr>
      <w:bookmarkStart w:id="42" w:name="_Toc258695644"/>
      <w:r w:rsidRPr="006D5CAE">
        <w:rPr>
          <w:rFonts w:ascii="Baskerville Old Face" w:hAnsi="Baskerville Old Face"/>
          <w:b/>
          <w:color w:val="auto"/>
        </w:rPr>
        <w:t>Good Samaritan Act – Emergency Medical Assistance</w:t>
      </w:r>
      <w:bookmarkEnd w:id="42"/>
    </w:p>
    <w:p w:rsidR="00011FE9" w:rsidRPr="006D5CAE" w:rsidRDefault="00011FE9" w:rsidP="00C86679">
      <w:pPr>
        <w:rPr>
          <w:b w:val="0"/>
          <w:sz w:val="22"/>
          <w:u w:val="none"/>
        </w:rPr>
      </w:pPr>
    </w:p>
    <w:p w:rsidR="00011FE9" w:rsidRPr="006D5CAE" w:rsidRDefault="00011FE9" w:rsidP="00C86679">
      <w:pPr>
        <w:rPr>
          <w:b w:val="0"/>
          <w:sz w:val="22"/>
          <w:u w:val="none"/>
        </w:rPr>
      </w:pPr>
      <w:r w:rsidRPr="006D5CAE">
        <w:rPr>
          <w:b w:val="0"/>
          <w:sz w:val="22"/>
          <w:u w:val="none"/>
        </w:rPr>
        <w:t xml:space="preserve">If you render emergency medical assistance you are not liable unless you are </w:t>
      </w:r>
      <w:r w:rsidRPr="006D5CAE">
        <w:rPr>
          <w:sz w:val="22"/>
          <w:u w:val="none"/>
        </w:rPr>
        <w:t>grossly negligent</w:t>
      </w:r>
    </w:p>
    <w:p w:rsidR="00011FE9" w:rsidRPr="006D5CAE" w:rsidRDefault="00011FE9" w:rsidP="00011FE9">
      <w:pPr>
        <w:pStyle w:val="Heading2"/>
        <w:rPr>
          <w:rFonts w:ascii="Baskerville Old Face" w:hAnsi="Baskerville Old Face"/>
          <w:b/>
          <w:color w:val="auto"/>
        </w:rPr>
      </w:pPr>
      <w:bookmarkStart w:id="43" w:name="_Toc258695645"/>
      <w:r w:rsidRPr="006D5CAE">
        <w:rPr>
          <w:rFonts w:ascii="Baskerville Old Face" w:hAnsi="Baskerville Old Face"/>
          <w:b/>
          <w:color w:val="auto"/>
        </w:rPr>
        <w:t>Occupiers Liability Act – General duty of Care</w:t>
      </w:r>
      <w:bookmarkEnd w:id="43"/>
    </w:p>
    <w:p w:rsidR="000A6B33" w:rsidRPr="006D5CAE" w:rsidRDefault="000A6B33" w:rsidP="000A6B33">
      <w:pPr>
        <w:rPr>
          <w:b w:val="0"/>
          <w:sz w:val="22"/>
          <w:u w:val="none"/>
        </w:rPr>
      </w:pPr>
    </w:p>
    <w:p w:rsidR="000A6B33" w:rsidRPr="006D5CAE" w:rsidRDefault="000A6B33" w:rsidP="000A6B33">
      <w:pPr>
        <w:rPr>
          <w:b w:val="0"/>
          <w:sz w:val="22"/>
          <w:u w:val="none"/>
        </w:rPr>
      </w:pPr>
      <w:r w:rsidRPr="006D5CAE">
        <w:rPr>
          <w:b w:val="0"/>
          <w:sz w:val="22"/>
          <w:u w:val="none"/>
        </w:rPr>
        <w:t xml:space="preserve">Occupiers have the general duty to maintain reasonable care to see that people on their premises are reasonably safe. Conditions of premises, activities of premises, and conduct of </w:t>
      </w:r>
      <w:proofErr w:type="gramStart"/>
      <w:r w:rsidRPr="006D5CAE">
        <w:rPr>
          <w:b w:val="0"/>
          <w:sz w:val="22"/>
          <w:u w:val="none"/>
        </w:rPr>
        <w:t>third-parties</w:t>
      </w:r>
      <w:proofErr w:type="gramEnd"/>
      <w:r w:rsidRPr="006D5CAE">
        <w:rPr>
          <w:b w:val="0"/>
          <w:sz w:val="22"/>
          <w:u w:val="none"/>
        </w:rPr>
        <w:t xml:space="preserve"> on premises.</w:t>
      </w:r>
    </w:p>
    <w:p w:rsidR="000A6B33" w:rsidRPr="006D5CAE" w:rsidRDefault="00011FE9" w:rsidP="00C86679">
      <w:pPr>
        <w:rPr>
          <w:sz w:val="22"/>
          <w:u w:val="none"/>
        </w:rPr>
      </w:pPr>
      <w:r w:rsidRPr="006D5CAE">
        <w:rPr>
          <w:b w:val="0"/>
          <w:sz w:val="22"/>
          <w:u w:val="none"/>
        </w:rPr>
        <w:t>The nature of occupier’s visit determines the scope of the duty.</w:t>
      </w:r>
      <w:r w:rsidR="008479C3" w:rsidRPr="006D5CAE">
        <w:rPr>
          <w:b w:val="0"/>
          <w:sz w:val="22"/>
          <w:u w:val="none"/>
        </w:rPr>
        <w:t xml:space="preserve"> The minimal duty towards somebody who willingly assumes the risk by which they’re injured is also applied to entrants who come onto the premises to commit a criminal </w:t>
      </w:r>
      <w:proofErr w:type="gramStart"/>
      <w:r w:rsidR="008479C3" w:rsidRPr="006D5CAE">
        <w:rPr>
          <w:b w:val="0"/>
          <w:sz w:val="22"/>
          <w:u w:val="none"/>
        </w:rPr>
        <w:t>act</w:t>
      </w:r>
      <w:proofErr w:type="gramEnd"/>
      <w:r w:rsidR="008479C3" w:rsidRPr="006D5CAE">
        <w:rPr>
          <w:b w:val="0"/>
          <w:sz w:val="22"/>
          <w:u w:val="none"/>
        </w:rPr>
        <w:t xml:space="preserve">, or trespassers or recreational entrants on certain classes of farmland or rural lands. The minimal duty is only to </w:t>
      </w:r>
      <w:r w:rsidR="008479C3" w:rsidRPr="006D5CAE">
        <w:rPr>
          <w:sz w:val="22"/>
          <w:u w:val="none"/>
        </w:rPr>
        <w:t xml:space="preserve">not </w:t>
      </w:r>
      <w:r w:rsidR="008479C3" w:rsidRPr="006D5CAE">
        <w:rPr>
          <w:color w:val="800000"/>
          <w:sz w:val="22"/>
          <w:u w:val="none"/>
        </w:rPr>
        <w:t>create a danger with intent to harm, and not recklessly to disregard the safety of the person or the property</w:t>
      </w:r>
      <w:r w:rsidR="008479C3" w:rsidRPr="006D5CAE">
        <w:rPr>
          <w:sz w:val="22"/>
          <w:u w:val="none"/>
        </w:rPr>
        <w:t>.</w:t>
      </w:r>
    </w:p>
    <w:p w:rsidR="00287775" w:rsidRPr="006D5CAE" w:rsidRDefault="00287775" w:rsidP="00364672">
      <w:pPr>
        <w:pStyle w:val="Heading2"/>
        <w:rPr>
          <w:rFonts w:ascii="Baskerville Old Face" w:hAnsi="Baskerville Old Face"/>
          <w:b/>
          <w:color w:val="auto"/>
        </w:rPr>
      </w:pPr>
      <w:bookmarkStart w:id="44" w:name="_Toc258695646"/>
      <w:r w:rsidRPr="006D5CAE">
        <w:rPr>
          <w:rFonts w:ascii="Baskerville Old Face" w:hAnsi="Baskerville Old Face"/>
          <w:b/>
          <w:color w:val="auto"/>
        </w:rPr>
        <w:t>Insurance (Vehicle) Act – “Structured Judgment”</w:t>
      </w:r>
      <w:bookmarkEnd w:id="44"/>
      <w:r w:rsidR="00364672" w:rsidRPr="006D5CAE">
        <w:rPr>
          <w:rFonts w:ascii="Baskerville Old Face" w:hAnsi="Baskerville Old Face"/>
          <w:b/>
          <w:color w:val="auto"/>
        </w:rPr>
        <w:br/>
      </w:r>
    </w:p>
    <w:p w:rsidR="00287775" w:rsidRPr="006D5CAE" w:rsidRDefault="00287775" w:rsidP="00C86679">
      <w:pPr>
        <w:rPr>
          <w:b w:val="0"/>
          <w:sz w:val="22"/>
          <w:u w:val="none"/>
        </w:rPr>
      </w:pPr>
      <w:r w:rsidRPr="006D5CAE">
        <w:rPr>
          <w:b w:val="0"/>
          <w:sz w:val="22"/>
          <w:u w:val="none"/>
        </w:rPr>
        <w:t>Section 99 of the Insurance Vehicle Act provides that a Court can order a “structured settlement”. This is contrary to the “once-and-for-all” common law rule that mandates that all losses arising from the same s facts and the same claim must be claimed in one action.</w:t>
      </w:r>
    </w:p>
    <w:p w:rsidR="004562CB" w:rsidRPr="006D5CAE" w:rsidRDefault="00287775" w:rsidP="00364672">
      <w:pPr>
        <w:pStyle w:val="Heading2"/>
        <w:rPr>
          <w:rFonts w:ascii="Baskerville Old Face" w:hAnsi="Baskerville Old Face"/>
          <w:b/>
          <w:color w:val="auto"/>
        </w:rPr>
      </w:pPr>
      <w:bookmarkStart w:id="45" w:name="_Toc258695647"/>
      <w:r w:rsidRPr="006D5CAE">
        <w:rPr>
          <w:rFonts w:ascii="Baskerville Old Face" w:hAnsi="Baskerville Old Face"/>
          <w:b/>
          <w:color w:val="auto"/>
        </w:rPr>
        <w:t xml:space="preserve">Estate Administrations Act </w:t>
      </w:r>
      <w:r w:rsidR="004562CB" w:rsidRPr="006D5CAE">
        <w:rPr>
          <w:rFonts w:ascii="Baskerville Old Face" w:hAnsi="Baskerville Old Face"/>
          <w:b/>
          <w:color w:val="auto"/>
        </w:rPr>
        <w:t>and Negligence Act</w:t>
      </w:r>
      <w:r w:rsidRPr="006D5CAE">
        <w:rPr>
          <w:rFonts w:ascii="Baskerville Old Face" w:hAnsi="Baskerville Old Face"/>
          <w:b/>
          <w:color w:val="auto"/>
        </w:rPr>
        <w:t>– Claims against the estate of a dec</w:t>
      </w:r>
      <w:r w:rsidR="004562CB" w:rsidRPr="006D5CAE">
        <w:rPr>
          <w:rFonts w:ascii="Baskerville Old Face" w:hAnsi="Baskerville Old Face"/>
          <w:b/>
          <w:color w:val="auto"/>
        </w:rPr>
        <w:t>e</w:t>
      </w:r>
      <w:r w:rsidRPr="006D5CAE">
        <w:rPr>
          <w:rFonts w:ascii="Baskerville Old Face" w:hAnsi="Baskerville Old Face"/>
          <w:b/>
          <w:color w:val="auto"/>
        </w:rPr>
        <w:t>ased wrongdoer</w:t>
      </w:r>
      <w:bookmarkEnd w:id="45"/>
      <w:r w:rsidR="00364672" w:rsidRPr="006D5CAE">
        <w:rPr>
          <w:rFonts w:ascii="Baskerville Old Face" w:hAnsi="Baskerville Old Face"/>
          <w:b/>
          <w:color w:val="auto"/>
        </w:rPr>
        <w:br/>
      </w:r>
    </w:p>
    <w:p w:rsidR="004562CB" w:rsidRPr="006D5CAE" w:rsidRDefault="004562CB" w:rsidP="00C86679">
      <w:pPr>
        <w:rPr>
          <w:b w:val="0"/>
          <w:sz w:val="22"/>
          <w:u w:val="none"/>
        </w:rPr>
      </w:pPr>
      <w:r w:rsidRPr="006D5CAE">
        <w:rPr>
          <w:b w:val="0"/>
          <w:sz w:val="22"/>
          <w:u w:val="none"/>
        </w:rPr>
        <w:t xml:space="preserve">Estate Administration Act, Section 59 (1)-(5) allow for the administrator of a deceased’s estate to claim action against </w:t>
      </w:r>
      <w:proofErr w:type="spellStart"/>
      <w:r w:rsidRPr="006D5CAE">
        <w:rPr>
          <w:b w:val="0"/>
          <w:sz w:val="22"/>
          <w:u w:val="none"/>
        </w:rPr>
        <w:t>tortfeasors</w:t>
      </w:r>
      <w:proofErr w:type="spellEnd"/>
      <w:r w:rsidRPr="006D5CAE">
        <w:rPr>
          <w:b w:val="0"/>
          <w:sz w:val="22"/>
          <w:u w:val="none"/>
        </w:rPr>
        <w:t xml:space="preserve"> on behalf of the deceased as if they were alive (very limited).</w:t>
      </w:r>
    </w:p>
    <w:p w:rsidR="004562CB" w:rsidRPr="006D5CAE" w:rsidRDefault="004562CB" w:rsidP="00C86679">
      <w:pPr>
        <w:rPr>
          <w:b w:val="0"/>
          <w:sz w:val="22"/>
          <w:u w:val="none"/>
        </w:rPr>
      </w:pPr>
      <w:r w:rsidRPr="006D5CAE">
        <w:rPr>
          <w:b w:val="0"/>
          <w:sz w:val="22"/>
          <w:u w:val="none"/>
        </w:rPr>
        <w:t>Negligence Act, Section 7 – allows for claims against a deceased wrongdoer to continue against his personal representative and the deceased’s estate.</w:t>
      </w:r>
    </w:p>
    <w:p w:rsidR="00364672" w:rsidRPr="006D5CAE" w:rsidRDefault="004562CB" w:rsidP="00364672">
      <w:pPr>
        <w:pStyle w:val="Heading2"/>
        <w:rPr>
          <w:rFonts w:ascii="Baskerville Old Face" w:hAnsi="Baskerville Old Face"/>
          <w:b/>
          <w:color w:val="auto"/>
        </w:rPr>
      </w:pPr>
      <w:bookmarkStart w:id="46" w:name="_Toc258695648"/>
      <w:r w:rsidRPr="006D5CAE">
        <w:rPr>
          <w:rFonts w:ascii="Baskerville Old Face" w:hAnsi="Baskerville Old Face"/>
          <w:b/>
          <w:color w:val="auto"/>
        </w:rPr>
        <w:t>Family Compensat</w:t>
      </w:r>
      <w:r w:rsidR="002554C5" w:rsidRPr="006D5CAE">
        <w:rPr>
          <w:rFonts w:ascii="Baskerville Old Face" w:hAnsi="Baskerville Old Face"/>
          <w:b/>
          <w:color w:val="auto"/>
        </w:rPr>
        <w:t>i</w:t>
      </w:r>
      <w:r w:rsidRPr="006D5CAE">
        <w:rPr>
          <w:rFonts w:ascii="Baskerville Old Face" w:hAnsi="Baskerville Old Face"/>
          <w:b/>
          <w:color w:val="auto"/>
        </w:rPr>
        <w:t>on Act (BC) and Family Law Act</w:t>
      </w:r>
      <w:r w:rsidR="002554C5" w:rsidRPr="006D5CAE">
        <w:rPr>
          <w:rFonts w:ascii="Baskerville Old Face" w:hAnsi="Baskerville Old Face"/>
          <w:b/>
          <w:color w:val="auto"/>
        </w:rPr>
        <w:t xml:space="preserve"> – Claims by family of </w:t>
      </w:r>
      <w:proofErr w:type="spellStart"/>
      <w:r w:rsidR="002554C5" w:rsidRPr="006D5CAE">
        <w:rPr>
          <w:rFonts w:ascii="Baskerville Old Face" w:hAnsi="Baskerville Old Face"/>
          <w:b/>
          <w:color w:val="auto"/>
        </w:rPr>
        <w:t>decased</w:t>
      </w:r>
      <w:proofErr w:type="spellEnd"/>
      <w:r w:rsidR="002554C5" w:rsidRPr="006D5CAE">
        <w:rPr>
          <w:rFonts w:ascii="Baskerville Old Face" w:hAnsi="Baskerville Old Face"/>
          <w:b/>
          <w:color w:val="auto"/>
        </w:rPr>
        <w:t xml:space="preserve"> against the wrongdoer who caused death for personal loss</w:t>
      </w:r>
      <w:bookmarkEnd w:id="46"/>
    </w:p>
    <w:p w:rsidR="002554C5" w:rsidRPr="006D5CAE" w:rsidRDefault="002554C5" w:rsidP="00364672">
      <w:pPr>
        <w:rPr>
          <w:sz w:val="22"/>
        </w:rPr>
      </w:pPr>
    </w:p>
    <w:p w:rsidR="00491360" w:rsidRPr="006D5CAE" w:rsidRDefault="00491360" w:rsidP="00C86679">
      <w:pPr>
        <w:rPr>
          <w:b w:val="0"/>
          <w:sz w:val="22"/>
          <w:u w:val="none"/>
        </w:rPr>
      </w:pPr>
      <w:r w:rsidRPr="006D5CAE">
        <w:rPr>
          <w:b w:val="0"/>
          <w:sz w:val="22"/>
          <w:u w:val="none"/>
        </w:rPr>
        <w:t>Can sue for funeral/medical costs of deceased as well as any financial reliance damages. In Ontario, the statute is more generous to deceased’s family.</w:t>
      </w:r>
      <w:r w:rsidR="00774068" w:rsidRPr="006D5CAE">
        <w:rPr>
          <w:b w:val="0"/>
          <w:sz w:val="22"/>
          <w:u w:val="none"/>
        </w:rPr>
        <w:t xml:space="preserve"> Can only claim material damages.</w:t>
      </w:r>
    </w:p>
    <w:p w:rsidR="00E04D21" w:rsidRPr="006D5CAE" w:rsidRDefault="00E04D21" w:rsidP="00E04D21">
      <w:pPr>
        <w:pStyle w:val="Heading2"/>
        <w:rPr>
          <w:b/>
          <w:sz w:val="20"/>
          <w:u w:val="none"/>
        </w:rPr>
      </w:pPr>
      <w:bookmarkStart w:id="47" w:name="_Toc258695649"/>
      <w:r w:rsidRPr="006D5CAE">
        <w:rPr>
          <w:rFonts w:ascii="Baskerville Old Face" w:hAnsi="Baskerville Old Face"/>
          <w:b/>
          <w:color w:val="auto"/>
        </w:rPr>
        <w:t>Workplace Compensation Act – abolition of civil liability for workplace injury</w:t>
      </w:r>
      <w:bookmarkEnd w:id="47"/>
    </w:p>
    <w:p w:rsidR="00E04D21" w:rsidRPr="006D5CAE" w:rsidRDefault="00E04D21" w:rsidP="00C86679">
      <w:pPr>
        <w:rPr>
          <w:b w:val="0"/>
          <w:sz w:val="20"/>
          <w:u w:val="none"/>
        </w:rPr>
      </w:pPr>
    </w:p>
    <w:p w:rsidR="00491360" w:rsidRPr="006D5CAE" w:rsidRDefault="00E04D21" w:rsidP="00C86679">
      <w:pPr>
        <w:rPr>
          <w:b w:val="0"/>
          <w:sz w:val="20"/>
          <w:u w:val="none"/>
        </w:rPr>
      </w:pPr>
      <w:r w:rsidRPr="006D5CAE">
        <w:rPr>
          <w:b w:val="0"/>
          <w:sz w:val="20"/>
          <w:u w:val="none"/>
        </w:rPr>
        <w:t>Workplace accidents are taken out of the tort system by section 10(1) of this Act.</w:t>
      </w:r>
    </w:p>
    <w:p w:rsidR="004562CB" w:rsidRPr="006D5CAE" w:rsidRDefault="000B0AE3" w:rsidP="000B0AE3">
      <w:pPr>
        <w:pStyle w:val="Heading2"/>
        <w:rPr>
          <w:b/>
          <w:sz w:val="28"/>
          <w:u w:val="none"/>
        </w:rPr>
      </w:pPr>
      <w:bookmarkStart w:id="48" w:name="_Toc258695650"/>
      <w:r w:rsidRPr="006D5CAE">
        <w:rPr>
          <w:rFonts w:ascii="Baskerville Old Face" w:hAnsi="Baskerville Old Face"/>
          <w:b/>
          <w:color w:val="auto"/>
        </w:rPr>
        <w:t>NEGLIGENCE ACT – Contributory negligence and apportionment of fault</w:t>
      </w:r>
      <w:bookmarkEnd w:id="48"/>
    </w:p>
    <w:p w:rsidR="004F19C2" w:rsidRPr="006D5CAE" w:rsidRDefault="004F19C2" w:rsidP="00C86679">
      <w:pPr>
        <w:rPr>
          <w:b w:val="0"/>
          <w:sz w:val="20"/>
          <w:u w:val="none"/>
        </w:rPr>
      </w:pPr>
    </w:p>
    <w:p w:rsidR="004F19C2" w:rsidRPr="006D5CAE" w:rsidRDefault="004F19C2" w:rsidP="00C86679">
      <w:pPr>
        <w:rPr>
          <w:b w:val="0"/>
          <w:sz w:val="20"/>
        </w:rPr>
      </w:pPr>
      <w:r w:rsidRPr="006D5CAE">
        <w:rPr>
          <w:b w:val="0"/>
          <w:sz w:val="20"/>
        </w:rPr>
        <w:t>Plaintiff’s own fault:</w:t>
      </w:r>
    </w:p>
    <w:p w:rsidR="004F19C2" w:rsidRPr="006D5CAE" w:rsidRDefault="004F19C2" w:rsidP="00C86679">
      <w:pPr>
        <w:rPr>
          <w:b w:val="0"/>
          <w:sz w:val="20"/>
          <w:u w:val="none"/>
        </w:rPr>
      </w:pPr>
      <w:r w:rsidRPr="006D5CAE">
        <w:rPr>
          <w:b w:val="0"/>
          <w:sz w:val="20"/>
          <w:u w:val="none"/>
        </w:rPr>
        <w:t>Strict bar to action from the common law for contributory negligence is replaced by percentage deduction of damages for the plaintiff’s own negligence (Section 1).</w:t>
      </w:r>
    </w:p>
    <w:p w:rsidR="004F19C2" w:rsidRPr="006D5CAE" w:rsidRDefault="004F19C2" w:rsidP="00C86679">
      <w:pPr>
        <w:rPr>
          <w:b w:val="0"/>
          <w:sz w:val="20"/>
          <w:u w:val="none"/>
        </w:rPr>
      </w:pPr>
      <w:r w:rsidRPr="006D5CAE">
        <w:rPr>
          <w:b w:val="0"/>
          <w:sz w:val="20"/>
          <w:u w:val="none"/>
        </w:rPr>
        <w:t xml:space="preserve">Section 1 of the BC Act is in terms of “fault” not “negligence” so it can and has been interpreted as relevant to intentional torts. The orthodox position, from the common law, however, is that the plaintiff’s own fault causing the damage from an intentional tort is not relevant to the assessment of damages. </w:t>
      </w:r>
      <w:r w:rsidR="00374EB2" w:rsidRPr="006D5CAE">
        <w:rPr>
          <w:b w:val="0"/>
          <w:sz w:val="20"/>
          <w:u w:val="none"/>
        </w:rPr>
        <w:t xml:space="preserve">There has been some jurisprudence where the plaintiff’s own </w:t>
      </w:r>
      <w:proofErr w:type="gramStart"/>
      <w:r w:rsidR="00374EB2" w:rsidRPr="006D5CAE">
        <w:rPr>
          <w:b w:val="0"/>
          <w:sz w:val="20"/>
          <w:u w:val="none"/>
        </w:rPr>
        <w:t>fault lowered</w:t>
      </w:r>
      <w:proofErr w:type="gramEnd"/>
      <w:r w:rsidR="00374EB2" w:rsidRPr="006D5CAE">
        <w:rPr>
          <w:b w:val="0"/>
          <w:sz w:val="20"/>
          <w:u w:val="none"/>
        </w:rPr>
        <w:t xml:space="preserve"> damages for intentional tort.  The Supreme Court ruled that contributory negligence is not relevant for strict liability. However, in </w:t>
      </w:r>
      <w:r w:rsidR="00374EB2" w:rsidRPr="006D5CAE">
        <w:rPr>
          <w:b w:val="0"/>
          <w:i/>
          <w:sz w:val="20"/>
          <w:u w:val="none"/>
        </w:rPr>
        <w:t>Cowles</w:t>
      </w:r>
      <w:r w:rsidR="00374EB2" w:rsidRPr="006D5CAE">
        <w:rPr>
          <w:b w:val="0"/>
          <w:sz w:val="20"/>
          <w:u w:val="none"/>
        </w:rPr>
        <w:t>, the dissenting judge thought a plaintiff’s claim could be reduced even though the defendant’s liability was strict.</w:t>
      </w:r>
    </w:p>
    <w:p w:rsidR="004F19C2" w:rsidRPr="006D5CAE" w:rsidRDefault="00374EB2" w:rsidP="00C86679">
      <w:pPr>
        <w:rPr>
          <w:b w:val="0"/>
          <w:sz w:val="20"/>
          <w:u w:val="none"/>
        </w:rPr>
      </w:pPr>
      <w:r w:rsidRPr="006D5CAE">
        <w:rPr>
          <w:b w:val="0"/>
          <w:sz w:val="20"/>
        </w:rPr>
        <w:t>M</w:t>
      </w:r>
      <w:r w:rsidR="004F19C2" w:rsidRPr="006D5CAE">
        <w:rPr>
          <w:b w:val="0"/>
          <w:sz w:val="20"/>
        </w:rPr>
        <w:t>ultiple negligent defendants</w:t>
      </w:r>
    </w:p>
    <w:p w:rsidR="004F19C2" w:rsidRPr="006D5CAE" w:rsidRDefault="004F19C2" w:rsidP="00C86679">
      <w:pPr>
        <w:rPr>
          <w:b w:val="0"/>
          <w:sz w:val="20"/>
          <w:u w:val="none"/>
        </w:rPr>
      </w:pPr>
      <w:r w:rsidRPr="006D5CAE">
        <w:rPr>
          <w:b w:val="0"/>
          <w:sz w:val="20"/>
          <w:u w:val="none"/>
        </w:rPr>
        <w:t xml:space="preserve">Apportionment among defendants is required by section 41 of the Negligence Act: “if damage or loss has been caused by the fault of 2 or more persons, the court must determine the degree to which each person was at fault” </w:t>
      </w:r>
    </w:p>
    <w:p w:rsidR="004F19C2" w:rsidRPr="006D5CAE" w:rsidRDefault="004F19C2" w:rsidP="00C86679">
      <w:pPr>
        <w:rPr>
          <w:b w:val="0"/>
          <w:sz w:val="20"/>
          <w:u w:val="none"/>
        </w:rPr>
      </w:pPr>
      <w:r w:rsidRPr="006D5CAE">
        <w:rPr>
          <w:b w:val="0"/>
          <w:sz w:val="20"/>
          <w:u w:val="none"/>
        </w:rPr>
        <w:t>Defendants’ liability to the plaintiff is joint and several, but section 4(2) stipulates that they are liable “to contribute to and indemnify each other in the degree to which they are respectfully found to be at fault”</w:t>
      </w:r>
    </w:p>
    <w:p w:rsidR="004F19C2" w:rsidRPr="006D5CAE" w:rsidRDefault="00374EB2" w:rsidP="00C86679">
      <w:pPr>
        <w:rPr>
          <w:b w:val="0"/>
          <w:sz w:val="20"/>
          <w:u w:val="none"/>
        </w:rPr>
      </w:pPr>
      <w:r w:rsidRPr="006D5CAE">
        <w:rPr>
          <w:b w:val="0"/>
          <w:sz w:val="20"/>
        </w:rPr>
        <w:t>M</w:t>
      </w:r>
      <w:r w:rsidR="004F19C2" w:rsidRPr="006D5CAE">
        <w:rPr>
          <w:b w:val="0"/>
          <w:sz w:val="20"/>
        </w:rPr>
        <w:t>ultiple defendants – intentional tort</w:t>
      </w:r>
    </w:p>
    <w:p w:rsidR="004F19C2" w:rsidRPr="006D5CAE" w:rsidRDefault="004F19C2" w:rsidP="00C86679">
      <w:pPr>
        <w:rPr>
          <w:b w:val="0"/>
          <w:sz w:val="20"/>
          <w:u w:val="none"/>
        </w:rPr>
      </w:pPr>
      <w:r w:rsidRPr="006D5CAE">
        <w:rPr>
          <w:b w:val="0"/>
          <w:sz w:val="20"/>
          <w:u w:val="none"/>
        </w:rPr>
        <w:t>Section 4 of the BC act refers to “fault”, and it has been applied in the jurisprudence sometimes to apportion fault for intentional torts among the defendants. The Ontario Act, drafted differently, does not apply to intentional torts.</w:t>
      </w:r>
    </w:p>
    <w:p w:rsidR="00374EB2" w:rsidRPr="006D5CAE" w:rsidRDefault="00374EB2" w:rsidP="00C86679">
      <w:pPr>
        <w:rPr>
          <w:b w:val="0"/>
          <w:sz w:val="20"/>
          <w:u w:val="none"/>
        </w:rPr>
      </w:pPr>
      <w:r w:rsidRPr="006D5CAE">
        <w:rPr>
          <w:b w:val="0"/>
          <w:sz w:val="20"/>
        </w:rPr>
        <w:t xml:space="preserve">Multiple defendants – </w:t>
      </w:r>
      <w:proofErr w:type="gramStart"/>
      <w:r w:rsidRPr="006D5CAE">
        <w:rPr>
          <w:b w:val="0"/>
          <w:sz w:val="20"/>
        </w:rPr>
        <w:t>plaintiff’s</w:t>
      </w:r>
      <w:proofErr w:type="gramEnd"/>
      <w:r w:rsidRPr="006D5CAE">
        <w:rPr>
          <w:b w:val="0"/>
          <w:sz w:val="20"/>
        </w:rPr>
        <w:t xml:space="preserve"> own fault </w:t>
      </w:r>
    </w:p>
    <w:p w:rsidR="00374EB2" w:rsidRPr="006D5CAE" w:rsidRDefault="00374EB2" w:rsidP="00C86679">
      <w:pPr>
        <w:rPr>
          <w:b w:val="0"/>
          <w:sz w:val="20"/>
          <w:u w:val="none"/>
        </w:rPr>
      </w:pPr>
      <w:r w:rsidRPr="006D5CAE">
        <w:rPr>
          <w:b w:val="0"/>
          <w:sz w:val="20"/>
          <w:u w:val="none"/>
        </w:rPr>
        <w:t>The Act has been interpreted to make the defendants only severally liable when there is contributory negligence and not jointly and severally liable. The drafting issue is unique to the BC legislation.</w:t>
      </w:r>
    </w:p>
    <w:p w:rsidR="006F6194" w:rsidRPr="006D5CAE" w:rsidRDefault="006F6194" w:rsidP="00C86679">
      <w:pPr>
        <w:rPr>
          <w:b w:val="0"/>
          <w:sz w:val="20"/>
          <w:u w:val="none"/>
        </w:rPr>
      </w:pPr>
    </w:p>
    <w:sectPr w:rsidR="006F6194" w:rsidRPr="006D5CAE" w:rsidSect="001A70D9">
      <w:type w:val="continuous"/>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19C2" w:rsidRDefault="004F19C2" w:rsidP="00E46E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9C2" w:rsidRDefault="004F19C2" w:rsidP="007C333C">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19C2" w:rsidRDefault="004F19C2" w:rsidP="00E46E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974">
      <w:rPr>
        <w:rStyle w:val="PageNumber"/>
        <w:noProof/>
      </w:rPr>
      <w:t>1</w:t>
    </w:r>
    <w:r>
      <w:rPr>
        <w:rStyle w:val="PageNumber"/>
      </w:rPr>
      <w:fldChar w:fldCharType="end"/>
    </w:r>
  </w:p>
  <w:p w:rsidR="004F19C2" w:rsidRDefault="004F19C2" w:rsidP="007C333C">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C5783EE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1966E09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91336B"/>
    <w:multiLevelType w:val="hybridMultilevel"/>
    <w:tmpl w:val="62E68B92"/>
    <w:lvl w:ilvl="0" w:tplc="4D2E51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32657"/>
    <w:multiLevelType w:val="hybridMultilevel"/>
    <w:tmpl w:val="026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776C5"/>
    <w:multiLevelType w:val="hybridMultilevel"/>
    <w:tmpl w:val="A0DC9016"/>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52D0A"/>
    <w:multiLevelType w:val="hybridMultilevel"/>
    <w:tmpl w:val="AE28BFC6"/>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62B0C"/>
    <w:multiLevelType w:val="hybridMultilevel"/>
    <w:tmpl w:val="A8069EF0"/>
    <w:lvl w:ilvl="0" w:tplc="A948A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80855"/>
    <w:multiLevelType w:val="hybridMultilevel"/>
    <w:tmpl w:val="E6AC10BE"/>
    <w:lvl w:ilvl="0" w:tplc="0409000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B6022"/>
    <w:multiLevelType w:val="hybridMultilevel"/>
    <w:tmpl w:val="713C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12EF5"/>
    <w:multiLevelType w:val="hybridMultilevel"/>
    <w:tmpl w:val="7BA00930"/>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A400B"/>
    <w:multiLevelType w:val="hybridMultilevel"/>
    <w:tmpl w:val="BC44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652C3"/>
    <w:multiLevelType w:val="hybridMultilevel"/>
    <w:tmpl w:val="5C3E28F4"/>
    <w:lvl w:ilvl="0" w:tplc="EAC045A0">
      <w:numFmt w:val="bullet"/>
      <w:lvlText w:val="-"/>
      <w:lvlJc w:val="left"/>
      <w:pPr>
        <w:ind w:left="360" w:firstLine="0"/>
      </w:pPr>
      <w:rPr>
        <w:rFonts w:ascii="Verdana" w:eastAsia="ＭＳ ゴシック"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87B35"/>
    <w:multiLevelType w:val="hybridMultilevel"/>
    <w:tmpl w:val="E6A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35774"/>
    <w:multiLevelType w:val="hybridMultilevel"/>
    <w:tmpl w:val="7BA00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A7734"/>
    <w:multiLevelType w:val="hybridMultilevel"/>
    <w:tmpl w:val="A0DC9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845B6"/>
    <w:multiLevelType w:val="hybridMultilevel"/>
    <w:tmpl w:val="1682CE4C"/>
    <w:lvl w:ilvl="0" w:tplc="19FA14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B4986"/>
    <w:multiLevelType w:val="hybridMultilevel"/>
    <w:tmpl w:val="AE28B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8057D"/>
    <w:multiLevelType w:val="hybridMultilevel"/>
    <w:tmpl w:val="3AE4C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F590B"/>
    <w:multiLevelType w:val="hybridMultilevel"/>
    <w:tmpl w:val="6A5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F66E0"/>
    <w:multiLevelType w:val="hybridMultilevel"/>
    <w:tmpl w:val="713C6358"/>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440BB"/>
    <w:multiLevelType w:val="hybridMultilevel"/>
    <w:tmpl w:val="2AC2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C00AB"/>
    <w:multiLevelType w:val="hybridMultilevel"/>
    <w:tmpl w:val="A6383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85650"/>
    <w:multiLevelType w:val="hybridMultilevel"/>
    <w:tmpl w:val="1BCE1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65B09"/>
    <w:multiLevelType w:val="hybridMultilevel"/>
    <w:tmpl w:val="A22AB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D443D"/>
    <w:multiLevelType w:val="hybridMultilevel"/>
    <w:tmpl w:val="64F21E58"/>
    <w:lvl w:ilvl="0" w:tplc="9ECA41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5"/>
  </w:num>
  <w:num w:numId="4">
    <w:abstractNumId w:val="10"/>
  </w:num>
  <w:num w:numId="5">
    <w:abstractNumId w:val="23"/>
  </w:num>
  <w:num w:numId="6">
    <w:abstractNumId w:val="3"/>
  </w:num>
  <w:num w:numId="7">
    <w:abstractNumId w:val="8"/>
  </w:num>
  <w:num w:numId="8">
    <w:abstractNumId w:val="19"/>
  </w:num>
  <w:num w:numId="9">
    <w:abstractNumId w:val="13"/>
  </w:num>
  <w:num w:numId="10">
    <w:abstractNumId w:val="9"/>
  </w:num>
  <w:num w:numId="11">
    <w:abstractNumId w:val="12"/>
  </w:num>
  <w:num w:numId="12">
    <w:abstractNumId w:val="7"/>
  </w:num>
  <w:num w:numId="13">
    <w:abstractNumId w:val="14"/>
  </w:num>
  <w:num w:numId="14">
    <w:abstractNumId w:val="4"/>
  </w:num>
  <w:num w:numId="15">
    <w:abstractNumId w:val="16"/>
  </w:num>
  <w:num w:numId="16">
    <w:abstractNumId w:val="5"/>
  </w:num>
  <w:num w:numId="17">
    <w:abstractNumId w:val="22"/>
  </w:num>
  <w:num w:numId="18">
    <w:abstractNumId w:val="20"/>
  </w:num>
  <w:num w:numId="19">
    <w:abstractNumId w:val="0"/>
  </w:num>
  <w:num w:numId="20">
    <w:abstractNumId w:val="11"/>
  </w:num>
  <w:num w:numId="21">
    <w:abstractNumId w:val="2"/>
  </w:num>
  <w:num w:numId="22">
    <w:abstractNumId w:val="6"/>
  </w:num>
  <w:num w:numId="23">
    <w:abstractNumId w:val="17"/>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F6194"/>
    <w:rsid w:val="00011FE9"/>
    <w:rsid w:val="00033D4D"/>
    <w:rsid w:val="00042C8B"/>
    <w:rsid w:val="00054C51"/>
    <w:rsid w:val="000606FB"/>
    <w:rsid w:val="000A04CB"/>
    <w:rsid w:val="000A6B33"/>
    <w:rsid w:val="000B0AE3"/>
    <w:rsid w:val="000B5120"/>
    <w:rsid w:val="001078E7"/>
    <w:rsid w:val="0013282B"/>
    <w:rsid w:val="00177CED"/>
    <w:rsid w:val="001A6877"/>
    <w:rsid w:val="001A70D9"/>
    <w:rsid w:val="001B4DFF"/>
    <w:rsid w:val="001B76DE"/>
    <w:rsid w:val="001C2258"/>
    <w:rsid w:val="001C3CFE"/>
    <w:rsid w:val="001D0568"/>
    <w:rsid w:val="001D2553"/>
    <w:rsid w:val="001E500E"/>
    <w:rsid w:val="001E6605"/>
    <w:rsid w:val="001F3DFF"/>
    <w:rsid w:val="00232974"/>
    <w:rsid w:val="002554C5"/>
    <w:rsid w:val="00261317"/>
    <w:rsid w:val="00267749"/>
    <w:rsid w:val="00287775"/>
    <w:rsid w:val="002D30E2"/>
    <w:rsid w:val="002D5CA6"/>
    <w:rsid w:val="0032278D"/>
    <w:rsid w:val="00334D9E"/>
    <w:rsid w:val="003373C9"/>
    <w:rsid w:val="00344197"/>
    <w:rsid w:val="00364672"/>
    <w:rsid w:val="00365A4F"/>
    <w:rsid w:val="00374EB2"/>
    <w:rsid w:val="003D3B7B"/>
    <w:rsid w:val="003D3DF2"/>
    <w:rsid w:val="004255FC"/>
    <w:rsid w:val="004562CB"/>
    <w:rsid w:val="00462AE0"/>
    <w:rsid w:val="00467A77"/>
    <w:rsid w:val="00472F31"/>
    <w:rsid w:val="00491360"/>
    <w:rsid w:val="004B4C3E"/>
    <w:rsid w:val="004C1459"/>
    <w:rsid w:val="004D65E2"/>
    <w:rsid w:val="004F19C2"/>
    <w:rsid w:val="0053277B"/>
    <w:rsid w:val="005523BF"/>
    <w:rsid w:val="005A001C"/>
    <w:rsid w:val="005D143E"/>
    <w:rsid w:val="005E2881"/>
    <w:rsid w:val="005F62E6"/>
    <w:rsid w:val="00603E0F"/>
    <w:rsid w:val="00631E02"/>
    <w:rsid w:val="00637844"/>
    <w:rsid w:val="00644A2E"/>
    <w:rsid w:val="00650C80"/>
    <w:rsid w:val="00652759"/>
    <w:rsid w:val="00665450"/>
    <w:rsid w:val="006679A9"/>
    <w:rsid w:val="00681EE6"/>
    <w:rsid w:val="00682486"/>
    <w:rsid w:val="006B0DC8"/>
    <w:rsid w:val="006D1191"/>
    <w:rsid w:val="006D2D18"/>
    <w:rsid w:val="006D411D"/>
    <w:rsid w:val="006D4F6C"/>
    <w:rsid w:val="006D5CAE"/>
    <w:rsid w:val="006E360E"/>
    <w:rsid w:val="006F1255"/>
    <w:rsid w:val="006F1367"/>
    <w:rsid w:val="006F6194"/>
    <w:rsid w:val="00710D09"/>
    <w:rsid w:val="00733109"/>
    <w:rsid w:val="00750935"/>
    <w:rsid w:val="00761EF1"/>
    <w:rsid w:val="00774068"/>
    <w:rsid w:val="007B55B9"/>
    <w:rsid w:val="007B7858"/>
    <w:rsid w:val="007C333C"/>
    <w:rsid w:val="007C437E"/>
    <w:rsid w:val="008060F3"/>
    <w:rsid w:val="00842FEA"/>
    <w:rsid w:val="0084548A"/>
    <w:rsid w:val="008479C3"/>
    <w:rsid w:val="00856DE0"/>
    <w:rsid w:val="00857E92"/>
    <w:rsid w:val="00857F07"/>
    <w:rsid w:val="00865322"/>
    <w:rsid w:val="00866109"/>
    <w:rsid w:val="00881F7A"/>
    <w:rsid w:val="008A7D56"/>
    <w:rsid w:val="008E5B82"/>
    <w:rsid w:val="008F65D2"/>
    <w:rsid w:val="00905EB9"/>
    <w:rsid w:val="00906F01"/>
    <w:rsid w:val="00926C99"/>
    <w:rsid w:val="00935309"/>
    <w:rsid w:val="009411DF"/>
    <w:rsid w:val="00963195"/>
    <w:rsid w:val="00974C4B"/>
    <w:rsid w:val="009A057F"/>
    <w:rsid w:val="00A266BF"/>
    <w:rsid w:val="00A44377"/>
    <w:rsid w:val="00A60F51"/>
    <w:rsid w:val="00A72992"/>
    <w:rsid w:val="00AA21F6"/>
    <w:rsid w:val="00AC6BD4"/>
    <w:rsid w:val="00B33C44"/>
    <w:rsid w:val="00B33E47"/>
    <w:rsid w:val="00B56BB2"/>
    <w:rsid w:val="00B61335"/>
    <w:rsid w:val="00B810C6"/>
    <w:rsid w:val="00B817A9"/>
    <w:rsid w:val="00B90906"/>
    <w:rsid w:val="00BA146C"/>
    <w:rsid w:val="00BA60F8"/>
    <w:rsid w:val="00BC6CB7"/>
    <w:rsid w:val="00C47798"/>
    <w:rsid w:val="00C5030A"/>
    <w:rsid w:val="00C86679"/>
    <w:rsid w:val="00CB393E"/>
    <w:rsid w:val="00D24294"/>
    <w:rsid w:val="00D332EA"/>
    <w:rsid w:val="00D60852"/>
    <w:rsid w:val="00D66FC4"/>
    <w:rsid w:val="00D70B57"/>
    <w:rsid w:val="00D72D1D"/>
    <w:rsid w:val="00D72DE6"/>
    <w:rsid w:val="00D75696"/>
    <w:rsid w:val="00D80B31"/>
    <w:rsid w:val="00D80FD3"/>
    <w:rsid w:val="00DB58F3"/>
    <w:rsid w:val="00DB724E"/>
    <w:rsid w:val="00DC33A9"/>
    <w:rsid w:val="00DE0B7B"/>
    <w:rsid w:val="00DF1D39"/>
    <w:rsid w:val="00E04D21"/>
    <w:rsid w:val="00E350C0"/>
    <w:rsid w:val="00E46EA5"/>
    <w:rsid w:val="00E46FEE"/>
    <w:rsid w:val="00E55AE2"/>
    <w:rsid w:val="00E76D83"/>
    <w:rsid w:val="00E8719B"/>
    <w:rsid w:val="00E87746"/>
    <w:rsid w:val="00EA0A2B"/>
    <w:rsid w:val="00EA7DBA"/>
    <w:rsid w:val="00EB3CE3"/>
    <w:rsid w:val="00EC687E"/>
    <w:rsid w:val="00EC7434"/>
    <w:rsid w:val="00ED7233"/>
    <w:rsid w:val="00F35DB7"/>
    <w:rsid w:val="00F84E9D"/>
    <w:rsid w:val="00F96BCB"/>
    <w:rsid w:val="00FB42F4"/>
    <w:rsid w:val="00FD2D3B"/>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EE60D9"/>
    <w:rPr>
      <w:rFonts w:ascii="Baskerville Old Face" w:hAnsi="Baskerville Old Face"/>
      <w:b/>
      <w:sz w:val="18"/>
      <w:u w:val="single"/>
    </w:rPr>
  </w:style>
  <w:style w:type="paragraph" w:styleId="Heading1">
    <w:name w:val="heading 1"/>
    <w:basedOn w:val="Normal"/>
    <w:next w:val="Normal"/>
    <w:link w:val="Heading1Char"/>
    <w:rsid w:val="006F6194"/>
    <w:pPr>
      <w:keepNext/>
      <w:keepLines/>
      <w:spacing w:before="480" w:after="0"/>
      <w:outlineLvl w:val="0"/>
    </w:pPr>
    <w:rPr>
      <w:rFonts w:asciiTheme="majorHAnsi" w:eastAsiaTheme="majorEastAsia" w:hAnsiTheme="majorHAnsi" w:cstheme="majorBidi"/>
      <w:b w:val="0"/>
      <w:bCs/>
      <w:color w:val="345A8A" w:themeColor="accent1" w:themeShade="B5"/>
      <w:sz w:val="32"/>
      <w:szCs w:val="32"/>
    </w:rPr>
  </w:style>
  <w:style w:type="paragraph" w:styleId="Heading2">
    <w:name w:val="heading 2"/>
    <w:basedOn w:val="Normal"/>
    <w:next w:val="Normal"/>
    <w:link w:val="Heading2Char"/>
    <w:rsid w:val="006F6194"/>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F6194"/>
    <w:rPr>
      <w:rFonts w:asciiTheme="majorHAnsi" w:eastAsiaTheme="majorEastAsia" w:hAnsiTheme="majorHAnsi" w:cstheme="majorBidi"/>
      <w:bCs/>
      <w:color w:val="345A8A" w:themeColor="accent1" w:themeShade="B5"/>
      <w:sz w:val="32"/>
      <w:szCs w:val="32"/>
      <w:u w:val="single"/>
    </w:rPr>
  </w:style>
  <w:style w:type="character" w:customStyle="1" w:styleId="Heading2Char">
    <w:name w:val="Heading 2 Char"/>
    <w:basedOn w:val="DefaultParagraphFont"/>
    <w:link w:val="Heading2"/>
    <w:rsid w:val="006F6194"/>
    <w:rPr>
      <w:rFonts w:asciiTheme="majorHAnsi" w:eastAsiaTheme="majorEastAsia" w:hAnsiTheme="majorHAnsi" w:cstheme="majorBidi"/>
      <w:bCs/>
      <w:color w:val="4F81BD" w:themeColor="accent1"/>
      <w:sz w:val="26"/>
      <w:szCs w:val="26"/>
      <w:u w:val="single"/>
    </w:rPr>
  </w:style>
  <w:style w:type="paragraph" w:styleId="ListParagraph">
    <w:name w:val="List Paragraph"/>
    <w:basedOn w:val="Normal"/>
    <w:rsid w:val="006F1255"/>
    <w:pPr>
      <w:ind w:left="720"/>
      <w:contextualSpacing/>
    </w:pPr>
  </w:style>
  <w:style w:type="paragraph" w:styleId="ListBullet">
    <w:name w:val="List Bullet"/>
    <w:basedOn w:val="Normal"/>
    <w:rsid w:val="006F1255"/>
    <w:pPr>
      <w:numPr>
        <w:numId w:val="2"/>
      </w:numPr>
      <w:contextualSpacing/>
    </w:pPr>
  </w:style>
  <w:style w:type="paragraph" w:styleId="Header">
    <w:name w:val="header"/>
    <w:basedOn w:val="Normal"/>
    <w:link w:val="HeaderChar"/>
    <w:rsid w:val="007C333C"/>
    <w:pPr>
      <w:tabs>
        <w:tab w:val="center" w:pos="4320"/>
        <w:tab w:val="right" w:pos="8640"/>
      </w:tabs>
      <w:spacing w:after="0"/>
    </w:pPr>
  </w:style>
  <w:style w:type="character" w:customStyle="1" w:styleId="HeaderChar">
    <w:name w:val="Header Char"/>
    <w:basedOn w:val="DefaultParagraphFont"/>
    <w:link w:val="Header"/>
    <w:rsid w:val="007C333C"/>
    <w:rPr>
      <w:rFonts w:ascii="Baskerville Old Face" w:hAnsi="Baskerville Old Face"/>
      <w:b/>
      <w:sz w:val="18"/>
      <w:u w:val="single"/>
    </w:rPr>
  </w:style>
  <w:style w:type="character" w:styleId="PageNumber">
    <w:name w:val="page number"/>
    <w:basedOn w:val="DefaultParagraphFont"/>
    <w:rsid w:val="007C333C"/>
  </w:style>
  <w:style w:type="paragraph" w:styleId="TOCHeading">
    <w:name w:val="TOC Heading"/>
    <w:basedOn w:val="Heading1"/>
    <w:next w:val="Normal"/>
    <w:uiPriority w:val="39"/>
    <w:unhideWhenUsed/>
    <w:qFormat/>
    <w:rsid w:val="00BC6CB7"/>
    <w:pPr>
      <w:spacing w:line="276" w:lineRule="auto"/>
      <w:outlineLvl w:val="9"/>
    </w:pPr>
    <w:rPr>
      <w:b/>
      <w:color w:val="365F91" w:themeColor="accent1" w:themeShade="BF"/>
      <w:sz w:val="28"/>
      <w:szCs w:val="28"/>
      <w:u w:val="none"/>
    </w:rPr>
  </w:style>
  <w:style w:type="paragraph" w:styleId="TOC1">
    <w:name w:val="toc 1"/>
    <w:basedOn w:val="Normal"/>
    <w:next w:val="Normal"/>
    <w:autoRedefine/>
    <w:uiPriority w:val="39"/>
    <w:rsid w:val="00BC6CB7"/>
    <w:pPr>
      <w:spacing w:before="240" w:after="120"/>
    </w:pPr>
    <w:rPr>
      <w:rFonts w:asciiTheme="minorHAnsi" w:hAnsiTheme="minorHAnsi"/>
      <w:caps/>
      <w:sz w:val="22"/>
      <w:szCs w:val="22"/>
    </w:rPr>
  </w:style>
  <w:style w:type="paragraph" w:styleId="TOC2">
    <w:name w:val="toc 2"/>
    <w:basedOn w:val="Normal"/>
    <w:next w:val="Normal"/>
    <w:autoRedefine/>
    <w:uiPriority w:val="39"/>
    <w:rsid w:val="00BC6CB7"/>
    <w:pPr>
      <w:spacing w:after="0"/>
    </w:pPr>
    <w:rPr>
      <w:rFonts w:asciiTheme="minorHAnsi" w:hAnsiTheme="minorHAnsi"/>
      <w:smallCaps/>
      <w:sz w:val="22"/>
      <w:szCs w:val="22"/>
      <w:u w:val="none"/>
    </w:rPr>
  </w:style>
  <w:style w:type="paragraph" w:styleId="TOC3">
    <w:name w:val="toc 3"/>
    <w:basedOn w:val="Normal"/>
    <w:next w:val="Normal"/>
    <w:autoRedefine/>
    <w:uiPriority w:val="39"/>
    <w:rsid w:val="00BC6CB7"/>
    <w:pPr>
      <w:spacing w:after="0"/>
    </w:pPr>
    <w:rPr>
      <w:rFonts w:asciiTheme="minorHAnsi" w:hAnsiTheme="minorHAnsi"/>
      <w:b w:val="0"/>
      <w:smallCaps/>
      <w:sz w:val="22"/>
      <w:szCs w:val="22"/>
      <w:u w:val="none"/>
    </w:rPr>
  </w:style>
  <w:style w:type="paragraph" w:styleId="TOC4">
    <w:name w:val="toc 4"/>
    <w:basedOn w:val="Normal"/>
    <w:next w:val="Normal"/>
    <w:autoRedefine/>
    <w:uiPriority w:val="39"/>
    <w:rsid w:val="00BC6CB7"/>
    <w:pPr>
      <w:spacing w:after="0"/>
    </w:pPr>
    <w:rPr>
      <w:rFonts w:asciiTheme="minorHAnsi" w:hAnsiTheme="minorHAnsi"/>
      <w:b w:val="0"/>
      <w:sz w:val="22"/>
      <w:szCs w:val="22"/>
      <w:u w:val="none"/>
    </w:rPr>
  </w:style>
  <w:style w:type="paragraph" w:styleId="TOC5">
    <w:name w:val="toc 5"/>
    <w:basedOn w:val="Normal"/>
    <w:next w:val="Normal"/>
    <w:autoRedefine/>
    <w:uiPriority w:val="39"/>
    <w:rsid w:val="00BC6CB7"/>
    <w:pPr>
      <w:spacing w:after="0"/>
    </w:pPr>
    <w:rPr>
      <w:rFonts w:asciiTheme="minorHAnsi" w:hAnsiTheme="minorHAnsi"/>
      <w:b w:val="0"/>
      <w:sz w:val="22"/>
      <w:szCs w:val="22"/>
      <w:u w:val="none"/>
    </w:rPr>
  </w:style>
  <w:style w:type="paragraph" w:styleId="TOC6">
    <w:name w:val="toc 6"/>
    <w:basedOn w:val="Normal"/>
    <w:next w:val="Normal"/>
    <w:autoRedefine/>
    <w:uiPriority w:val="39"/>
    <w:rsid w:val="00BC6CB7"/>
    <w:pPr>
      <w:spacing w:after="0"/>
    </w:pPr>
    <w:rPr>
      <w:rFonts w:asciiTheme="minorHAnsi" w:hAnsiTheme="minorHAnsi"/>
      <w:b w:val="0"/>
      <w:sz w:val="22"/>
      <w:szCs w:val="22"/>
      <w:u w:val="none"/>
    </w:rPr>
  </w:style>
  <w:style w:type="paragraph" w:styleId="TOC7">
    <w:name w:val="toc 7"/>
    <w:basedOn w:val="Normal"/>
    <w:next w:val="Normal"/>
    <w:autoRedefine/>
    <w:uiPriority w:val="39"/>
    <w:rsid w:val="00BC6CB7"/>
    <w:pPr>
      <w:spacing w:after="0"/>
    </w:pPr>
    <w:rPr>
      <w:rFonts w:asciiTheme="minorHAnsi" w:hAnsiTheme="minorHAnsi"/>
      <w:b w:val="0"/>
      <w:sz w:val="22"/>
      <w:szCs w:val="22"/>
      <w:u w:val="none"/>
    </w:rPr>
  </w:style>
  <w:style w:type="paragraph" w:styleId="TOC8">
    <w:name w:val="toc 8"/>
    <w:basedOn w:val="Normal"/>
    <w:next w:val="Normal"/>
    <w:autoRedefine/>
    <w:uiPriority w:val="39"/>
    <w:rsid w:val="00BC6CB7"/>
    <w:pPr>
      <w:spacing w:after="0"/>
    </w:pPr>
    <w:rPr>
      <w:rFonts w:asciiTheme="minorHAnsi" w:hAnsiTheme="minorHAnsi"/>
      <w:b w:val="0"/>
      <w:sz w:val="22"/>
      <w:szCs w:val="22"/>
      <w:u w:val="none"/>
    </w:rPr>
  </w:style>
  <w:style w:type="paragraph" w:styleId="TOC9">
    <w:name w:val="toc 9"/>
    <w:basedOn w:val="Normal"/>
    <w:next w:val="Normal"/>
    <w:autoRedefine/>
    <w:uiPriority w:val="39"/>
    <w:rsid w:val="00BC6CB7"/>
    <w:pPr>
      <w:spacing w:after="0"/>
    </w:pPr>
    <w:rPr>
      <w:rFonts w:asciiTheme="minorHAnsi" w:hAnsiTheme="minorHAnsi"/>
      <w:b w:val="0"/>
      <w:sz w:val="22"/>
      <w:szCs w:val="22"/>
      <w:u w:val="none"/>
    </w:rPr>
  </w:style>
  <w:style w:type="paragraph" w:styleId="NoteLevel1">
    <w:name w:val="Note Level 1"/>
    <w:basedOn w:val="Normal"/>
    <w:uiPriority w:val="99"/>
    <w:unhideWhenUsed/>
    <w:rsid w:val="00267749"/>
    <w:pPr>
      <w:keepNext/>
      <w:numPr>
        <w:numId w:val="19"/>
      </w:numPr>
      <w:spacing w:after="0"/>
      <w:contextualSpacing/>
      <w:outlineLvl w:val="0"/>
    </w:pPr>
    <w:rPr>
      <w:rFonts w:ascii="Verdana" w:eastAsia="ＭＳ ゴシック" w:hAnsi="Verdana"/>
      <w:b w:val="0"/>
      <w:sz w:val="24"/>
      <w:u w:val="none"/>
    </w:rPr>
  </w:style>
  <w:style w:type="paragraph" w:styleId="NoteLevel2">
    <w:name w:val="Note Level 2"/>
    <w:basedOn w:val="Normal"/>
    <w:uiPriority w:val="99"/>
    <w:unhideWhenUsed/>
    <w:rsid w:val="00267749"/>
    <w:pPr>
      <w:keepNext/>
      <w:numPr>
        <w:ilvl w:val="1"/>
        <w:numId w:val="19"/>
      </w:numPr>
      <w:spacing w:after="0"/>
      <w:contextualSpacing/>
      <w:outlineLvl w:val="1"/>
    </w:pPr>
    <w:rPr>
      <w:rFonts w:ascii="Verdana" w:eastAsia="ＭＳ ゴシック" w:hAnsi="Verdana"/>
      <w:b w:val="0"/>
      <w:sz w:val="24"/>
      <w:u w:val="none"/>
    </w:rPr>
  </w:style>
  <w:style w:type="paragraph" w:styleId="NoteLevel3">
    <w:name w:val="Note Level 3"/>
    <w:basedOn w:val="Normal"/>
    <w:uiPriority w:val="99"/>
    <w:unhideWhenUsed/>
    <w:rsid w:val="00267749"/>
    <w:pPr>
      <w:keepNext/>
      <w:numPr>
        <w:ilvl w:val="2"/>
        <w:numId w:val="19"/>
      </w:numPr>
      <w:spacing w:after="0"/>
      <w:contextualSpacing/>
      <w:outlineLvl w:val="2"/>
    </w:pPr>
    <w:rPr>
      <w:rFonts w:ascii="Verdana" w:eastAsia="ＭＳ ゴシック" w:hAnsi="Verdana"/>
      <w:b w:val="0"/>
      <w:sz w:val="24"/>
      <w:u w:val="none"/>
    </w:rPr>
  </w:style>
  <w:style w:type="paragraph" w:styleId="NoteLevel4">
    <w:name w:val="Note Level 4"/>
    <w:basedOn w:val="Normal"/>
    <w:uiPriority w:val="99"/>
    <w:unhideWhenUsed/>
    <w:rsid w:val="00267749"/>
    <w:pPr>
      <w:keepNext/>
      <w:numPr>
        <w:ilvl w:val="3"/>
        <w:numId w:val="19"/>
      </w:numPr>
      <w:spacing w:after="0"/>
      <w:contextualSpacing/>
      <w:outlineLvl w:val="3"/>
    </w:pPr>
    <w:rPr>
      <w:rFonts w:ascii="Verdana" w:eastAsia="ＭＳ ゴシック" w:hAnsi="Verdana"/>
      <w:b w:val="0"/>
      <w:sz w:val="24"/>
      <w:u w:val="none"/>
    </w:rPr>
  </w:style>
  <w:style w:type="paragraph" w:styleId="NoteLevel5">
    <w:name w:val="Note Level 5"/>
    <w:basedOn w:val="Normal"/>
    <w:uiPriority w:val="99"/>
    <w:unhideWhenUsed/>
    <w:rsid w:val="00267749"/>
    <w:pPr>
      <w:keepNext/>
      <w:numPr>
        <w:ilvl w:val="4"/>
        <w:numId w:val="19"/>
      </w:numPr>
      <w:spacing w:after="0"/>
      <w:contextualSpacing/>
      <w:outlineLvl w:val="4"/>
    </w:pPr>
    <w:rPr>
      <w:rFonts w:ascii="Verdana" w:eastAsia="ＭＳ ゴシック" w:hAnsi="Verdana"/>
      <w:b w:val="0"/>
      <w:sz w:val="24"/>
      <w:u w:val="none"/>
    </w:rPr>
  </w:style>
  <w:style w:type="paragraph" w:styleId="NoteLevel6">
    <w:name w:val="Note Level 6"/>
    <w:basedOn w:val="Normal"/>
    <w:uiPriority w:val="99"/>
    <w:unhideWhenUsed/>
    <w:rsid w:val="00267749"/>
    <w:pPr>
      <w:keepNext/>
      <w:numPr>
        <w:ilvl w:val="5"/>
        <w:numId w:val="19"/>
      </w:numPr>
      <w:spacing w:after="0"/>
      <w:contextualSpacing/>
      <w:outlineLvl w:val="5"/>
    </w:pPr>
    <w:rPr>
      <w:rFonts w:ascii="Verdana" w:eastAsia="ＭＳ ゴシック" w:hAnsi="Verdana"/>
      <w:b w:val="0"/>
      <w:sz w:val="24"/>
      <w:u w:val="none"/>
    </w:rPr>
  </w:style>
  <w:style w:type="paragraph" w:styleId="NoteLevel7">
    <w:name w:val="Note Level 7"/>
    <w:basedOn w:val="Normal"/>
    <w:uiPriority w:val="99"/>
    <w:unhideWhenUsed/>
    <w:rsid w:val="00267749"/>
    <w:pPr>
      <w:keepNext/>
      <w:numPr>
        <w:ilvl w:val="6"/>
        <w:numId w:val="19"/>
      </w:numPr>
      <w:spacing w:after="0"/>
      <w:contextualSpacing/>
      <w:outlineLvl w:val="6"/>
    </w:pPr>
    <w:rPr>
      <w:rFonts w:ascii="Verdana" w:eastAsia="ＭＳ ゴシック" w:hAnsi="Verdana"/>
      <w:b w:val="0"/>
      <w:sz w:val="24"/>
      <w:u w:val="none"/>
    </w:rPr>
  </w:style>
  <w:style w:type="paragraph" w:styleId="NoteLevel8">
    <w:name w:val="Note Level 8"/>
    <w:basedOn w:val="Normal"/>
    <w:uiPriority w:val="99"/>
    <w:unhideWhenUsed/>
    <w:rsid w:val="00267749"/>
    <w:pPr>
      <w:keepNext/>
      <w:numPr>
        <w:ilvl w:val="7"/>
        <w:numId w:val="19"/>
      </w:numPr>
      <w:spacing w:after="0"/>
      <w:contextualSpacing/>
      <w:outlineLvl w:val="7"/>
    </w:pPr>
    <w:rPr>
      <w:rFonts w:ascii="Verdana" w:eastAsia="ＭＳ ゴシック" w:hAnsi="Verdana"/>
      <w:b w:val="0"/>
      <w:sz w:val="24"/>
      <w:u w:val="none"/>
    </w:rPr>
  </w:style>
  <w:style w:type="paragraph" w:styleId="NoteLevel9">
    <w:name w:val="Note Level 9"/>
    <w:basedOn w:val="Normal"/>
    <w:uiPriority w:val="99"/>
    <w:unhideWhenUsed/>
    <w:rsid w:val="00267749"/>
    <w:pPr>
      <w:keepNext/>
      <w:numPr>
        <w:ilvl w:val="8"/>
        <w:numId w:val="19"/>
      </w:numPr>
      <w:spacing w:after="0"/>
      <w:contextualSpacing/>
      <w:outlineLvl w:val="8"/>
    </w:pPr>
    <w:rPr>
      <w:rFonts w:ascii="Verdana" w:eastAsia="ＭＳ ゴシック" w:hAnsi="Verdana"/>
      <w:b w:val="0"/>
      <w:sz w:val="24"/>
      <w:u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23</Pages>
  <Words>8042</Words>
  <Characters>45845</Characters>
  <Application>Microsoft Word 12.0.0</Application>
  <DocSecurity>0</DocSecurity>
  <Lines>382</Lines>
  <Paragraphs>91</Paragraphs>
  <ScaleCrop>false</ScaleCrop>
  <LinksUpToDate>false</LinksUpToDate>
  <CharactersWithSpaces>56300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Dallakyan</dc:creator>
  <cp:keywords/>
  <cp:lastModifiedBy>Robert Dallakyan</cp:lastModifiedBy>
  <cp:revision>98</cp:revision>
  <cp:lastPrinted>2014-04-10T02:40:00Z</cp:lastPrinted>
  <dcterms:created xsi:type="dcterms:W3CDTF">2014-04-08T22:19:00Z</dcterms:created>
  <dcterms:modified xsi:type="dcterms:W3CDTF">2014-04-10T03:45:00Z</dcterms:modified>
</cp:coreProperties>
</file>