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3A02" w14:textId="77777777" w:rsidR="00FE59D0" w:rsidRDefault="00EC1304">
      <w:pPr>
        <w:rPr>
          <w:sz w:val="20"/>
          <w:szCs w:val="20"/>
        </w:rPr>
      </w:pPr>
      <w:r w:rsidRPr="0084101A">
        <w:rPr>
          <w:sz w:val="20"/>
          <w:szCs w:val="20"/>
          <w:highlight w:val="yellow"/>
        </w:rPr>
        <w:t xml:space="preserve">A defendant can only be held liable for an intentional tort if his/her conduct is both </w:t>
      </w:r>
      <w:r w:rsidRPr="0084101A">
        <w:rPr>
          <w:b/>
          <w:sz w:val="20"/>
          <w:szCs w:val="20"/>
          <w:highlight w:val="yellow"/>
        </w:rPr>
        <w:t>voluntary</w:t>
      </w:r>
      <w:r w:rsidRPr="0084101A">
        <w:rPr>
          <w:sz w:val="20"/>
          <w:szCs w:val="20"/>
          <w:highlight w:val="yellow"/>
        </w:rPr>
        <w:t xml:space="preserve"> and </w:t>
      </w:r>
      <w:r w:rsidRPr="0084101A">
        <w:rPr>
          <w:b/>
          <w:sz w:val="20"/>
          <w:szCs w:val="20"/>
          <w:highlight w:val="yellow"/>
        </w:rPr>
        <w:t>intentional</w:t>
      </w:r>
      <w:r w:rsidRPr="0084101A">
        <w:rPr>
          <w:sz w:val="20"/>
          <w:szCs w:val="20"/>
          <w:highlight w:val="yellow"/>
        </w:rPr>
        <w:t>.</w:t>
      </w:r>
    </w:p>
    <w:p w14:paraId="170514AE" w14:textId="77777777" w:rsidR="00EC1304" w:rsidRDefault="00885984" w:rsidP="00885984">
      <w:pPr>
        <w:pStyle w:val="ListParagraph"/>
        <w:numPr>
          <w:ilvl w:val="0"/>
          <w:numId w:val="1"/>
        </w:numPr>
        <w:rPr>
          <w:sz w:val="20"/>
          <w:szCs w:val="20"/>
        </w:rPr>
      </w:pPr>
      <w:r>
        <w:rPr>
          <w:b/>
          <w:i/>
          <w:sz w:val="20"/>
          <w:szCs w:val="20"/>
        </w:rPr>
        <w:t>Smith v Stone</w:t>
      </w:r>
      <w:r w:rsidR="00067CC0">
        <w:rPr>
          <w:sz w:val="20"/>
          <w:szCs w:val="20"/>
        </w:rPr>
        <w:t>—</w:t>
      </w:r>
      <w:r w:rsidR="00067CC0" w:rsidRPr="00067CC0">
        <w:rPr>
          <w:sz w:val="20"/>
          <w:szCs w:val="20"/>
        </w:rPr>
        <w:t>case where person was carried onto land, but without their consent</w:t>
      </w:r>
    </w:p>
    <w:p w14:paraId="38F7024C" w14:textId="77777777" w:rsidR="00067CC0" w:rsidRDefault="00067CC0" w:rsidP="00067CC0">
      <w:pPr>
        <w:pStyle w:val="ListParagraph"/>
        <w:numPr>
          <w:ilvl w:val="1"/>
          <w:numId w:val="1"/>
        </w:numPr>
        <w:rPr>
          <w:sz w:val="20"/>
          <w:szCs w:val="20"/>
        </w:rPr>
      </w:pPr>
      <w:r>
        <w:rPr>
          <w:sz w:val="20"/>
          <w:szCs w:val="20"/>
          <w:u w:val="single"/>
        </w:rPr>
        <w:t>Ratio</w:t>
      </w:r>
      <w:r>
        <w:rPr>
          <w:sz w:val="20"/>
          <w:szCs w:val="20"/>
        </w:rPr>
        <w:t>—without volition there cannot be intent</w:t>
      </w:r>
    </w:p>
    <w:p w14:paraId="771FE217" w14:textId="77777777" w:rsidR="00067CC0" w:rsidRDefault="00067CC0" w:rsidP="00067CC0">
      <w:pPr>
        <w:pStyle w:val="ListParagraph"/>
        <w:numPr>
          <w:ilvl w:val="0"/>
          <w:numId w:val="1"/>
        </w:numPr>
        <w:rPr>
          <w:sz w:val="20"/>
          <w:szCs w:val="20"/>
        </w:rPr>
      </w:pPr>
      <w:proofErr w:type="gramStart"/>
      <w:r>
        <w:rPr>
          <w:b/>
          <w:sz w:val="20"/>
          <w:szCs w:val="20"/>
        </w:rPr>
        <w:t>intent</w:t>
      </w:r>
      <w:proofErr w:type="gramEnd"/>
      <w:r>
        <w:rPr>
          <w:sz w:val="20"/>
          <w:szCs w:val="20"/>
        </w:rPr>
        <w:t>—an actor’s desire to bring about the results/consequences of his actions</w:t>
      </w:r>
    </w:p>
    <w:p w14:paraId="1D318D4F" w14:textId="77777777" w:rsidR="00D97BE2" w:rsidRDefault="00D97BE2" w:rsidP="00D97BE2">
      <w:pPr>
        <w:pStyle w:val="ListParagraph"/>
        <w:numPr>
          <w:ilvl w:val="1"/>
          <w:numId w:val="1"/>
        </w:numPr>
        <w:rPr>
          <w:sz w:val="20"/>
          <w:szCs w:val="20"/>
        </w:rPr>
      </w:pPr>
      <w:proofErr w:type="gramStart"/>
      <w:r>
        <w:rPr>
          <w:sz w:val="20"/>
          <w:szCs w:val="20"/>
          <w:u w:val="single"/>
        </w:rPr>
        <w:t>imputed</w:t>
      </w:r>
      <w:proofErr w:type="gramEnd"/>
      <w:r>
        <w:rPr>
          <w:sz w:val="20"/>
          <w:szCs w:val="20"/>
          <w:u w:val="single"/>
        </w:rPr>
        <w:t>/constructive intent</w:t>
      </w:r>
      <w:r>
        <w:rPr>
          <w:sz w:val="20"/>
          <w:szCs w:val="20"/>
        </w:rPr>
        <w:t>—situation where defendant didn’t’ desire the consequences to occur, but they were substantially certain to result from his act</w:t>
      </w:r>
    </w:p>
    <w:p w14:paraId="1106DA68" w14:textId="77777777" w:rsidR="0084101A" w:rsidRDefault="0084101A" w:rsidP="00D97BE2">
      <w:pPr>
        <w:pStyle w:val="ListParagraph"/>
        <w:numPr>
          <w:ilvl w:val="1"/>
          <w:numId w:val="1"/>
        </w:numPr>
        <w:rPr>
          <w:sz w:val="20"/>
          <w:szCs w:val="20"/>
        </w:rPr>
      </w:pPr>
      <w:proofErr w:type="gramStart"/>
      <w:r>
        <w:rPr>
          <w:sz w:val="20"/>
          <w:szCs w:val="20"/>
          <w:u w:val="single"/>
        </w:rPr>
        <w:t>transferred</w:t>
      </w:r>
      <w:proofErr w:type="gramEnd"/>
      <w:r>
        <w:rPr>
          <w:sz w:val="20"/>
          <w:szCs w:val="20"/>
          <w:u w:val="single"/>
        </w:rPr>
        <w:t xml:space="preserve"> intent</w:t>
      </w:r>
      <w:r>
        <w:rPr>
          <w:sz w:val="20"/>
          <w:szCs w:val="20"/>
        </w:rPr>
        <w:t>—2 kinds</w:t>
      </w:r>
    </w:p>
    <w:p w14:paraId="4EF57EEE" w14:textId="77777777" w:rsidR="0084101A" w:rsidRDefault="0084101A" w:rsidP="0084101A">
      <w:pPr>
        <w:pStyle w:val="ListParagraph"/>
        <w:numPr>
          <w:ilvl w:val="2"/>
          <w:numId w:val="1"/>
        </w:numPr>
        <w:rPr>
          <w:sz w:val="20"/>
          <w:szCs w:val="20"/>
        </w:rPr>
      </w:pPr>
      <w:proofErr w:type="gramStart"/>
      <w:r>
        <w:rPr>
          <w:sz w:val="20"/>
          <w:szCs w:val="20"/>
        </w:rPr>
        <w:t>when</w:t>
      </w:r>
      <w:proofErr w:type="gramEnd"/>
      <w:r>
        <w:rPr>
          <w:sz w:val="20"/>
          <w:szCs w:val="20"/>
        </w:rPr>
        <w:t xml:space="preserve"> a defendant intends to commit an intentional tort against one person, but unintentionally commits an intentional tort against someone else (plaintiff)</w:t>
      </w:r>
    </w:p>
    <w:p w14:paraId="3B133E50" w14:textId="77777777" w:rsidR="0084101A" w:rsidRDefault="0084101A" w:rsidP="0084101A">
      <w:pPr>
        <w:pStyle w:val="ListParagraph"/>
        <w:numPr>
          <w:ilvl w:val="2"/>
          <w:numId w:val="1"/>
        </w:numPr>
        <w:rPr>
          <w:sz w:val="20"/>
          <w:szCs w:val="20"/>
        </w:rPr>
      </w:pPr>
      <w:proofErr w:type="gramStart"/>
      <w:r>
        <w:rPr>
          <w:sz w:val="20"/>
          <w:szCs w:val="20"/>
        </w:rPr>
        <w:t>when</w:t>
      </w:r>
      <w:proofErr w:type="gramEnd"/>
      <w:r>
        <w:rPr>
          <w:sz w:val="20"/>
          <w:szCs w:val="20"/>
        </w:rPr>
        <w:t xml:space="preserve"> defendant intends to commit one type of intentional tort against the plaintiff, but unintentionally commits another</w:t>
      </w:r>
    </w:p>
    <w:p w14:paraId="6C4A5256" w14:textId="77777777" w:rsidR="0084101A" w:rsidRDefault="0084101A" w:rsidP="0084101A">
      <w:pPr>
        <w:pStyle w:val="ListParagraph"/>
        <w:numPr>
          <w:ilvl w:val="1"/>
          <w:numId w:val="1"/>
        </w:numPr>
        <w:rPr>
          <w:sz w:val="20"/>
          <w:szCs w:val="20"/>
        </w:rPr>
      </w:pPr>
      <w:proofErr w:type="gramStart"/>
      <w:r>
        <w:rPr>
          <w:sz w:val="20"/>
          <w:szCs w:val="20"/>
        </w:rPr>
        <w:t>hard</w:t>
      </w:r>
      <w:proofErr w:type="gramEnd"/>
      <w:r>
        <w:rPr>
          <w:sz w:val="20"/>
          <w:szCs w:val="20"/>
        </w:rPr>
        <w:t xml:space="preserve"> to prove subjective mindset, context and timing are important</w:t>
      </w:r>
    </w:p>
    <w:p w14:paraId="7A458DD2" w14:textId="77777777" w:rsidR="0084101A" w:rsidRDefault="0084101A" w:rsidP="0084101A">
      <w:pPr>
        <w:pStyle w:val="ListParagraph"/>
        <w:numPr>
          <w:ilvl w:val="0"/>
          <w:numId w:val="1"/>
        </w:numPr>
        <w:rPr>
          <w:sz w:val="20"/>
          <w:szCs w:val="20"/>
        </w:rPr>
      </w:pPr>
      <w:proofErr w:type="gramStart"/>
      <w:r>
        <w:rPr>
          <w:b/>
          <w:sz w:val="20"/>
          <w:szCs w:val="20"/>
        </w:rPr>
        <w:t>motive</w:t>
      </w:r>
      <w:proofErr w:type="gramEnd"/>
      <w:r>
        <w:rPr>
          <w:sz w:val="20"/>
          <w:szCs w:val="20"/>
        </w:rPr>
        <w:t>—reason behind human action.  Not necessary to show motive, but may help to show intent</w:t>
      </w:r>
    </w:p>
    <w:p w14:paraId="595EB6BC" w14:textId="77777777" w:rsidR="0084101A" w:rsidRDefault="0084101A" w:rsidP="0084101A">
      <w:pPr>
        <w:pStyle w:val="ListParagraph"/>
        <w:numPr>
          <w:ilvl w:val="1"/>
          <w:numId w:val="1"/>
        </w:numPr>
        <w:rPr>
          <w:sz w:val="20"/>
          <w:szCs w:val="20"/>
        </w:rPr>
      </w:pPr>
      <w:proofErr w:type="gramStart"/>
      <w:r>
        <w:rPr>
          <w:sz w:val="20"/>
          <w:szCs w:val="20"/>
          <w:u w:val="single"/>
        </w:rPr>
        <w:t>duress</w:t>
      </w:r>
      <w:proofErr w:type="gramEnd"/>
      <w:r w:rsidR="00CA6D90">
        <w:rPr>
          <w:sz w:val="20"/>
          <w:szCs w:val="20"/>
        </w:rPr>
        <w:t>—traditionally can mitigate damages, but won’t get rid of tort</w:t>
      </w:r>
    </w:p>
    <w:p w14:paraId="21953778" w14:textId="77777777" w:rsidR="00CA6D90" w:rsidRDefault="00CA6D90" w:rsidP="00CA6D90">
      <w:pPr>
        <w:pStyle w:val="ListParagraph"/>
        <w:numPr>
          <w:ilvl w:val="2"/>
          <w:numId w:val="1"/>
        </w:numPr>
        <w:rPr>
          <w:sz w:val="20"/>
          <w:szCs w:val="20"/>
        </w:rPr>
      </w:pPr>
      <w:r>
        <w:rPr>
          <w:b/>
          <w:i/>
          <w:sz w:val="20"/>
          <w:szCs w:val="20"/>
        </w:rPr>
        <w:t>Gilbert v Stone</w:t>
      </w:r>
      <w:r>
        <w:rPr>
          <w:sz w:val="20"/>
          <w:szCs w:val="20"/>
        </w:rPr>
        <w:t>—guy steals horse because armed men threatened to kill him if he didn’t, not a defence, judgment for the plaintiff</w:t>
      </w:r>
    </w:p>
    <w:p w14:paraId="747DC305" w14:textId="77777777" w:rsidR="0084101A" w:rsidRDefault="0084101A" w:rsidP="0084101A">
      <w:pPr>
        <w:pStyle w:val="ListParagraph"/>
        <w:numPr>
          <w:ilvl w:val="0"/>
          <w:numId w:val="1"/>
        </w:numPr>
        <w:rPr>
          <w:sz w:val="20"/>
          <w:szCs w:val="20"/>
        </w:rPr>
      </w:pPr>
      <w:proofErr w:type="gramStart"/>
      <w:r w:rsidRPr="00D75075">
        <w:rPr>
          <w:b/>
          <w:sz w:val="20"/>
          <w:szCs w:val="20"/>
          <w:highlight w:val="lightGray"/>
        </w:rPr>
        <w:t>provocation</w:t>
      </w:r>
      <w:proofErr w:type="gramEnd"/>
      <w:r w:rsidR="006672D5">
        <w:rPr>
          <w:sz w:val="20"/>
          <w:szCs w:val="20"/>
        </w:rPr>
        <w:t>—intentional response to an awful act/insult to which they instinctively responded</w:t>
      </w:r>
    </w:p>
    <w:p w14:paraId="17AF7B26" w14:textId="77777777" w:rsidR="00152B99" w:rsidRDefault="00152B99" w:rsidP="00152B99">
      <w:pPr>
        <w:pStyle w:val="ListParagraph"/>
        <w:numPr>
          <w:ilvl w:val="1"/>
          <w:numId w:val="1"/>
        </w:numPr>
        <w:rPr>
          <w:sz w:val="20"/>
          <w:szCs w:val="20"/>
        </w:rPr>
      </w:pPr>
      <w:proofErr w:type="gramStart"/>
      <w:r>
        <w:rPr>
          <w:sz w:val="20"/>
          <w:szCs w:val="20"/>
        </w:rPr>
        <w:t>mitigating</w:t>
      </w:r>
      <w:proofErr w:type="gramEnd"/>
      <w:r>
        <w:rPr>
          <w:sz w:val="20"/>
          <w:szCs w:val="20"/>
        </w:rPr>
        <w:t xml:space="preserve"> factor, generally not a defence</w:t>
      </w:r>
    </w:p>
    <w:p w14:paraId="42141CAC" w14:textId="77777777" w:rsidR="00152B99" w:rsidRDefault="00152B99" w:rsidP="00152B99">
      <w:pPr>
        <w:pStyle w:val="ListParagraph"/>
        <w:numPr>
          <w:ilvl w:val="1"/>
          <w:numId w:val="1"/>
        </w:numPr>
        <w:rPr>
          <w:sz w:val="20"/>
          <w:szCs w:val="20"/>
        </w:rPr>
      </w:pPr>
      <w:proofErr w:type="spellStart"/>
      <w:r>
        <w:rPr>
          <w:b/>
          <w:i/>
          <w:sz w:val="20"/>
          <w:szCs w:val="20"/>
        </w:rPr>
        <w:t>Miska</w:t>
      </w:r>
      <w:proofErr w:type="spellEnd"/>
      <w:r>
        <w:rPr>
          <w:b/>
          <w:i/>
          <w:sz w:val="20"/>
          <w:szCs w:val="20"/>
        </w:rPr>
        <w:t xml:space="preserve"> v </w:t>
      </w:r>
      <w:proofErr w:type="spellStart"/>
      <w:r>
        <w:rPr>
          <w:b/>
          <w:i/>
          <w:sz w:val="20"/>
          <w:szCs w:val="20"/>
        </w:rPr>
        <w:t>Sivek</w:t>
      </w:r>
      <w:proofErr w:type="spellEnd"/>
      <w:r>
        <w:rPr>
          <w:sz w:val="20"/>
          <w:szCs w:val="20"/>
        </w:rPr>
        <w:t>—incident causing provocation must have occurred suddenly before the attack</w:t>
      </w:r>
    </w:p>
    <w:p w14:paraId="189CD159" w14:textId="77777777" w:rsidR="00152B99" w:rsidRDefault="00152B99" w:rsidP="00152B99">
      <w:pPr>
        <w:pStyle w:val="ListParagraph"/>
        <w:numPr>
          <w:ilvl w:val="0"/>
          <w:numId w:val="1"/>
        </w:numPr>
        <w:rPr>
          <w:sz w:val="20"/>
          <w:szCs w:val="20"/>
        </w:rPr>
      </w:pPr>
      <w:proofErr w:type="gramStart"/>
      <w:r w:rsidRPr="00D75075">
        <w:rPr>
          <w:b/>
          <w:sz w:val="20"/>
          <w:szCs w:val="20"/>
          <w:highlight w:val="lightGray"/>
        </w:rPr>
        <w:t>mistake</w:t>
      </w:r>
      <w:proofErr w:type="gramEnd"/>
      <w:r>
        <w:rPr>
          <w:sz w:val="20"/>
          <w:szCs w:val="20"/>
        </w:rPr>
        <w:t>—when defendants intend that consequences of their acts, but the consequences have a different factual or legal significance than that contemplated</w:t>
      </w:r>
    </w:p>
    <w:p w14:paraId="5317F529" w14:textId="77777777" w:rsidR="007A2B52" w:rsidRDefault="007A2B52" w:rsidP="007A2B52">
      <w:pPr>
        <w:pStyle w:val="ListParagraph"/>
        <w:numPr>
          <w:ilvl w:val="1"/>
          <w:numId w:val="1"/>
        </w:numPr>
        <w:rPr>
          <w:sz w:val="20"/>
          <w:szCs w:val="20"/>
        </w:rPr>
      </w:pPr>
      <w:proofErr w:type="gramStart"/>
      <w:r>
        <w:rPr>
          <w:sz w:val="20"/>
          <w:szCs w:val="20"/>
          <w:u w:val="single"/>
        </w:rPr>
        <w:t>mistake</w:t>
      </w:r>
      <w:proofErr w:type="gramEnd"/>
      <w:r>
        <w:rPr>
          <w:sz w:val="20"/>
          <w:szCs w:val="20"/>
          <w:u w:val="single"/>
        </w:rPr>
        <w:t xml:space="preserve"> of fact</w:t>
      </w:r>
      <w:r>
        <w:rPr>
          <w:sz w:val="20"/>
          <w:szCs w:val="20"/>
        </w:rPr>
        <w:t>—by definition has no effect on the issue of intent, can be relevant to proving a lack of intent</w:t>
      </w:r>
    </w:p>
    <w:p w14:paraId="5924F7B7" w14:textId="77777777" w:rsidR="007A2B52" w:rsidRDefault="007A2B52" w:rsidP="00E42946">
      <w:pPr>
        <w:pStyle w:val="ListParagraph"/>
        <w:numPr>
          <w:ilvl w:val="1"/>
          <w:numId w:val="1"/>
        </w:numPr>
        <w:spacing w:after="120"/>
        <w:ind w:left="1434" w:hanging="357"/>
        <w:rPr>
          <w:sz w:val="20"/>
          <w:szCs w:val="20"/>
        </w:rPr>
      </w:pPr>
      <w:proofErr w:type="gramStart"/>
      <w:r>
        <w:rPr>
          <w:sz w:val="20"/>
          <w:szCs w:val="20"/>
          <w:u w:val="single"/>
        </w:rPr>
        <w:t>mistake</w:t>
      </w:r>
      <w:proofErr w:type="gramEnd"/>
      <w:r>
        <w:rPr>
          <w:sz w:val="20"/>
          <w:szCs w:val="20"/>
          <w:u w:val="single"/>
        </w:rPr>
        <w:t xml:space="preserve"> of law</w:t>
      </w:r>
      <w:r>
        <w:rPr>
          <w:sz w:val="20"/>
          <w:szCs w:val="20"/>
        </w:rPr>
        <w:t>—not a relevant defence (policy reasons) but can be relevant in considering damages</w:t>
      </w:r>
    </w:p>
    <w:p w14:paraId="785AAEBF" w14:textId="3A588817" w:rsidR="00B10179" w:rsidRDefault="00295132" w:rsidP="00B10179">
      <w:pPr>
        <w:rPr>
          <w:sz w:val="20"/>
          <w:szCs w:val="20"/>
        </w:rPr>
      </w:pPr>
      <w:r w:rsidRPr="00A901C9">
        <w:rPr>
          <w:b/>
          <w:sz w:val="20"/>
          <w:szCs w:val="20"/>
          <w:highlight w:val="yellow"/>
        </w:rPr>
        <w:t>BATTERY</w:t>
      </w:r>
      <w:r w:rsidR="00B10179" w:rsidRPr="00A901C9">
        <w:rPr>
          <w:sz w:val="20"/>
          <w:szCs w:val="20"/>
          <w:highlight w:val="yellow"/>
        </w:rPr>
        <w:t>—</w:t>
      </w:r>
      <w:r w:rsidR="00BA6A9E" w:rsidRPr="00A901C9">
        <w:rPr>
          <w:sz w:val="20"/>
          <w:szCs w:val="20"/>
          <w:highlight w:val="yellow"/>
        </w:rPr>
        <w:t>(</w:t>
      </w:r>
      <w:proofErr w:type="gramStart"/>
      <w:r w:rsidR="00BA6A9E" w:rsidRPr="00A901C9">
        <w:rPr>
          <w:sz w:val="20"/>
          <w:szCs w:val="20"/>
          <w:highlight w:val="yellow"/>
        </w:rPr>
        <w:t>1)</w:t>
      </w:r>
      <w:r w:rsidR="00B10179" w:rsidRPr="00A901C9">
        <w:rPr>
          <w:sz w:val="20"/>
          <w:szCs w:val="20"/>
          <w:highlight w:val="yellow"/>
          <w:u w:val="single"/>
        </w:rPr>
        <w:t>Intentionally</w:t>
      </w:r>
      <w:proofErr w:type="gramEnd"/>
      <w:r w:rsidR="00B10179" w:rsidRPr="00A901C9">
        <w:rPr>
          <w:sz w:val="20"/>
          <w:szCs w:val="20"/>
          <w:highlight w:val="yellow"/>
        </w:rPr>
        <w:t xml:space="preserve"> </w:t>
      </w:r>
      <w:r w:rsidR="00BA6A9E" w:rsidRPr="00A901C9">
        <w:rPr>
          <w:sz w:val="20"/>
          <w:szCs w:val="20"/>
          <w:highlight w:val="yellow"/>
        </w:rPr>
        <w:t>(2)</w:t>
      </w:r>
      <w:r w:rsidR="00B10179" w:rsidRPr="00A901C9">
        <w:rPr>
          <w:sz w:val="20"/>
          <w:szCs w:val="20"/>
          <w:highlight w:val="yellow"/>
          <w:u w:val="single"/>
        </w:rPr>
        <w:t>violating the physical integrity of another person</w:t>
      </w:r>
      <w:r w:rsidR="00B10179" w:rsidRPr="00A901C9">
        <w:rPr>
          <w:sz w:val="20"/>
          <w:szCs w:val="20"/>
          <w:highlight w:val="yellow"/>
        </w:rPr>
        <w:t xml:space="preserve"> </w:t>
      </w:r>
      <w:r w:rsidR="00BA6A9E" w:rsidRPr="00A901C9">
        <w:rPr>
          <w:sz w:val="20"/>
          <w:szCs w:val="20"/>
          <w:highlight w:val="yellow"/>
        </w:rPr>
        <w:t>(3)</w:t>
      </w:r>
      <w:r w:rsidR="00B10179" w:rsidRPr="00A901C9">
        <w:rPr>
          <w:sz w:val="20"/>
          <w:szCs w:val="20"/>
          <w:highlight w:val="yellow"/>
        </w:rPr>
        <w:t xml:space="preserve">in a way that a </w:t>
      </w:r>
      <w:r w:rsidR="00B10179" w:rsidRPr="00A901C9">
        <w:rPr>
          <w:sz w:val="20"/>
          <w:szCs w:val="20"/>
          <w:highlight w:val="yellow"/>
          <w:u w:val="single"/>
        </w:rPr>
        <w:t>reasonable person</w:t>
      </w:r>
      <w:r w:rsidR="00B10179" w:rsidRPr="00A901C9">
        <w:rPr>
          <w:sz w:val="20"/>
          <w:szCs w:val="20"/>
          <w:highlight w:val="yellow"/>
        </w:rPr>
        <w:t xml:space="preserve"> </w:t>
      </w:r>
      <w:r w:rsidR="00B10179" w:rsidRPr="00A901C9">
        <w:rPr>
          <w:sz w:val="20"/>
          <w:szCs w:val="20"/>
          <w:highlight w:val="yellow"/>
          <w:u w:val="single"/>
        </w:rPr>
        <w:t>would consider harmful or offensive</w:t>
      </w:r>
    </w:p>
    <w:p w14:paraId="4F50E9FC" w14:textId="63DDBAAF" w:rsidR="00B10179" w:rsidRDefault="00B10179" w:rsidP="00B10179">
      <w:pPr>
        <w:pStyle w:val="ListParagraph"/>
        <w:numPr>
          <w:ilvl w:val="0"/>
          <w:numId w:val="2"/>
        </w:numPr>
        <w:rPr>
          <w:sz w:val="20"/>
          <w:szCs w:val="20"/>
        </w:rPr>
      </w:pPr>
      <w:proofErr w:type="gramStart"/>
      <w:r>
        <w:rPr>
          <w:sz w:val="20"/>
          <w:szCs w:val="20"/>
          <w:u w:val="single"/>
        </w:rPr>
        <w:t>intent</w:t>
      </w:r>
      <w:proofErr w:type="gramEnd"/>
      <w:r>
        <w:rPr>
          <w:sz w:val="20"/>
          <w:szCs w:val="20"/>
        </w:rPr>
        <w:t xml:space="preserve"> in</w:t>
      </w:r>
      <w:r w:rsidR="00BA6A9E">
        <w:rPr>
          <w:sz w:val="20"/>
          <w:szCs w:val="20"/>
        </w:rPr>
        <w:t xml:space="preserve"> this case is just the intent to interfere with personal autonomy, and is not limited to the intent to bring about further consequences</w:t>
      </w:r>
    </w:p>
    <w:p w14:paraId="2AC5921F" w14:textId="09B063DD" w:rsidR="00BA6A9E" w:rsidRDefault="00BA6A9E" w:rsidP="00B10179">
      <w:pPr>
        <w:pStyle w:val="ListParagraph"/>
        <w:numPr>
          <w:ilvl w:val="0"/>
          <w:numId w:val="2"/>
        </w:numPr>
        <w:rPr>
          <w:sz w:val="20"/>
          <w:szCs w:val="20"/>
        </w:rPr>
      </w:pPr>
      <w:proofErr w:type="spellStart"/>
      <w:r>
        <w:rPr>
          <w:b/>
          <w:i/>
          <w:sz w:val="20"/>
          <w:szCs w:val="20"/>
        </w:rPr>
        <w:t>Bettel</w:t>
      </w:r>
      <w:proofErr w:type="spellEnd"/>
      <w:r>
        <w:rPr>
          <w:b/>
          <w:i/>
          <w:sz w:val="20"/>
          <w:szCs w:val="20"/>
        </w:rPr>
        <w:t xml:space="preserve"> v </w:t>
      </w:r>
      <w:proofErr w:type="spellStart"/>
      <w:r>
        <w:rPr>
          <w:b/>
          <w:i/>
          <w:sz w:val="20"/>
          <w:szCs w:val="20"/>
        </w:rPr>
        <w:t>Yim</w:t>
      </w:r>
      <w:proofErr w:type="spellEnd"/>
      <w:r w:rsidR="00A01C24">
        <w:rPr>
          <w:sz w:val="20"/>
          <w:szCs w:val="20"/>
        </w:rPr>
        <w:t xml:space="preserve">—if the defendant is guilty of deliberate, intentional and unlawful violence </w:t>
      </w:r>
      <w:r w:rsidR="00E4372F">
        <w:rPr>
          <w:sz w:val="20"/>
          <w:szCs w:val="20"/>
        </w:rPr>
        <w:t>(</w:t>
      </w:r>
      <w:r w:rsidR="00A01C24">
        <w:rPr>
          <w:sz w:val="20"/>
          <w:szCs w:val="20"/>
        </w:rPr>
        <w:t>or threats of violence</w:t>
      </w:r>
      <w:r w:rsidR="00E4372F">
        <w:rPr>
          <w:sz w:val="20"/>
          <w:szCs w:val="20"/>
        </w:rPr>
        <w:t>)</w:t>
      </w:r>
      <w:r w:rsidR="00A01C24">
        <w:rPr>
          <w:sz w:val="20"/>
          <w:szCs w:val="20"/>
        </w:rPr>
        <w:t>,</w:t>
      </w:r>
      <w:r w:rsidR="00E4372F">
        <w:rPr>
          <w:sz w:val="20"/>
          <w:szCs w:val="20"/>
        </w:rPr>
        <w:t xml:space="preserve"> and a more serious harm befalls the plaintiff than was intended by the defendant, the defendant, and not the innocent plaintiff, must bear the responsibility for the unintended result.</w:t>
      </w:r>
    </w:p>
    <w:p w14:paraId="3C7ECEDF" w14:textId="6DFEB070" w:rsidR="00D27CC4" w:rsidRDefault="00D27CC4" w:rsidP="00E42946">
      <w:pPr>
        <w:pStyle w:val="ListParagraph"/>
        <w:numPr>
          <w:ilvl w:val="0"/>
          <w:numId w:val="2"/>
        </w:numPr>
        <w:spacing w:after="120"/>
        <w:ind w:left="714" w:hanging="357"/>
        <w:rPr>
          <w:sz w:val="20"/>
          <w:szCs w:val="20"/>
        </w:rPr>
      </w:pPr>
      <w:r>
        <w:rPr>
          <w:b/>
          <w:i/>
          <w:sz w:val="20"/>
          <w:szCs w:val="20"/>
        </w:rPr>
        <w:t xml:space="preserve">Non-Marine Underwriters, Lloyd’s of London v </w:t>
      </w:r>
      <w:proofErr w:type="spellStart"/>
      <w:r>
        <w:rPr>
          <w:b/>
          <w:i/>
          <w:sz w:val="20"/>
          <w:szCs w:val="20"/>
        </w:rPr>
        <w:t>Scalera</w:t>
      </w:r>
      <w:proofErr w:type="spellEnd"/>
      <w:r>
        <w:rPr>
          <w:sz w:val="20"/>
          <w:szCs w:val="20"/>
        </w:rPr>
        <w:t>—in a sexual battery case (as in a regular battery case)</w:t>
      </w:r>
      <w:r w:rsidR="00610A98">
        <w:rPr>
          <w:sz w:val="20"/>
          <w:szCs w:val="20"/>
        </w:rPr>
        <w:t xml:space="preserve"> the defendant must prove consent as a defense, lack of consent is not an element of the tort that needs to be proved by the plaintiff </w:t>
      </w:r>
    </w:p>
    <w:p w14:paraId="752310AD" w14:textId="7FF62B0A" w:rsidR="001968C4" w:rsidRDefault="00295132" w:rsidP="001968C4">
      <w:pPr>
        <w:rPr>
          <w:sz w:val="20"/>
          <w:szCs w:val="20"/>
        </w:rPr>
      </w:pPr>
      <w:r w:rsidRPr="00A901C9">
        <w:rPr>
          <w:b/>
          <w:sz w:val="20"/>
          <w:szCs w:val="20"/>
          <w:highlight w:val="yellow"/>
        </w:rPr>
        <w:t>ASSAULT</w:t>
      </w:r>
      <w:r w:rsidR="001968C4" w:rsidRPr="00A901C9">
        <w:rPr>
          <w:sz w:val="20"/>
          <w:szCs w:val="20"/>
          <w:highlight w:val="yellow"/>
        </w:rPr>
        <w:t>—the (</w:t>
      </w:r>
      <w:proofErr w:type="gramStart"/>
      <w:r w:rsidR="001968C4" w:rsidRPr="00A901C9">
        <w:rPr>
          <w:sz w:val="20"/>
          <w:szCs w:val="20"/>
          <w:highlight w:val="yellow"/>
        </w:rPr>
        <w:t>1)</w:t>
      </w:r>
      <w:r w:rsidR="001968C4" w:rsidRPr="00A901C9">
        <w:rPr>
          <w:sz w:val="20"/>
          <w:szCs w:val="20"/>
          <w:highlight w:val="yellow"/>
          <w:u w:val="single"/>
        </w:rPr>
        <w:t>intentional</w:t>
      </w:r>
      <w:proofErr w:type="gramEnd"/>
      <w:r w:rsidR="001968C4" w:rsidRPr="00A901C9">
        <w:rPr>
          <w:sz w:val="20"/>
          <w:szCs w:val="20"/>
          <w:highlight w:val="yellow"/>
        </w:rPr>
        <w:t xml:space="preserve"> (2)</w:t>
      </w:r>
      <w:r w:rsidR="001968C4" w:rsidRPr="00A901C9">
        <w:rPr>
          <w:sz w:val="20"/>
          <w:szCs w:val="20"/>
          <w:highlight w:val="yellow"/>
          <w:u w:val="single"/>
        </w:rPr>
        <w:t xml:space="preserve">creation of the </w:t>
      </w:r>
      <w:r w:rsidR="00084888" w:rsidRPr="00A901C9">
        <w:rPr>
          <w:sz w:val="20"/>
          <w:szCs w:val="20"/>
          <w:highlight w:val="yellow"/>
          <w:u w:val="single"/>
        </w:rPr>
        <w:t xml:space="preserve">reasonable </w:t>
      </w:r>
      <w:r w:rsidR="001968C4" w:rsidRPr="00A901C9">
        <w:rPr>
          <w:sz w:val="20"/>
          <w:szCs w:val="20"/>
          <w:highlight w:val="yellow"/>
          <w:u w:val="single"/>
        </w:rPr>
        <w:t xml:space="preserve">apprehension of </w:t>
      </w:r>
      <w:r w:rsidR="001968C4" w:rsidRPr="00A901C9">
        <w:rPr>
          <w:b/>
          <w:sz w:val="20"/>
          <w:szCs w:val="20"/>
          <w:highlight w:val="yellow"/>
          <w:u w:val="single"/>
        </w:rPr>
        <w:t>imminent</w:t>
      </w:r>
      <w:r w:rsidR="001968C4" w:rsidRPr="00A901C9">
        <w:rPr>
          <w:sz w:val="20"/>
          <w:szCs w:val="20"/>
          <w:highlight w:val="yellow"/>
          <w:u w:val="single"/>
        </w:rPr>
        <w:t xml:space="preserve"> harmful or offensive contact</w:t>
      </w:r>
    </w:p>
    <w:p w14:paraId="16B43968" w14:textId="58AB7B86" w:rsidR="00084888" w:rsidRDefault="00084888" w:rsidP="00084888">
      <w:pPr>
        <w:pStyle w:val="ListParagraph"/>
        <w:numPr>
          <w:ilvl w:val="0"/>
          <w:numId w:val="3"/>
        </w:numPr>
        <w:rPr>
          <w:sz w:val="20"/>
          <w:szCs w:val="20"/>
        </w:rPr>
      </w:pPr>
      <w:proofErr w:type="gramStart"/>
      <w:r>
        <w:rPr>
          <w:sz w:val="20"/>
          <w:szCs w:val="20"/>
        </w:rPr>
        <w:t>cannot</w:t>
      </w:r>
      <w:proofErr w:type="gramEnd"/>
      <w:r>
        <w:rPr>
          <w:sz w:val="20"/>
          <w:szCs w:val="20"/>
        </w:rPr>
        <w:t xml:space="preserve"> be a conditional threat, but could be about the future if unavoidable</w:t>
      </w:r>
    </w:p>
    <w:p w14:paraId="45AEB13A" w14:textId="207CAAF7" w:rsidR="00084888" w:rsidRDefault="00084888" w:rsidP="00E42946">
      <w:pPr>
        <w:pStyle w:val="ListParagraph"/>
        <w:numPr>
          <w:ilvl w:val="0"/>
          <w:numId w:val="3"/>
        </w:numPr>
        <w:spacing w:after="120"/>
        <w:ind w:left="714" w:hanging="357"/>
        <w:rPr>
          <w:sz w:val="20"/>
          <w:szCs w:val="20"/>
        </w:rPr>
      </w:pPr>
      <w:proofErr w:type="spellStart"/>
      <w:r>
        <w:rPr>
          <w:b/>
          <w:i/>
          <w:sz w:val="20"/>
          <w:szCs w:val="20"/>
        </w:rPr>
        <w:t>Krawczyk</w:t>
      </w:r>
      <w:proofErr w:type="spellEnd"/>
      <w:r>
        <w:rPr>
          <w:b/>
          <w:i/>
          <w:sz w:val="20"/>
          <w:szCs w:val="20"/>
        </w:rPr>
        <w:t xml:space="preserve"> v Peter Kiewit Sons</w:t>
      </w:r>
      <w:r>
        <w:rPr>
          <w:sz w:val="20"/>
          <w:szCs w:val="20"/>
        </w:rPr>
        <w:t>—cannot use the defense of consent, to say so may reverse the onus of proof</w:t>
      </w:r>
    </w:p>
    <w:p w14:paraId="27F8000C" w14:textId="5F85DE2E" w:rsidR="00295132" w:rsidRPr="00295132" w:rsidRDefault="00295132" w:rsidP="00295132">
      <w:pPr>
        <w:rPr>
          <w:sz w:val="20"/>
          <w:szCs w:val="20"/>
          <w:highlight w:val="yellow"/>
        </w:rPr>
      </w:pPr>
      <w:r w:rsidRPr="00295132">
        <w:rPr>
          <w:b/>
          <w:sz w:val="20"/>
          <w:szCs w:val="20"/>
          <w:highlight w:val="yellow"/>
        </w:rPr>
        <w:t>TRESPASS TO LAND</w:t>
      </w:r>
      <w:r w:rsidRPr="00295132">
        <w:rPr>
          <w:sz w:val="20"/>
          <w:szCs w:val="20"/>
          <w:highlight w:val="yellow"/>
        </w:rPr>
        <w:t>—the direct and (</w:t>
      </w:r>
      <w:proofErr w:type="gramStart"/>
      <w:r w:rsidRPr="00295132">
        <w:rPr>
          <w:sz w:val="20"/>
          <w:szCs w:val="20"/>
          <w:highlight w:val="yellow"/>
        </w:rPr>
        <w:t>1)</w:t>
      </w:r>
      <w:r w:rsidRPr="00295132">
        <w:rPr>
          <w:sz w:val="20"/>
          <w:szCs w:val="20"/>
          <w:highlight w:val="yellow"/>
          <w:u w:val="single"/>
        </w:rPr>
        <w:t>intentional</w:t>
      </w:r>
      <w:proofErr w:type="gramEnd"/>
      <w:r w:rsidRPr="00295132">
        <w:rPr>
          <w:sz w:val="20"/>
          <w:szCs w:val="20"/>
          <w:highlight w:val="yellow"/>
        </w:rPr>
        <w:t xml:space="preserve"> physical (2)</w:t>
      </w:r>
      <w:r w:rsidRPr="00295132">
        <w:rPr>
          <w:sz w:val="20"/>
          <w:szCs w:val="20"/>
          <w:highlight w:val="yellow"/>
          <w:u w:val="single"/>
        </w:rPr>
        <w:t>intrusion</w:t>
      </w:r>
      <w:r w:rsidRPr="00295132">
        <w:rPr>
          <w:sz w:val="20"/>
          <w:szCs w:val="20"/>
          <w:highlight w:val="yellow"/>
        </w:rPr>
        <w:t xml:space="preserve"> onto the land of another person</w:t>
      </w:r>
    </w:p>
    <w:p w14:paraId="7026A645" w14:textId="77777777" w:rsidR="00295132" w:rsidRPr="00295132" w:rsidRDefault="00295132" w:rsidP="00295132">
      <w:pPr>
        <w:numPr>
          <w:ilvl w:val="0"/>
          <w:numId w:val="8"/>
        </w:numPr>
        <w:rPr>
          <w:sz w:val="20"/>
          <w:szCs w:val="20"/>
        </w:rPr>
      </w:pPr>
      <w:proofErr w:type="gramStart"/>
      <w:r w:rsidRPr="00295132">
        <w:rPr>
          <w:sz w:val="20"/>
          <w:szCs w:val="20"/>
          <w:u w:val="single"/>
        </w:rPr>
        <w:t>intent</w:t>
      </w:r>
      <w:proofErr w:type="gramEnd"/>
      <w:r w:rsidRPr="00295132">
        <w:rPr>
          <w:sz w:val="20"/>
          <w:szCs w:val="20"/>
        </w:rPr>
        <w:t xml:space="preserve"> is limited to intent to do the conduct, you could still be guilty of trespass if you didn’t know you were trespassing</w:t>
      </w:r>
    </w:p>
    <w:p w14:paraId="15C5A413" w14:textId="77777777" w:rsidR="00295132" w:rsidRPr="00295132" w:rsidRDefault="00295132" w:rsidP="00295132">
      <w:pPr>
        <w:numPr>
          <w:ilvl w:val="0"/>
          <w:numId w:val="7"/>
        </w:numPr>
        <w:rPr>
          <w:sz w:val="20"/>
          <w:szCs w:val="20"/>
        </w:rPr>
      </w:pPr>
      <w:proofErr w:type="spellStart"/>
      <w:r w:rsidRPr="00295132">
        <w:rPr>
          <w:b/>
          <w:i/>
          <w:sz w:val="20"/>
          <w:szCs w:val="20"/>
        </w:rPr>
        <w:t>Entick</w:t>
      </w:r>
      <w:proofErr w:type="spellEnd"/>
      <w:r w:rsidRPr="00295132">
        <w:rPr>
          <w:b/>
          <w:i/>
          <w:sz w:val="20"/>
          <w:szCs w:val="20"/>
        </w:rPr>
        <w:t xml:space="preserve"> v Carrington</w:t>
      </w:r>
      <w:r w:rsidRPr="00295132">
        <w:rPr>
          <w:sz w:val="20"/>
          <w:szCs w:val="20"/>
        </w:rPr>
        <w:t>—if the state trespasses on someone’s land, they must show “by way of justification, that some positive law has empowered or excused him”</w:t>
      </w:r>
    </w:p>
    <w:p w14:paraId="5A341BE2" w14:textId="77777777" w:rsidR="00295132" w:rsidRPr="00295132" w:rsidRDefault="00295132" w:rsidP="00295132">
      <w:pPr>
        <w:numPr>
          <w:ilvl w:val="0"/>
          <w:numId w:val="7"/>
        </w:numPr>
        <w:rPr>
          <w:sz w:val="20"/>
          <w:szCs w:val="20"/>
        </w:rPr>
      </w:pPr>
      <w:r w:rsidRPr="00295132">
        <w:rPr>
          <w:b/>
          <w:i/>
          <w:sz w:val="20"/>
          <w:szCs w:val="20"/>
        </w:rPr>
        <w:t>Turner v Thorne</w:t>
      </w:r>
      <w:r w:rsidRPr="00295132">
        <w:rPr>
          <w:sz w:val="20"/>
          <w:szCs w:val="20"/>
        </w:rPr>
        <w:t>—a trespass can be committed by the presence of a structure/chattel/thing which and actor has tortuously placed on the land</w:t>
      </w:r>
    </w:p>
    <w:p w14:paraId="1C1E82AC" w14:textId="77777777" w:rsidR="00295132" w:rsidRPr="00295132" w:rsidRDefault="00295132" w:rsidP="00295132">
      <w:pPr>
        <w:numPr>
          <w:ilvl w:val="1"/>
          <w:numId w:val="7"/>
        </w:numPr>
        <w:rPr>
          <w:sz w:val="20"/>
          <w:szCs w:val="20"/>
        </w:rPr>
      </w:pPr>
      <w:proofErr w:type="gramStart"/>
      <w:r w:rsidRPr="00295132">
        <w:rPr>
          <w:sz w:val="20"/>
          <w:szCs w:val="20"/>
          <w:u w:val="single"/>
        </w:rPr>
        <w:t>mistake</w:t>
      </w:r>
      <w:proofErr w:type="gramEnd"/>
      <w:r w:rsidRPr="00295132">
        <w:rPr>
          <w:sz w:val="20"/>
          <w:szCs w:val="20"/>
          <w:u w:val="single"/>
        </w:rPr>
        <w:t xml:space="preserve"> of fa</w:t>
      </w:r>
      <w:r w:rsidRPr="00295132">
        <w:rPr>
          <w:sz w:val="20"/>
          <w:szCs w:val="20"/>
        </w:rPr>
        <w:t>ct not a relevant defence</w:t>
      </w:r>
    </w:p>
    <w:p w14:paraId="5987C498" w14:textId="77777777" w:rsidR="00295132" w:rsidRPr="00295132" w:rsidRDefault="00295132" w:rsidP="00295132">
      <w:pPr>
        <w:numPr>
          <w:ilvl w:val="0"/>
          <w:numId w:val="7"/>
        </w:numPr>
        <w:rPr>
          <w:sz w:val="20"/>
          <w:szCs w:val="20"/>
        </w:rPr>
      </w:pPr>
      <w:r w:rsidRPr="00295132">
        <w:rPr>
          <w:b/>
          <w:i/>
          <w:sz w:val="20"/>
          <w:szCs w:val="20"/>
        </w:rPr>
        <w:t xml:space="preserve">Harrison v </w:t>
      </w:r>
      <w:proofErr w:type="spellStart"/>
      <w:r w:rsidRPr="00295132">
        <w:rPr>
          <w:b/>
          <w:i/>
          <w:sz w:val="20"/>
          <w:szCs w:val="20"/>
        </w:rPr>
        <w:t>Carswell</w:t>
      </w:r>
      <w:proofErr w:type="spellEnd"/>
      <w:r w:rsidRPr="00295132">
        <w:rPr>
          <w:sz w:val="20"/>
          <w:szCs w:val="20"/>
        </w:rPr>
        <w:t>—SCC decision split 6:3</w:t>
      </w:r>
    </w:p>
    <w:p w14:paraId="488DD954" w14:textId="77777777" w:rsidR="00295132" w:rsidRPr="00295132" w:rsidRDefault="00295132" w:rsidP="00295132">
      <w:pPr>
        <w:numPr>
          <w:ilvl w:val="1"/>
          <w:numId w:val="7"/>
        </w:numPr>
        <w:rPr>
          <w:sz w:val="20"/>
          <w:szCs w:val="20"/>
        </w:rPr>
      </w:pPr>
      <w:proofErr w:type="gramStart"/>
      <w:r w:rsidRPr="00295132">
        <w:rPr>
          <w:sz w:val="20"/>
          <w:szCs w:val="20"/>
        </w:rPr>
        <w:t>majority</w:t>
      </w:r>
      <w:proofErr w:type="gramEnd"/>
      <w:r w:rsidRPr="00295132">
        <w:rPr>
          <w:sz w:val="20"/>
          <w:szCs w:val="20"/>
        </w:rPr>
        <w:t>—statute says that any person who trespasses on the property of another, and has been requested by the owner not to enter, is guilty of an offence, if the law is to be changed it is up to the legislature</w:t>
      </w:r>
    </w:p>
    <w:p w14:paraId="04D74AC1" w14:textId="77777777" w:rsidR="00295132" w:rsidRPr="00295132" w:rsidRDefault="00295132" w:rsidP="00295132">
      <w:pPr>
        <w:numPr>
          <w:ilvl w:val="1"/>
          <w:numId w:val="7"/>
        </w:numPr>
        <w:rPr>
          <w:sz w:val="20"/>
          <w:szCs w:val="20"/>
        </w:rPr>
      </w:pPr>
      <w:proofErr w:type="gramStart"/>
      <w:r w:rsidRPr="00295132">
        <w:rPr>
          <w:sz w:val="20"/>
          <w:szCs w:val="20"/>
        </w:rPr>
        <w:t>dissent</w:t>
      </w:r>
      <w:proofErr w:type="gramEnd"/>
      <w:r w:rsidRPr="00295132">
        <w:rPr>
          <w:sz w:val="20"/>
          <w:szCs w:val="20"/>
        </w:rPr>
        <w:t xml:space="preserve">—considerations that underlie the protection of private residences cannot apply to the same degree to a shopping </w:t>
      </w:r>
      <w:proofErr w:type="spellStart"/>
      <w:r w:rsidRPr="00295132">
        <w:rPr>
          <w:sz w:val="20"/>
          <w:szCs w:val="20"/>
        </w:rPr>
        <w:t>centre</w:t>
      </w:r>
      <w:proofErr w:type="spellEnd"/>
      <w:r w:rsidRPr="00295132">
        <w:rPr>
          <w:sz w:val="20"/>
          <w:szCs w:val="20"/>
        </w:rPr>
        <w:t xml:space="preserve"> . . . those amenities are closer in character to public roads and sidewalks than to a private dwelling</w:t>
      </w:r>
    </w:p>
    <w:p w14:paraId="63098843" w14:textId="77777777" w:rsidR="00295132" w:rsidRPr="00295132" w:rsidRDefault="00295132" w:rsidP="00B7071B">
      <w:pPr>
        <w:rPr>
          <w:sz w:val="20"/>
          <w:szCs w:val="20"/>
          <w:highlight w:val="yellow"/>
        </w:rPr>
      </w:pPr>
    </w:p>
    <w:p w14:paraId="7FBD7037" w14:textId="77777777" w:rsidR="00295132" w:rsidRPr="00295132" w:rsidRDefault="00295132" w:rsidP="00B7071B">
      <w:pPr>
        <w:rPr>
          <w:sz w:val="20"/>
          <w:szCs w:val="20"/>
          <w:highlight w:val="yellow"/>
        </w:rPr>
      </w:pPr>
    </w:p>
    <w:p w14:paraId="3E50E3FC" w14:textId="77777777" w:rsidR="00295132" w:rsidRDefault="00295132" w:rsidP="00B7071B">
      <w:pPr>
        <w:rPr>
          <w:sz w:val="20"/>
          <w:szCs w:val="20"/>
          <w:highlight w:val="yellow"/>
        </w:rPr>
      </w:pPr>
    </w:p>
    <w:p w14:paraId="12E4F5D2" w14:textId="6EF56B6A" w:rsidR="00B7071B" w:rsidRDefault="00295132" w:rsidP="00B7071B">
      <w:pPr>
        <w:rPr>
          <w:sz w:val="20"/>
          <w:szCs w:val="20"/>
        </w:rPr>
      </w:pPr>
      <w:r w:rsidRPr="00A901C9">
        <w:rPr>
          <w:b/>
          <w:sz w:val="20"/>
          <w:szCs w:val="20"/>
          <w:highlight w:val="yellow"/>
        </w:rPr>
        <w:t>FALSE IMPRISONMENT</w:t>
      </w:r>
      <w:r w:rsidR="00B7071B" w:rsidRPr="00A901C9">
        <w:rPr>
          <w:sz w:val="20"/>
          <w:szCs w:val="20"/>
          <w:highlight w:val="yellow"/>
        </w:rPr>
        <w:t>—(</w:t>
      </w:r>
      <w:proofErr w:type="gramStart"/>
      <w:r w:rsidR="00B7071B" w:rsidRPr="00A901C9">
        <w:rPr>
          <w:sz w:val="20"/>
          <w:szCs w:val="20"/>
          <w:highlight w:val="yellow"/>
        </w:rPr>
        <w:t>1)</w:t>
      </w:r>
      <w:r w:rsidR="00B7071B" w:rsidRPr="00634A4C">
        <w:rPr>
          <w:sz w:val="20"/>
          <w:szCs w:val="20"/>
          <w:highlight w:val="yellow"/>
          <w:u w:val="single"/>
        </w:rPr>
        <w:t>intentional</w:t>
      </w:r>
      <w:proofErr w:type="gramEnd"/>
      <w:r w:rsidR="00B7071B" w:rsidRPr="00A901C9">
        <w:rPr>
          <w:sz w:val="20"/>
          <w:szCs w:val="20"/>
          <w:highlight w:val="yellow"/>
        </w:rPr>
        <w:t xml:space="preserve"> and (2)</w:t>
      </w:r>
      <w:r w:rsidR="00B7071B" w:rsidRPr="00634A4C">
        <w:rPr>
          <w:sz w:val="20"/>
          <w:szCs w:val="20"/>
          <w:highlight w:val="yellow"/>
          <w:u w:val="single"/>
        </w:rPr>
        <w:t>complete restriction of liberty</w:t>
      </w:r>
    </w:p>
    <w:p w14:paraId="0AE4D746" w14:textId="7B27592B" w:rsidR="00B7071B" w:rsidRDefault="00B7071B" w:rsidP="00B7071B">
      <w:pPr>
        <w:pStyle w:val="ListParagraph"/>
        <w:numPr>
          <w:ilvl w:val="0"/>
          <w:numId w:val="4"/>
        </w:numPr>
        <w:rPr>
          <w:sz w:val="20"/>
          <w:szCs w:val="20"/>
        </w:rPr>
      </w:pPr>
      <w:r>
        <w:rPr>
          <w:b/>
          <w:i/>
          <w:sz w:val="20"/>
          <w:szCs w:val="20"/>
        </w:rPr>
        <w:t>Bird v Jones</w:t>
      </w:r>
      <w:r>
        <w:rPr>
          <w:sz w:val="20"/>
          <w:szCs w:val="20"/>
        </w:rPr>
        <w:t xml:space="preserve"> (1845)—case where person couldn’t go forward on road, but could go any other direction</w:t>
      </w:r>
    </w:p>
    <w:p w14:paraId="10006B76" w14:textId="6ACE4E9B" w:rsidR="00B7071B" w:rsidRDefault="00504976" w:rsidP="00B7071B">
      <w:pPr>
        <w:pStyle w:val="ListParagraph"/>
        <w:numPr>
          <w:ilvl w:val="1"/>
          <w:numId w:val="4"/>
        </w:numPr>
        <w:rPr>
          <w:sz w:val="20"/>
          <w:szCs w:val="20"/>
        </w:rPr>
      </w:pPr>
      <w:proofErr w:type="gramStart"/>
      <w:r>
        <w:rPr>
          <w:sz w:val="20"/>
          <w:szCs w:val="20"/>
        </w:rPr>
        <w:t>confinement</w:t>
      </w:r>
      <w:proofErr w:type="gramEnd"/>
      <w:r>
        <w:rPr>
          <w:sz w:val="20"/>
          <w:szCs w:val="20"/>
        </w:rPr>
        <w:t xml:space="preserve"> must be complete, no reasonable means for escape</w:t>
      </w:r>
    </w:p>
    <w:p w14:paraId="658CEF89" w14:textId="741EA925" w:rsidR="00504976" w:rsidRDefault="00504976" w:rsidP="00504976">
      <w:pPr>
        <w:pStyle w:val="ListParagraph"/>
        <w:numPr>
          <w:ilvl w:val="0"/>
          <w:numId w:val="4"/>
        </w:numPr>
        <w:rPr>
          <w:sz w:val="20"/>
          <w:szCs w:val="20"/>
        </w:rPr>
      </w:pPr>
      <w:r>
        <w:rPr>
          <w:b/>
          <w:i/>
          <w:sz w:val="20"/>
          <w:szCs w:val="20"/>
        </w:rPr>
        <w:t xml:space="preserve">Campbell v SS </w:t>
      </w:r>
      <w:proofErr w:type="spellStart"/>
      <w:r>
        <w:rPr>
          <w:b/>
          <w:i/>
          <w:sz w:val="20"/>
          <w:szCs w:val="20"/>
        </w:rPr>
        <w:t>Kresge</w:t>
      </w:r>
      <w:proofErr w:type="spellEnd"/>
      <w:r>
        <w:rPr>
          <w:b/>
          <w:i/>
          <w:sz w:val="20"/>
          <w:szCs w:val="20"/>
        </w:rPr>
        <w:t xml:space="preserve"> Co</w:t>
      </w:r>
      <w:r w:rsidR="005535A1">
        <w:rPr>
          <w:sz w:val="20"/>
          <w:szCs w:val="20"/>
        </w:rPr>
        <w:t>—case where police officer working at department store stopped a woman from walking away from the store by using his police badge and suggesting that an embarrassment if non-compliance</w:t>
      </w:r>
    </w:p>
    <w:p w14:paraId="574BF3CA" w14:textId="4CC98EB4" w:rsidR="005535A1" w:rsidRDefault="005535A1" w:rsidP="005535A1">
      <w:pPr>
        <w:pStyle w:val="ListParagraph"/>
        <w:numPr>
          <w:ilvl w:val="1"/>
          <w:numId w:val="4"/>
        </w:numPr>
        <w:rPr>
          <w:sz w:val="20"/>
          <w:szCs w:val="20"/>
        </w:rPr>
      </w:pPr>
      <w:proofErr w:type="gramStart"/>
      <w:r>
        <w:rPr>
          <w:sz w:val="20"/>
          <w:szCs w:val="20"/>
        </w:rPr>
        <w:t>can</w:t>
      </w:r>
      <w:proofErr w:type="gramEnd"/>
      <w:r>
        <w:rPr>
          <w:sz w:val="20"/>
          <w:szCs w:val="20"/>
        </w:rPr>
        <w:t xml:space="preserve"> be psychological imprisonment, test: do you feel like you could reasonably walk away?</w:t>
      </w:r>
    </w:p>
    <w:p w14:paraId="17D47642" w14:textId="7FE63DF2" w:rsidR="005535A1" w:rsidRDefault="005535A1" w:rsidP="005535A1">
      <w:pPr>
        <w:pStyle w:val="ListParagraph"/>
        <w:numPr>
          <w:ilvl w:val="0"/>
          <w:numId w:val="4"/>
        </w:numPr>
        <w:rPr>
          <w:sz w:val="20"/>
          <w:szCs w:val="20"/>
        </w:rPr>
      </w:pPr>
      <w:r>
        <w:rPr>
          <w:b/>
          <w:i/>
          <w:sz w:val="20"/>
          <w:szCs w:val="20"/>
        </w:rPr>
        <w:t xml:space="preserve">Herd v </w:t>
      </w:r>
      <w:proofErr w:type="spellStart"/>
      <w:r>
        <w:rPr>
          <w:b/>
          <w:i/>
          <w:sz w:val="20"/>
          <w:szCs w:val="20"/>
        </w:rPr>
        <w:t>Weardale</w:t>
      </w:r>
      <w:proofErr w:type="spellEnd"/>
      <w:r>
        <w:rPr>
          <w:b/>
          <w:i/>
          <w:sz w:val="20"/>
          <w:szCs w:val="20"/>
        </w:rPr>
        <w:t xml:space="preserve"> Steel, Coal and Coke</w:t>
      </w:r>
      <w:r>
        <w:rPr>
          <w:sz w:val="20"/>
          <w:szCs w:val="20"/>
        </w:rPr>
        <w:t>—a man chooses to go down into the mine where he works, and once in the mine he refused to work and demanded to be brought up to the surface</w:t>
      </w:r>
    </w:p>
    <w:p w14:paraId="4B61BEEC" w14:textId="6A70B85A" w:rsidR="005535A1" w:rsidRDefault="005535A1" w:rsidP="005535A1">
      <w:pPr>
        <w:pStyle w:val="ListParagraph"/>
        <w:numPr>
          <w:ilvl w:val="1"/>
          <w:numId w:val="4"/>
        </w:numPr>
        <w:rPr>
          <w:sz w:val="20"/>
          <w:szCs w:val="20"/>
        </w:rPr>
      </w:pPr>
      <w:proofErr w:type="gramStart"/>
      <w:r>
        <w:rPr>
          <w:sz w:val="20"/>
          <w:szCs w:val="20"/>
        </w:rPr>
        <w:t>you</w:t>
      </w:r>
      <w:proofErr w:type="gramEnd"/>
      <w:r>
        <w:rPr>
          <w:sz w:val="20"/>
          <w:szCs w:val="20"/>
        </w:rPr>
        <w:t xml:space="preserve"> can </w:t>
      </w:r>
      <w:r w:rsidRPr="00D75075">
        <w:rPr>
          <w:sz w:val="20"/>
          <w:szCs w:val="20"/>
          <w:highlight w:val="lightGray"/>
          <w:u w:val="single"/>
        </w:rPr>
        <w:t>consent</w:t>
      </w:r>
      <w:r w:rsidRPr="00D75075">
        <w:rPr>
          <w:sz w:val="20"/>
          <w:szCs w:val="20"/>
          <w:highlight w:val="lightGray"/>
        </w:rPr>
        <w:t xml:space="preserve"> </w:t>
      </w:r>
      <w:r>
        <w:rPr>
          <w:sz w:val="20"/>
          <w:szCs w:val="20"/>
        </w:rPr>
        <w:t>to false imprisonment if you go into a situation knowing that you are expected to stay in that situation for a certain amount of time</w:t>
      </w:r>
    </w:p>
    <w:p w14:paraId="341D7DD2" w14:textId="06B111D3" w:rsidR="005535A1" w:rsidRDefault="003C0C35" w:rsidP="005535A1">
      <w:pPr>
        <w:pStyle w:val="ListParagraph"/>
        <w:numPr>
          <w:ilvl w:val="0"/>
          <w:numId w:val="4"/>
        </w:numPr>
        <w:rPr>
          <w:sz w:val="20"/>
          <w:szCs w:val="20"/>
        </w:rPr>
      </w:pPr>
      <w:r>
        <w:rPr>
          <w:b/>
          <w:i/>
          <w:sz w:val="20"/>
          <w:szCs w:val="20"/>
        </w:rPr>
        <w:t>Ward v City of Vancouver</w:t>
      </w:r>
      <w:r w:rsidR="00020762">
        <w:rPr>
          <w:sz w:val="20"/>
          <w:szCs w:val="20"/>
        </w:rPr>
        <w:t>—</w:t>
      </w:r>
      <w:r w:rsidR="00A901C9" w:rsidRPr="00D75075">
        <w:rPr>
          <w:sz w:val="20"/>
          <w:szCs w:val="20"/>
          <w:highlight w:val="lightGray"/>
          <w:u w:val="single"/>
        </w:rPr>
        <w:t>justification</w:t>
      </w:r>
      <w:r w:rsidR="00A901C9" w:rsidRPr="00D75075">
        <w:rPr>
          <w:sz w:val="20"/>
          <w:szCs w:val="20"/>
        </w:rPr>
        <w:t xml:space="preserve"> f</w:t>
      </w:r>
      <w:r w:rsidR="00A901C9">
        <w:rPr>
          <w:sz w:val="20"/>
          <w:szCs w:val="20"/>
        </w:rPr>
        <w:t>or initial investigative detention, not grounds for arrest</w:t>
      </w:r>
    </w:p>
    <w:p w14:paraId="4034E859" w14:textId="48C2837C" w:rsidR="00020762" w:rsidRDefault="00020762" w:rsidP="00020762">
      <w:pPr>
        <w:pStyle w:val="ListParagraph"/>
        <w:numPr>
          <w:ilvl w:val="1"/>
          <w:numId w:val="4"/>
        </w:numPr>
        <w:rPr>
          <w:sz w:val="20"/>
          <w:szCs w:val="20"/>
        </w:rPr>
      </w:pPr>
      <w:proofErr w:type="gramStart"/>
      <w:r>
        <w:rPr>
          <w:sz w:val="20"/>
          <w:szCs w:val="20"/>
          <w:u w:val="single"/>
        </w:rPr>
        <w:t>arrest</w:t>
      </w:r>
      <w:proofErr w:type="gramEnd"/>
    </w:p>
    <w:p w14:paraId="1EA5B607" w14:textId="0C534196" w:rsidR="00020762" w:rsidRPr="00020762" w:rsidRDefault="00020762" w:rsidP="00020762">
      <w:pPr>
        <w:pStyle w:val="ListParagraph"/>
        <w:numPr>
          <w:ilvl w:val="2"/>
          <w:numId w:val="4"/>
        </w:numPr>
        <w:rPr>
          <w:sz w:val="20"/>
          <w:szCs w:val="20"/>
        </w:rPr>
      </w:pPr>
      <w:proofErr w:type="gramStart"/>
      <w:r>
        <w:rPr>
          <w:sz w:val="20"/>
          <w:szCs w:val="20"/>
          <w:u w:val="single"/>
        </w:rPr>
        <w:t>reasonable</w:t>
      </w:r>
      <w:proofErr w:type="gramEnd"/>
      <w:r>
        <w:rPr>
          <w:sz w:val="20"/>
          <w:szCs w:val="20"/>
          <w:u w:val="single"/>
        </w:rPr>
        <w:t xml:space="preserve"> and probable grounds</w:t>
      </w:r>
      <w:r>
        <w:rPr>
          <w:sz w:val="20"/>
          <w:szCs w:val="20"/>
        </w:rPr>
        <w:t xml:space="preserve"> </w:t>
      </w:r>
      <w:r w:rsidR="00A901C9">
        <w:rPr>
          <w:sz w:val="20"/>
          <w:szCs w:val="20"/>
        </w:rPr>
        <w:t>that someone has committed or is about to commit a crime</w:t>
      </w:r>
      <w:r>
        <w:rPr>
          <w:sz w:val="20"/>
          <w:szCs w:val="20"/>
        </w:rPr>
        <w:t xml:space="preserve">, </w:t>
      </w:r>
      <w:r w:rsidRPr="00020762">
        <w:rPr>
          <w:sz w:val="20"/>
          <w:szCs w:val="20"/>
        </w:rPr>
        <w:t>both subjective and objective test</w:t>
      </w:r>
    </w:p>
    <w:p w14:paraId="2C5957EE" w14:textId="7107DDFF" w:rsidR="00020762" w:rsidRDefault="00020762" w:rsidP="00020762">
      <w:pPr>
        <w:pStyle w:val="ListParagraph"/>
        <w:numPr>
          <w:ilvl w:val="1"/>
          <w:numId w:val="4"/>
        </w:numPr>
        <w:rPr>
          <w:sz w:val="20"/>
          <w:szCs w:val="20"/>
        </w:rPr>
      </w:pPr>
      <w:proofErr w:type="gramStart"/>
      <w:r>
        <w:rPr>
          <w:sz w:val="20"/>
          <w:szCs w:val="20"/>
          <w:u w:val="single"/>
        </w:rPr>
        <w:t>investigative</w:t>
      </w:r>
      <w:proofErr w:type="gramEnd"/>
      <w:r>
        <w:rPr>
          <w:sz w:val="20"/>
          <w:szCs w:val="20"/>
          <w:u w:val="single"/>
        </w:rPr>
        <w:t xml:space="preserve"> detention</w:t>
      </w:r>
      <w:r>
        <w:rPr>
          <w:sz w:val="20"/>
          <w:szCs w:val="20"/>
        </w:rPr>
        <w:t>—can detain someon</w:t>
      </w:r>
      <w:r w:rsidR="00A901C9">
        <w:rPr>
          <w:sz w:val="20"/>
          <w:szCs w:val="20"/>
        </w:rPr>
        <w:t>e</w:t>
      </w:r>
      <w:r>
        <w:rPr>
          <w:sz w:val="20"/>
          <w:szCs w:val="20"/>
        </w:rPr>
        <w:t xml:space="preserve"> so they have time to figure out what’s going on</w:t>
      </w:r>
    </w:p>
    <w:p w14:paraId="390CD4B5" w14:textId="14E94774" w:rsidR="00A901C9" w:rsidRDefault="00A901C9" w:rsidP="00A901C9">
      <w:pPr>
        <w:pStyle w:val="ListParagraph"/>
        <w:numPr>
          <w:ilvl w:val="2"/>
          <w:numId w:val="4"/>
        </w:numPr>
        <w:rPr>
          <w:sz w:val="20"/>
          <w:szCs w:val="20"/>
        </w:rPr>
      </w:pPr>
      <w:proofErr w:type="gramStart"/>
      <w:r>
        <w:rPr>
          <w:sz w:val="20"/>
          <w:szCs w:val="20"/>
          <w:u w:val="single"/>
        </w:rPr>
        <w:t>reasonable</w:t>
      </w:r>
      <w:proofErr w:type="gramEnd"/>
      <w:r>
        <w:rPr>
          <w:sz w:val="20"/>
          <w:szCs w:val="20"/>
          <w:u w:val="single"/>
        </w:rPr>
        <w:t xml:space="preserve"> suspicion</w:t>
      </w:r>
      <w:r>
        <w:rPr>
          <w:sz w:val="20"/>
          <w:szCs w:val="20"/>
        </w:rPr>
        <w:t>—lower threshold than for arrest</w:t>
      </w:r>
    </w:p>
    <w:p w14:paraId="34C3EE4B" w14:textId="68CEAF75" w:rsidR="00A901C9" w:rsidRDefault="00295132" w:rsidP="00A901C9">
      <w:pPr>
        <w:rPr>
          <w:sz w:val="20"/>
          <w:szCs w:val="20"/>
        </w:rPr>
      </w:pPr>
      <w:r w:rsidRPr="00634A4C">
        <w:rPr>
          <w:b/>
          <w:sz w:val="20"/>
          <w:szCs w:val="20"/>
          <w:highlight w:val="yellow"/>
        </w:rPr>
        <w:t>MALICIOUS PROSECUTION</w:t>
      </w:r>
      <w:r w:rsidR="00941C65" w:rsidRPr="00634A4C">
        <w:rPr>
          <w:sz w:val="20"/>
          <w:szCs w:val="20"/>
          <w:highlight w:val="yellow"/>
        </w:rPr>
        <w:t>—(</w:t>
      </w:r>
      <w:proofErr w:type="gramStart"/>
      <w:r w:rsidR="00941C65" w:rsidRPr="00634A4C">
        <w:rPr>
          <w:sz w:val="20"/>
          <w:szCs w:val="20"/>
          <w:highlight w:val="yellow"/>
        </w:rPr>
        <w:t>1)proceedings</w:t>
      </w:r>
      <w:proofErr w:type="gramEnd"/>
      <w:r w:rsidR="00941C65" w:rsidRPr="00634A4C">
        <w:rPr>
          <w:sz w:val="20"/>
          <w:szCs w:val="20"/>
          <w:highlight w:val="yellow"/>
        </w:rPr>
        <w:t xml:space="preserve"> must be </w:t>
      </w:r>
      <w:r w:rsidR="00941C65" w:rsidRPr="00634A4C">
        <w:rPr>
          <w:sz w:val="20"/>
          <w:szCs w:val="20"/>
          <w:highlight w:val="yellow"/>
          <w:u w:val="single"/>
        </w:rPr>
        <w:t xml:space="preserve">initiated by the defendant </w:t>
      </w:r>
      <w:r w:rsidR="00941C65" w:rsidRPr="00634A4C">
        <w:rPr>
          <w:sz w:val="20"/>
          <w:szCs w:val="20"/>
          <w:highlight w:val="yellow"/>
        </w:rPr>
        <w:t xml:space="preserve">(2)proceedings </w:t>
      </w:r>
      <w:r w:rsidR="00941C65" w:rsidRPr="00634A4C">
        <w:rPr>
          <w:sz w:val="20"/>
          <w:szCs w:val="20"/>
          <w:highlight w:val="yellow"/>
          <w:u w:val="single"/>
        </w:rPr>
        <w:t xml:space="preserve">terminated in favour of </w:t>
      </w:r>
      <w:r w:rsidR="00941C65" w:rsidRPr="00F46C9C">
        <w:rPr>
          <w:sz w:val="20"/>
          <w:szCs w:val="20"/>
          <w:highlight w:val="yellow"/>
          <w:u w:val="single"/>
        </w:rPr>
        <w:t>the plaintiff</w:t>
      </w:r>
      <w:r w:rsidR="00941C65" w:rsidRPr="00634A4C">
        <w:rPr>
          <w:sz w:val="20"/>
          <w:szCs w:val="20"/>
          <w:highlight w:val="yellow"/>
        </w:rPr>
        <w:t xml:space="preserve"> (3)</w:t>
      </w:r>
      <w:r w:rsidR="00941C65" w:rsidRPr="00634A4C">
        <w:rPr>
          <w:sz w:val="20"/>
          <w:szCs w:val="20"/>
          <w:highlight w:val="yellow"/>
          <w:u w:val="single"/>
        </w:rPr>
        <w:t>absence of reasonable and probable cause</w:t>
      </w:r>
      <w:r w:rsidR="00941C65" w:rsidRPr="00634A4C">
        <w:rPr>
          <w:sz w:val="20"/>
          <w:szCs w:val="20"/>
          <w:highlight w:val="yellow"/>
        </w:rPr>
        <w:t xml:space="preserve"> (4)</w:t>
      </w:r>
      <w:r w:rsidR="00941C65" w:rsidRPr="00634A4C">
        <w:rPr>
          <w:sz w:val="20"/>
          <w:szCs w:val="20"/>
          <w:highlight w:val="yellow"/>
          <w:u w:val="single"/>
        </w:rPr>
        <w:t>malice</w:t>
      </w:r>
      <w:r w:rsidR="00941C65" w:rsidRPr="00634A4C">
        <w:rPr>
          <w:sz w:val="20"/>
          <w:szCs w:val="20"/>
          <w:highlight w:val="yellow"/>
        </w:rPr>
        <w:t>, or a primary purpose other than carrying law into effect</w:t>
      </w:r>
    </w:p>
    <w:p w14:paraId="05818192" w14:textId="345C9505" w:rsidR="00941C65" w:rsidRDefault="000849A8" w:rsidP="000849A8">
      <w:pPr>
        <w:pStyle w:val="ListParagraph"/>
        <w:numPr>
          <w:ilvl w:val="0"/>
          <w:numId w:val="5"/>
        </w:numPr>
        <w:rPr>
          <w:sz w:val="20"/>
          <w:szCs w:val="20"/>
        </w:rPr>
      </w:pPr>
      <w:proofErr w:type="spellStart"/>
      <w:r>
        <w:rPr>
          <w:b/>
          <w:i/>
          <w:sz w:val="20"/>
          <w:szCs w:val="20"/>
        </w:rPr>
        <w:t>Nelles</w:t>
      </w:r>
      <w:proofErr w:type="spellEnd"/>
      <w:r>
        <w:rPr>
          <w:b/>
          <w:i/>
          <w:sz w:val="20"/>
          <w:szCs w:val="20"/>
        </w:rPr>
        <w:t xml:space="preserve"> v Ontario</w:t>
      </w:r>
      <w:r>
        <w:rPr>
          <w:sz w:val="20"/>
          <w:szCs w:val="20"/>
        </w:rPr>
        <w:t>—part 3 has both subjective and objective tests, part 4 incompetence is not malice</w:t>
      </w:r>
    </w:p>
    <w:p w14:paraId="39275109" w14:textId="7A2D0909" w:rsidR="000849A8" w:rsidRDefault="000849A8" w:rsidP="000849A8">
      <w:pPr>
        <w:pStyle w:val="ListParagraph"/>
        <w:numPr>
          <w:ilvl w:val="0"/>
          <w:numId w:val="5"/>
        </w:numPr>
        <w:rPr>
          <w:sz w:val="20"/>
          <w:szCs w:val="20"/>
        </w:rPr>
      </w:pPr>
      <w:proofErr w:type="spellStart"/>
      <w:r>
        <w:rPr>
          <w:b/>
          <w:i/>
          <w:sz w:val="20"/>
          <w:szCs w:val="20"/>
        </w:rPr>
        <w:t>Miazga</w:t>
      </w:r>
      <w:proofErr w:type="spellEnd"/>
      <w:r>
        <w:rPr>
          <w:b/>
          <w:i/>
          <w:sz w:val="20"/>
          <w:szCs w:val="20"/>
        </w:rPr>
        <w:t xml:space="preserve"> v </w:t>
      </w:r>
      <w:proofErr w:type="spellStart"/>
      <w:r>
        <w:rPr>
          <w:b/>
          <w:i/>
          <w:sz w:val="20"/>
          <w:szCs w:val="20"/>
        </w:rPr>
        <w:t>Kvello</w:t>
      </w:r>
      <w:proofErr w:type="spellEnd"/>
      <w:r>
        <w:rPr>
          <w:b/>
          <w:i/>
          <w:sz w:val="20"/>
          <w:szCs w:val="20"/>
        </w:rPr>
        <w:t xml:space="preserve"> Estate</w:t>
      </w:r>
      <w:r>
        <w:rPr>
          <w:sz w:val="20"/>
          <w:szCs w:val="20"/>
        </w:rPr>
        <w:t xml:space="preserve">—part 3 is now </w:t>
      </w:r>
      <w:r>
        <w:rPr>
          <w:sz w:val="20"/>
          <w:szCs w:val="20"/>
          <w:u w:val="single"/>
        </w:rPr>
        <w:t>only objective</w:t>
      </w:r>
      <w:r>
        <w:rPr>
          <w:sz w:val="20"/>
          <w:szCs w:val="20"/>
        </w:rPr>
        <w:t>, although absence of subjective belief can be one factor weighing in favour of malice, but it is not in itself enough to show malice</w:t>
      </w:r>
    </w:p>
    <w:p w14:paraId="7D27C7E8" w14:textId="2CC0A4EB" w:rsidR="000849A8" w:rsidRDefault="000849A8" w:rsidP="00E42946">
      <w:pPr>
        <w:pStyle w:val="ListParagraph"/>
        <w:numPr>
          <w:ilvl w:val="1"/>
          <w:numId w:val="5"/>
        </w:numPr>
        <w:spacing w:after="120"/>
        <w:ind w:left="1434" w:hanging="357"/>
        <w:rPr>
          <w:sz w:val="20"/>
          <w:szCs w:val="20"/>
        </w:rPr>
      </w:pPr>
      <w:proofErr w:type="gramStart"/>
      <w:r>
        <w:rPr>
          <w:sz w:val="20"/>
          <w:szCs w:val="20"/>
        </w:rPr>
        <w:t>subjective</w:t>
      </w:r>
      <w:proofErr w:type="gramEnd"/>
      <w:r>
        <w:rPr>
          <w:sz w:val="20"/>
          <w:szCs w:val="20"/>
        </w:rPr>
        <w:t xml:space="preserve"> belief not required at all</w:t>
      </w:r>
    </w:p>
    <w:p w14:paraId="256D0450" w14:textId="58914F3A" w:rsidR="00634A4C" w:rsidRDefault="00295132" w:rsidP="00634A4C">
      <w:pPr>
        <w:rPr>
          <w:sz w:val="20"/>
          <w:szCs w:val="20"/>
        </w:rPr>
      </w:pPr>
      <w:r w:rsidRPr="001560BC">
        <w:rPr>
          <w:b/>
          <w:sz w:val="20"/>
          <w:szCs w:val="20"/>
          <w:highlight w:val="yellow"/>
        </w:rPr>
        <w:t>INVASION OF PRIVACY</w:t>
      </w:r>
      <w:r w:rsidR="00E93063" w:rsidRPr="001560BC">
        <w:rPr>
          <w:sz w:val="20"/>
          <w:szCs w:val="20"/>
          <w:highlight w:val="yellow"/>
        </w:rPr>
        <w:t xml:space="preserve">—currently in BC there is legislation, the </w:t>
      </w:r>
      <w:r w:rsidR="00E93063" w:rsidRPr="001560BC">
        <w:rPr>
          <w:i/>
          <w:sz w:val="20"/>
          <w:szCs w:val="20"/>
          <w:highlight w:val="yellow"/>
        </w:rPr>
        <w:t>Privacy Act</w:t>
      </w:r>
      <w:r w:rsidR="00E93063" w:rsidRPr="001560BC">
        <w:rPr>
          <w:sz w:val="20"/>
          <w:szCs w:val="20"/>
          <w:highlight w:val="yellow"/>
        </w:rPr>
        <w:t>: (</w:t>
      </w:r>
      <w:proofErr w:type="gramStart"/>
      <w:r w:rsidR="00E93063" w:rsidRPr="001560BC">
        <w:rPr>
          <w:sz w:val="20"/>
          <w:szCs w:val="20"/>
          <w:highlight w:val="yellow"/>
        </w:rPr>
        <w:t>1)</w:t>
      </w:r>
      <w:r w:rsidR="008F5018" w:rsidRPr="001560BC">
        <w:rPr>
          <w:sz w:val="20"/>
          <w:szCs w:val="20"/>
          <w:highlight w:val="yellow"/>
        </w:rPr>
        <w:t>It</w:t>
      </w:r>
      <w:proofErr w:type="gramEnd"/>
      <w:r w:rsidR="008F5018" w:rsidRPr="001560BC">
        <w:rPr>
          <w:sz w:val="20"/>
          <w:szCs w:val="20"/>
          <w:highlight w:val="yellow"/>
        </w:rPr>
        <w:t xml:space="preserve"> is a tort, (a</w:t>
      </w:r>
      <w:r w:rsidR="00E93063" w:rsidRPr="001560BC">
        <w:rPr>
          <w:sz w:val="20"/>
          <w:szCs w:val="20"/>
          <w:highlight w:val="yellow"/>
        </w:rPr>
        <w:t>ctionable without proof of damages</w:t>
      </w:r>
      <w:r w:rsidR="008F5018" w:rsidRPr="001560BC">
        <w:rPr>
          <w:sz w:val="20"/>
          <w:szCs w:val="20"/>
          <w:highlight w:val="yellow"/>
        </w:rPr>
        <w:t xml:space="preserve">) for a person, </w:t>
      </w:r>
      <w:r w:rsidR="008F5018" w:rsidRPr="001560BC">
        <w:rPr>
          <w:sz w:val="20"/>
          <w:szCs w:val="20"/>
          <w:highlight w:val="yellow"/>
          <w:u w:val="single"/>
        </w:rPr>
        <w:t>willfully</w:t>
      </w:r>
      <w:r w:rsidR="008F5018" w:rsidRPr="001560BC">
        <w:rPr>
          <w:sz w:val="20"/>
          <w:szCs w:val="20"/>
          <w:highlight w:val="yellow"/>
        </w:rPr>
        <w:t xml:space="preserve"> and </w:t>
      </w:r>
      <w:r w:rsidR="008F5018" w:rsidRPr="001560BC">
        <w:rPr>
          <w:sz w:val="20"/>
          <w:szCs w:val="20"/>
          <w:highlight w:val="yellow"/>
          <w:u w:val="single"/>
        </w:rPr>
        <w:t>without a claim of right</w:t>
      </w:r>
      <w:r w:rsidR="008F5018" w:rsidRPr="001560BC">
        <w:rPr>
          <w:sz w:val="20"/>
          <w:szCs w:val="20"/>
          <w:highlight w:val="yellow"/>
        </w:rPr>
        <w:t>, to violate the privacy of another</w:t>
      </w:r>
      <w:r w:rsidR="00E93063" w:rsidRPr="001560BC">
        <w:rPr>
          <w:sz w:val="20"/>
          <w:szCs w:val="20"/>
          <w:highlight w:val="yellow"/>
        </w:rPr>
        <w:t xml:space="preserve"> (2)A person is only entitled to a </w:t>
      </w:r>
      <w:r w:rsidR="00E93063" w:rsidRPr="001560BC">
        <w:rPr>
          <w:sz w:val="20"/>
          <w:szCs w:val="20"/>
          <w:highlight w:val="yellow"/>
          <w:u w:val="single"/>
        </w:rPr>
        <w:t>reasonable nature/degree of privacy</w:t>
      </w:r>
      <w:r w:rsidR="00E93063" w:rsidRPr="001560BC">
        <w:rPr>
          <w:sz w:val="20"/>
          <w:szCs w:val="20"/>
          <w:highlight w:val="yellow"/>
        </w:rPr>
        <w:t xml:space="preserve"> (3)in determining whether privacy has been violated, must look at</w:t>
      </w:r>
      <w:r w:rsidR="008F5018" w:rsidRPr="001560BC">
        <w:rPr>
          <w:sz w:val="20"/>
          <w:szCs w:val="20"/>
          <w:highlight w:val="yellow"/>
        </w:rPr>
        <w:t xml:space="preserve"> nature/incidence/occasion/relationship between parties (4)eavesdropping or surveillance is a violation of privacy regardless of trespass</w:t>
      </w:r>
    </w:p>
    <w:p w14:paraId="2F1F2D2F" w14:textId="62CF7CD6" w:rsidR="008F5018" w:rsidRDefault="008F5018" w:rsidP="008F5018">
      <w:pPr>
        <w:pStyle w:val="ListParagraph"/>
        <w:numPr>
          <w:ilvl w:val="0"/>
          <w:numId w:val="6"/>
        </w:numPr>
        <w:rPr>
          <w:sz w:val="20"/>
          <w:szCs w:val="20"/>
        </w:rPr>
      </w:pPr>
      <w:proofErr w:type="spellStart"/>
      <w:r>
        <w:rPr>
          <w:b/>
          <w:i/>
          <w:sz w:val="20"/>
          <w:szCs w:val="20"/>
        </w:rPr>
        <w:t>Motherwell</w:t>
      </w:r>
      <w:proofErr w:type="spellEnd"/>
      <w:r>
        <w:rPr>
          <w:b/>
          <w:i/>
          <w:sz w:val="20"/>
          <w:szCs w:val="20"/>
        </w:rPr>
        <w:t xml:space="preserve"> v </w:t>
      </w:r>
      <w:proofErr w:type="spellStart"/>
      <w:r>
        <w:rPr>
          <w:b/>
          <w:i/>
          <w:sz w:val="20"/>
          <w:szCs w:val="20"/>
        </w:rPr>
        <w:t>Motherwell</w:t>
      </w:r>
      <w:proofErr w:type="spellEnd"/>
      <w:r>
        <w:rPr>
          <w:sz w:val="20"/>
          <w:szCs w:val="20"/>
        </w:rPr>
        <w:t>—tort of private nuisance—undue interference with the comfortable and convenient use of land—based on the idea that you could not tell who was phoning you until you answered</w:t>
      </w:r>
    </w:p>
    <w:p w14:paraId="7E86858B" w14:textId="77777777" w:rsidR="00F46C9C" w:rsidRDefault="00F46C9C" w:rsidP="008F5018">
      <w:pPr>
        <w:pStyle w:val="ListParagraph"/>
        <w:numPr>
          <w:ilvl w:val="0"/>
          <w:numId w:val="6"/>
        </w:numPr>
        <w:rPr>
          <w:sz w:val="20"/>
          <w:szCs w:val="20"/>
        </w:rPr>
      </w:pPr>
      <w:proofErr w:type="spellStart"/>
      <w:r>
        <w:rPr>
          <w:b/>
          <w:i/>
          <w:sz w:val="20"/>
          <w:szCs w:val="20"/>
        </w:rPr>
        <w:t>Hollinsworth</w:t>
      </w:r>
      <w:proofErr w:type="spellEnd"/>
      <w:r>
        <w:rPr>
          <w:b/>
          <w:i/>
          <w:sz w:val="20"/>
          <w:szCs w:val="20"/>
        </w:rPr>
        <w:t xml:space="preserve"> v BCTV</w:t>
      </w:r>
      <w:r>
        <w:rPr>
          <w:sz w:val="20"/>
          <w:szCs w:val="20"/>
        </w:rPr>
        <w:t>—video of man getting hair surgery was played on public TV without his permission, plaintiff was awarded damages from doctor’s company and person who assured BCTV that they could use video, but claim against BCTV was dismissed because there was no evidence that they had known or should have known that the video was confidential</w:t>
      </w:r>
    </w:p>
    <w:p w14:paraId="71C8FC1D" w14:textId="77777777" w:rsidR="009A1C6E" w:rsidRDefault="00F46C9C" w:rsidP="00F46C9C">
      <w:pPr>
        <w:pStyle w:val="ListParagraph"/>
        <w:numPr>
          <w:ilvl w:val="1"/>
          <w:numId w:val="6"/>
        </w:numPr>
        <w:rPr>
          <w:sz w:val="20"/>
          <w:szCs w:val="20"/>
        </w:rPr>
      </w:pPr>
      <w:proofErr w:type="gramStart"/>
      <w:r>
        <w:rPr>
          <w:b/>
          <w:sz w:val="20"/>
          <w:szCs w:val="20"/>
        </w:rPr>
        <w:t>willfully</w:t>
      </w:r>
      <w:proofErr w:type="gramEnd"/>
      <w:r>
        <w:rPr>
          <w:sz w:val="20"/>
          <w:szCs w:val="20"/>
        </w:rPr>
        <w:t>—“intention to do an act which the person doing the act knew or should have known would violate the privacy of another person”</w:t>
      </w:r>
    </w:p>
    <w:p w14:paraId="6957A7DB" w14:textId="71C1F615" w:rsidR="008F5018" w:rsidRDefault="009A1C6E" w:rsidP="00F46C9C">
      <w:pPr>
        <w:pStyle w:val="ListParagraph"/>
        <w:numPr>
          <w:ilvl w:val="1"/>
          <w:numId w:val="6"/>
        </w:numPr>
        <w:rPr>
          <w:sz w:val="20"/>
          <w:szCs w:val="20"/>
        </w:rPr>
      </w:pPr>
      <w:proofErr w:type="gramStart"/>
      <w:r w:rsidRPr="00D75075">
        <w:rPr>
          <w:b/>
          <w:sz w:val="20"/>
          <w:szCs w:val="20"/>
          <w:highlight w:val="lightGray"/>
        </w:rPr>
        <w:t>mistake</w:t>
      </w:r>
      <w:proofErr w:type="gramEnd"/>
      <w:r w:rsidRPr="00D75075">
        <w:rPr>
          <w:b/>
          <w:sz w:val="20"/>
          <w:szCs w:val="20"/>
          <w:highlight w:val="lightGray"/>
        </w:rPr>
        <w:t xml:space="preserve"> of fact</w:t>
      </w:r>
      <w:r>
        <w:rPr>
          <w:sz w:val="20"/>
          <w:szCs w:val="20"/>
        </w:rPr>
        <w:t>—court says that they may, in future, look into test of honest but reasonable mistake of fact</w:t>
      </w:r>
      <w:r w:rsidR="00F46C9C">
        <w:rPr>
          <w:sz w:val="20"/>
          <w:szCs w:val="20"/>
        </w:rPr>
        <w:t xml:space="preserve"> </w:t>
      </w:r>
    </w:p>
    <w:p w14:paraId="7242433E" w14:textId="49C7C21C" w:rsidR="00AF7B42" w:rsidRDefault="00AF7B42" w:rsidP="00AF7B42">
      <w:pPr>
        <w:pStyle w:val="ListParagraph"/>
        <w:numPr>
          <w:ilvl w:val="0"/>
          <w:numId w:val="6"/>
        </w:numPr>
        <w:rPr>
          <w:sz w:val="20"/>
          <w:szCs w:val="20"/>
        </w:rPr>
      </w:pPr>
      <w:proofErr w:type="gramStart"/>
      <w:r>
        <w:rPr>
          <w:b/>
          <w:i/>
          <w:sz w:val="20"/>
          <w:szCs w:val="20"/>
        </w:rPr>
        <w:t>Watts</w:t>
      </w:r>
      <w:proofErr w:type="gramEnd"/>
      <w:r>
        <w:rPr>
          <w:b/>
          <w:i/>
          <w:sz w:val="20"/>
          <w:szCs w:val="20"/>
        </w:rPr>
        <w:t xml:space="preserve"> v </w:t>
      </w:r>
      <w:proofErr w:type="spellStart"/>
      <w:r>
        <w:rPr>
          <w:b/>
          <w:i/>
          <w:sz w:val="20"/>
          <w:szCs w:val="20"/>
        </w:rPr>
        <w:t>Klaemt</w:t>
      </w:r>
      <w:proofErr w:type="spellEnd"/>
      <w:r>
        <w:rPr>
          <w:sz w:val="20"/>
          <w:szCs w:val="20"/>
        </w:rPr>
        <w:t xml:space="preserve">—under </w:t>
      </w:r>
      <w:r>
        <w:rPr>
          <w:i/>
          <w:sz w:val="20"/>
          <w:szCs w:val="20"/>
        </w:rPr>
        <w:t>Privacy Act</w:t>
      </w:r>
      <w:r>
        <w:rPr>
          <w:sz w:val="20"/>
          <w:szCs w:val="20"/>
        </w:rPr>
        <w:t xml:space="preserve"> of BC, it is reasonable to expect telephone conversations in your home are private, regardless of ease of access, defendant took several steps to invade privacy including duration, recording and sharing the information</w:t>
      </w:r>
      <w:r w:rsidR="00997581">
        <w:rPr>
          <w:sz w:val="20"/>
          <w:szCs w:val="20"/>
        </w:rPr>
        <w:t>.</w:t>
      </w:r>
    </w:p>
    <w:p w14:paraId="28EDE71B" w14:textId="213FAE6C" w:rsidR="00997581" w:rsidRDefault="00997581" w:rsidP="00997581">
      <w:pPr>
        <w:pStyle w:val="ListParagraph"/>
        <w:numPr>
          <w:ilvl w:val="1"/>
          <w:numId w:val="6"/>
        </w:numPr>
        <w:rPr>
          <w:sz w:val="20"/>
          <w:szCs w:val="20"/>
        </w:rPr>
      </w:pPr>
      <w:proofErr w:type="gramStart"/>
      <w:r>
        <w:rPr>
          <w:sz w:val="20"/>
          <w:szCs w:val="20"/>
        </w:rPr>
        <w:t>judge</w:t>
      </w:r>
      <w:proofErr w:type="gramEnd"/>
      <w:r>
        <w:rPr>
          <w:sz w:val="20"/>
          <w:szCs w:val="20"/>
        </w:rPr>
        <w:t xml:space="preserve"> said it was not justified as being incidental to protecting himself as he went too far</w:t>
      </w:r>
    </w:p>
    <w:p w14:paraId="0F6E9B12" w14:textId="1A10FF0D" w:rsidR="00997581" w:rsidRDefault="00997581" w:rsidP="00997581">
      <w:pPr>
        <w:pStyle w:val="ListParagraph"/>
        <w:numPr>
          <w:ilvl w:val="1"/>
          <w:numId w:val="6"/>
        </w:numPr>
        <w:rPr>
          <w:sz w:val="20"/>
          <w:szCs w:val="20"/>
        </w:rPr>
      </w:pPr>
      <w:proofErr w:type="gramStart"/>
      <w:r w:rsidRPr="00D75075">
        <w:rPr>
          <w:b/>
          <w:i/>
          <w:sz w:val="20"/>
          <w:szCs w:val="20"/>
          <w:highlight w:val="lightGray"/>
        </w:rPr>
        <w:t>ex</w:t>
      </w:r>
      <w:proofErr w:type="gramEnd"/>
      <w:r w:rsidRPr="00D75075">
        <w:rPr>
          <w:b/>
          <w:i/>
          <w:sz w:val="20"/>
          <w:szCs w:val="20"/>
          <w:highlight w:val="lightGray"/>
        </w:rPr>
        <w:t xml:space="preserve"> </w:t>
      </w:r>
      <w:proofErr w:type="spellStart"/>
      <w:r w:rsidRPr="00D75075">
        <w:rPr>
          <w:b/>
          <w:i/>
          <w:sz w:val="20"/>
          <w:szCs w:val="20"/>
          <w:highlight w:val="lightGray"/>
        </w:rPr>
        <w:t>turpi</w:t>
      </w:r>
      <w:proofErr w:type="spellEnd"/>
      <w:r w:rsidRPr="00D75075">
        <w:rPr>
          <w:b/>
          <w:i/>
          <w:sz w:val="20"/>
          <w:szCs w:val="20"/>
          <w:highlight w:val="lightGray"/>
        </w:rPr>
        <w:t xml:space="preserve"> </w:t>
      </w:r>
      <w:proofErr w:type="spellStart"/>
      <w:r w:rsidRPr="00D75075">
        <w:rPr>
          <w:b/>
          <w:i/>
          <w:sz w:val="20"/>
          <w:szCs w:val="20"/>
          <w:highlight w:val="lightGray"/>
        </w:rPr>
        <w:t>causa</w:t>
      </w:r>
      <w:proofErr w:type="spellEnd"/>
      <w:r>
        <w:rPr>
          <w:sz w:val="20"/>
          <w:szCs w:val="20"/>
        </w:rPr>
        <w:t>—court will not assist a plaintiff whose action arises out of a legal or immoral act, but that this doctrine would only be applicable if plaintiff used that confidential information to procure a benefit and then sued to recover a benefit</w:t>
      </w:r>
    </w:p>
    <w:p w14:paraId="4CD5FC0B" w14:textId="1648BE62" w:rsidR="001560BC" w:rsidRDefault="001560BC" w:rsidP="00E42946">
      <w:pPr>
        <w:pStyle w:val="ListParagraph"/>
        <w:numPr>
          <w:ilvl w:val="1"/>
          <w:numId w:val="6"/>
        </w:numPr>
        <w:spacing w:after="120"/>
        <w:ind w:left="1434" w:hanging="357"/>
        <w:rPr>
          <w:sz w:val="20"/>
          <w:szCs w:val="20"/>
        </w:rPr>
      </w:pPr>
      <w:proofErr w:type="gramStart"/>
      <w:r>
        <w:rPr>
          <w:sz w:val="20"/>
          <w:szCs w:val="20"/>
        </w:rPr>
        <w:t>court</w:t>
      </w:r>
      <w:proofErr w:type="gramEnd"/>
      <w:r>
        <w:rPr>
          <w:sz w:val="20"/>
          <w:szCs w:val="20"/>
        </w:rPr>
        <w:t xml:space="preserve"> says that she </w:t>
      </w:r>
      <w:r w:rsidRPr="002D7FB7">
        <w:rPr>
          <w:sz w:val="20"/>
          <w:szCs w:val="20"/>
          <w:u w:val="single"/>
        </w:rPr>
        <w:t>consented</w:t>
      </w:r>
      <w:r>
        <w:rPr>
          <w:sz w:val="20"/>
          <w:szCs w:val="20"/>
        </w:rPr>
        <w:t xml:space="preserve"> to her loss of job because she had knowledge of risk </w:t>
      </w:r>
    </w:p>
    <w:p w14:paraId="4378AC16" w14:textId="77777777" w:rsidR="00295132" w:rsidRDefault="00295132" w:rsidP="00D603DF">
      <w:pPr>
        <w:rPr>
          <w:b/>
          <w:sz w:val="20"/>
          <w:szCs w:val="20"/>
          <w:highlight w:val="green"/>
        </w:rPr>
      </w:pPr>
    </w:p>
    <w:p w14:paraId="076E9EC3" w14:textId="77777777" w:rsidR="00295132" w:rsidRDefault="00295132" w:rsidP="00D603DF">
      <w:pPr>
        <w:rPr>
          <w:b/>
          <w:sz w:val="20"/>
          <w:szCs w:val="20"/>
          <w:highlight w:val="green"/>
        </w:rPr>
      </w:pPr>
    </w:p>
    <w:p w14:paraId="39CD5F5B" w14:textId="77777777" w:rsidR="00295132" w:rsidRDefault="00295132" w:rsidP="00D603DF">
      <w:pPr>
        <w:rPr>
          <w:b/>
          <w:sz w:val="20"/>
          <w:szCs w:val="20"/>
          <w:highlight w:val="green"/>
        </w:rPr>
      </w:pPr>
    </w:p>
    <w:p w14:paraId="16CFE899" w14:textId="77777777" w:rsidR="00295132" w:rsidRDefault="00295132" w:rsidP="00D603DF">
      <w:pPr>
        <w:rPr>
          <w:b/>
          <w:sz w:val="20"/>
          <w:szCs w:val="20"/>
          <w:highlight w:val="green"/>
        </w:rPr>
      </w:pPr>
    </w:p>
    <w:p w14:paraId="411AF472" w14:textId="77777777" w:rsidR="00295132" w:rsidRDefault="00295132" w:rsidP="00D603DF">
      <w:pPr>
        <w:rPr>
          <w:b/>
          <w:sz w:val="20"/>
          <w:szCs w:val="20"/>
          <w:highlight w:val="green"/>
        </w:rPr>
      </w:pPr>
    </w:p>
    <w:p w14:paraId="4220A277" w14:textId="77777777" w:rsidR="00295132" w:rsidRDefault="00295132" w:rsidP="00D603DF">
      <w:pPr>
        <w:rPr>
          <w:b/>
          <w:sz w:val="20"/>
          <w:szCs w:val="20"/>
          <w:highlight w:val="green"/>
        </w:rPr>
      </w:pPr>
    </w:p>
    <w:p w14:paraId="79057C07" w14:textId="77777777" w:rsidR="00295132" w:rsidRDefault="00295132" w:rsidP="00D603DF">
      <w:pPr>
        <w:rPr>
          <w:b/>
          <w:sz w:val="20"/>
          <w:szCs w:val="20"/>
          <w:highlight w:val="green"/>
        </w:rPr>
      </w:pPr>
    </w:p>
    <w:p w14:paraId="62741FB6" w14:textId="77777777" w:rsidR="00295132" w:rsidRDefault="00295132" w:rsidP="00D603DF">
      <w:pPr>
        <w:rPr>
          <w:b/>
          <w:sz w:val="20"/>
          <w:szCs w:val="20"/>
          <w:highlight w:val="green"/>
        </w:rPr>
      </w:pPr>
    </w:p>
    <w:p w14:paraId="320C4FB5" w14:textId="77777777" w:rsidR="00295132" w:rsidRDefault="00295132" w:rsidP="00D603DF">
      <w:pPr>
        <w:rPr>
          <w:b/>
          <w:sz w:val="20"/>
          <w:szCs w:val="20"/>
          <w:highlight w:val="green"/>
        </w:rPr>
      </w:pPr>
    </w:p>
    <w:p w14:paraId="255DDA6A" w14:textId="6F86071A" w:rsidR="00D603DF" w:rsidRDefault="00D603DF" w:rsidP="00D603DF">
      <w:pPr>
        <w:rPr>
          <w:sz w:val="20"/>
          <w:szCs w:val="20"/>
        </w:rPr>
      </w:pPr>
      <w:proofErr w:type="gramStart"/>
      <w:r w:rsidRPr="00D75075">
        <w:rPr>
          <w:b/>
          <w:sz w:val="20"/>
          <w:szCs w:val="20"/>
          <w:highlight w:val="lightGray"/>
        </w:rPr>
        <w:t>consent</w:t>
      </w:r>
      <w:proofErr w:type="gramEnd"/>
      <w:r w:rsidRPr="00D75075">
        <w:rPr>
          <w:sz w:val="20"/>
          <w:szCs w:val="20"/>
          <w:highlight w:val="lightGray"/>
        </w:rPr>
        <w:t>—a defense to intentional torts that must be proved by the defendant</w:t>
      </w:r>
    </w:p>
    <w:p w14:paraId="24627097" w14:textId="1AB77F48" w:rsidR="00D603DF" w:rsidRDefault="00D603DF" w:rsidP="00D603DF">
      <w:pPr>
        <w:pStyle w:val="ListParagraph"/>
        <w:numPr>
          <w:ilvl w:val="0"/>
          <w:numId w:val="9"/>
        </w:numPr>
        <w:rPr>
          <w:sz w:val="20"/>
          <w:szCs w:val="20"/>
        </w:rPr>
      </w:pPr>
      <w:r>
        <w:rPr>
          <w:b/>
          <w:i/>
          <w:sz w:val="20"/>
          <w:szCs w:val="20"/>
        </w:rPr>
        <w:t>Wright v McLean</w:t>
      </w:r>
      <w:r>
        <w:rPr>
          <w:sz w:val="20"/>
          <w:szCs w:val="20"/>
        </w:rPr>
        <w:t>—</w:t>
      </w:r>
      <w:r>
        <w:rPr>
          <w:sz w:val="20"/>
          <w:szCs w:val="20"/>
          <w:u w:val="single"/>
        </w:rPr>
        <w:t>implied consent</w:t>
      </w:r>
      <w:r>
        <w:rPr>
          <w:sz w:val="20"/>
          <w:szCs w:val="20"/>
        </w:rPr>
        <w:t>, where defendant was invited to join game by others and there was no ill will, a reasonable mistake of fact (didn’t know there was a rock in the mud), and was within the scope of what could be expected for this activity, this is implied consent and a complete defence</w:t>
      </w:r>
    </w:p>
    <w:p w14:paraId="2510EA3E" w14:textId="5BC8CA13" w:rsidR="009856F1" w:rsidRDefault="009856F1" w:rsidP="00D603DF">
      <w:pPr>
        <w:pStyle w:val="ListParagraph"/>
        <w:numPr>
          <w:ilvl w:val="0"/>
          <w:numId w:val="9"/>
        </w:numPr>
        <w:rPr>
          <w:sz w:val="20"/>
          <w:szCs w:val="20"/>
        </w:rPr>
      </w:pPr>
      <w:r>
        <w:rPr>
          <w:b/>
          <w:i/>
          <w:sz w:val="20"/>
          <w:szCs w:val="20"/>
        </w:rPr>
        <w:t>Agar v Canning</w:t>
      </w:r>
      <w:r>
        <w:rPr>
          <w:sz w:val="20"/>
          <w:szCs w:val="20"/>
        </w:rPr>
        <w:t>—there is a point where an activity becomes so dangerous that you cannot consent to it, and injuries inflicted in circumstances that show a definite resolve to cause injury</w:t>
      </w:r>
    </w:p>
    <w:p w14:paraId="7F7ACF28" w14:textId="5745BE38" w:rsidR="00FC4C44" w:rsidRDefault="00FC4C44" w:rsidP="00D603DF">
      <w:pPr>
        <w:pStyle w:val="ListParagraph"/>
        <w:numPr>
          <w:ilvl w:val="0"/>
          <w:numId w:val="9"/>
        </w:numPr>
        <w:rPr>
          <w:sz w:val="20"/>
          <w:szCs w:val="20"/>
        </w:rPr>
      </w:pPr>
      <w:proofErr w:type="gramStart"/>
      <w:r>
        <w:rPr>
          <w:sz w:val="20"/>
          <w:szCs w:val="20"/>
          <w:u w:val="single"/>
        </w:rPr>
        <w:t>fraud</w:t>
      </w:r>
      <w:proofErr w:type="gramEnd"/>
      <w:r>
        <w:rPr>
          <w:sz w:val="20"/>
          <w:szCs w:val="20"/>
        </w:rPr>
        <w:t xml:space="preserve">—will only vitiate consent if it relates to the nature and quality of the act, </w:t>
      </w:r>
      <w:r w:rsidR="00F970F4">
        <w:rPr>
          <w:sz w:val="20"/>
          <w:szCs w:val="20"/>
        </w:rPr>
        <w:t xml:space="preserve">instead of </w:t>
      </w:r>
      <w:r>
        <w:rPr>
          <w:sz w:val="20"/>
          <w:szCs w:val="20"/>
        </w:rPr>
        <w:t>collateral matter</w:t>
      </w:r>
    </w:p>
    <w:p w14:paraId="22ED88AC" w14:textId="77777777" w:rsidR="0000721A" w:rsidRPr="0000721A" w:rsidRDefault="004C5773" w:rsidP="00295132">
      <w:pPr>
        <w:pStyle w:val="ListParagraph"/>
        <w:numPr>
          <w:ilvl w:val="0"/>
          <w:numId w:val="9"/>
        </w:numPr>
        <w:spacing w:after="120"/>
        <w:ind w:left="714" w:hanging="357"/>
        <w:rPr>
          <w:b/>
          <w:sz w:val="20"/>
          <w:szCs w:val="20"/>
        </w:rPr>
      </w:pPr>
      <w:proofErr w:type="spellStart"/>
      <w:r w:rsidRPr="0000721A">
        <w:rPr>
          <w:b/>
          <w:i/>
          <w:sz w:val="20"/>
          <w:szCs w:val="20"/>
        </w:rPr>
        <w:t>Norberg</w:t>
      </w:r>
      <w:proofErr w:type="spellEnd"/>
      <w:r w:rsidRPr="0000721A">
        <w:rPr>
          <w:b/>
          <w:i/>
          <w:sz w:val="20"/>
          <w:szCs w:val="20"/>
        </w:rPr>
        <w:t xml:space="preserve"> v </w:t>
      </w:r>
      <w:proofErr w:type="spellStart"/>
      <w:r w:rsidRPr="0000721A">
        <w:rPr>
          <w:b/>
          <w:i/>
          <w:sz w:val="20"/>
          <w:szCs w:val="20"/>
        </w:rPr>
        <w:t>Wynrib</w:t>
      </w:r>
      <w:proofErr w:type="spellEnd"/>
      <w:r w:rsidR="00C82D1B" w:rsidRPr="0000721A">
        <w:rPr>
          <w:sz w:val="20"/>
          <w:szCs w:val="20"/>
        </w:rPr>
        <w:t>—</w:t>
      </w:r>
      <w:r w:rsidR="0000721A" w:rsidRPr="0000721A">
        <w:rPr>
          <w:sz w:val="20"/>
          <w:szCs w:val="20"/>
        </w:rPr>
        <w:t xml:space="preserve">no </w:t>
      </w:r>
      <w:proofErr w:type="spellStart"/>
      <w:r w:rsidR="0000721A" w:rsidRPr="0000721A">
        <w:rPr>
          <w:sz w:val="20"/>
          <w:szCs w:val="20"/>
        </w:rPr>
        <w:t>consentsd</w:t>
      </w:r>
      <w:proofErr w:type="spellEnd"/>
      <w:r w:rsidR="00C82D1B" w:rsidRPr="0000721A">
        <w:rPr>
          <w:sz w:val="20"/>
          <w:szCs w:val="20"/>
        </w:rPr>
        <w:t xml:space="preserve"> where there is </w:t>
      </w:r>
      <w:r w:rsidR="0000721A" w:rsidRPr="0000721A">
        <w:rPr>
          <w:sz w:val="20"/>
          <w:szCs w:val="20"/>
        </w:rPr>
        <w:t>power imbalance</w:t>
      </w:r>
      <w:r w:rsidR="0000721A">
        <w:rPr>
          <w:sz w:val="20"/>
          <w:szCs w:val="20"/>
        </w:rPr>
        <w:t xml:space="preserve"> and exploitation of drug addiction</w:t>
      </w:r>
    </w:p>
    <w:p w14:paraId="6A5374E0" w14:textId="2844F5A5" w:rsidR="00E42946" w:rsidRPr="0000721A" w:rsidRDefault="0000721A" w:rsidP="0000721A">
      <w:pPr>
        <w:rPr>
          <w:b/>
          <w:sz w:val="20"/>
          <w:szCs w:val="20"/>
        </w:rPr>
      </w:pPr>
      <w:proofErr w:type="gramStart"/>
      <w:r w:rsidRPr="00D75075">
        <w:rPr>
          <w:sz w:val="20"/>
          <w:szCs w:val="20"/>
          <w:highlight w:val="lightGray"/>
          <w:u w:val="single"/>
        </w:rPr>
        <w:t>medical</w:t>
      </w:r>
      <w:proofErr w:type="gramEnd"/>
      <w:r w:rsidRPr="00D75075">
        <w:rPr>
          <w:sz w:val="20"/>
          <w:szCs w:val="20"/>
          <w:highlight w:val="lightGray"/>
          <w:u w:val="single"/>
        </w:rPr>
        <w:t xml:space="preserve"> consent</w:t>
      </w:r>
      <w:r w:rsidRPr="00D75075">
        <w:rPr>
          <w:sz w:val="20"/>
          <w:szCs w:val="20"/>
          <w:highlight w:val="lightGray"/>
        </w:rPr>
        <w:t>—medical procedures without consent are considered battery</w:t>
      </w:r>
    </w:p>
    <w:p w14:paraId="0A9C4663" w14:textId="16822FDE" w:rsidR="0000721A" w:rsidRPr="0000721A" w:rsidRDefault="0000721A" w:rsidP="0000721A">
      <w:pPr>
        <w:pStyle w:val="ListParagraph"/>
        <w:numPr>
          <w:ilvl w:val="0"/>
          <w:numId w:val="9"/>
        </w:numPr>
        <w:rPr>
          <w:b/>
          <w:sz w:val="20"/>
          <w:szCs w:val="20"/>
        </w:rPr>
      </w:pPr>
      <w:r>
        <w:rPr>
          <w:b/>
          <w:i/>
          <w:sz w:val="20"/>
          <w:szCs w:val="20"/>
        </w:rPr>
        <w:t>Marshall v Curry</w:t>
      </w:r>
      <w:r>
        <w:rPr>
          <w:sz w:val="20"/>
          <w:szCs w:val="20"/>
        </w:rPr>
        <w:t>—3 principles:</w:t>
      </w:r>
    </w:p>
    <w:p w14:paraId="28245FF6" w14:textId="2BA34C94" w:rsidR="0000721A" w:rsidRPr="0000721A" w:rsidRDefault="0000721A" w:rsidP="0000721A">
      <w:pPr>
        <w:pStyle w:val="ListParagraph"/>
        <w:numPr>
          <w:ilvl w:val="1"/>
          <w:numId w:val="9"/>
        </w:numPr>
        <w:rPr>
          <w:b/>
          <w:sz w:val="20"/>
          <w:szCs w:val="20"/>
        </w:rPr>
      </w:pPr>
      <w:proofErr w:type="gramStart"/>
      <w:r>
        <w:rPr>
          <w:sz w:val="20"/>
          <w:szCs w:val="20"/>
        </w:rPr>
        <w:t>where</w:t>
      </w:r>
      <w:proofErr w:type="gramEnd"/>
      <w:r>
        <w:rPr>
          <w:sz w:val="20"/>
          <w:szCs w:val="20"/>
        </w:rPr>
        <w:t xml:space="preserve"> there is an opportunity to obtain consent it must be had</w:t>
      </w:r>
    </w:p>
    <w:p w14:paraId="1B7326C6" w14:textId="4E2F321B" w:rsidR="0000721A" w:rsidRPr="00BD2C7C" w:rsidRDefault="00BD2C7C" w:rsidP="0000721A">
      <w:pPr>
        <w:pStyle w:val="ListParagraph"/>
        <w:numPr>
          <w:ilvl w:val="1"/>
          <w:numId w:val="9"/>
        </w:numPr>
        <w:rPr>
          <w:b/>
          <w:sz w:val="20"/>
          <w:szCs w:val="20"/>
        </w:rPr>
      </w:pPr>
      <w:proofErr w:type="gramStart"/>
      <w:r>
        <w:rPr>
          <w:sz w:val="20"/>
          <w:szCs w:val="20"/>
        </w:rPr>
        <w:t>consent</w:t>
      </w:r>
      <w:proofErr w:type="gramEnd"/>
      <w:r>
        <w:rPr>
          <w:sz w:val="20"/>
          <w:szCs w:val="20"/>
        </w:rPr>
        <w:t xml:space="preserve"> can be express or implied, if patient says no, no implied consent, compliance is not consent</w:t>
      </w:r>
    </w:p>
    <w:p w14:paraId="5490B2FB" w14:textId="06177EBB" w:rsidR="00BD2C7C" w:rsidRPr="00F4455D" w:rsidRDefault="00BD2C7C" w:rsidP="0000721A">
      <w:pPr>
        <w:pStyle w:val="ListParagraph"/>
        <w:numPr>
          <w:ilvl w:val="1"/>
          <w:numId w:val="9"/>
        </w:numPr>
        <w:rPr>
          <w:b/>
          <w:sz w:val="20"/>
          <w:szCs w:val="20"/>
        </w:rPr>
      </w:pPr>
      <w:proofErr w:type="gramStart"/>
      <w:r>
        <w:rPr>
          <w:sz w:val="20"/>
          <w:szCs w:val="20"/>
        </w:rPr>
        <w:t>consent</w:t>
      </w:r>
      <w:proofErr w:type="gramEnd"/>
      <w:r>
        <w:rPr>
          <w:sz w:val="20"/>
          <w:szCs w:val="20"/>
        </w:rPr>
        <w:t xml:space="preserve"> may be implied from the conversation preceding operation or antecedent circumstances</w:t>
      </w:r>
    </w:p>
    <w:p w14:paraId="4C412100" w14:textId="2E60445B" w:rsidR="00F4455D" w:rsidRPr="002A1A80" w:rsidRDefault="00F4455D" w:rsidP="00F4455D">
      <w:pPr>
        <w:pStyle w:val="ListParagraph"/>
        <w:numPr>
          <w:ilvl w:val="2"/>
          <w:numId w:val="9"/>
        </w:numPr>
        <w:rPr>
          <w:b/>
          <w:sz w:val="20"/>
          <w:szCs w:val="20"/>
        </w:rPr>
      </w:pPr>
      <w:proofErr w:type="gramStart"/>
      <w:r>
        <w:rPr>
          <w:sz w:val="20"/>
          <w:szCs w:val="20"/>
        </w:rPr>
        <w:t>was</w:t>
      </w:r>
      <w:proofErr w:type="gramEnd"/>
      <w:r>
        <w:rPr>
          <w:sz w:val="20"/>
          <w:szCs w:val="20"/>
        </w:rPr>
        <w:t xml:space="preserve"> unanticipated, and removal was necessary to save life, “despite the absence of express and possibly implied consent”</w:t>
      </w:r>
    </w:p>
    <w:p w14:paraId="64D25C8A" w14:textId="4E5A6630" w:rsidR="002A1A80" w:rsidRPr="002A1A80" w:rsidRDefault="002A1A80" w:rsidP="002A1A80">
      <w:pPr>
        <w:pStyle w:val="ListParagraph"/>
        <w:numPr>
          <w:ilvl w:val="0"/>
          <w:numId w:val="9"/>
        </w:numPr>
        <w:rPr>
          <w:b/>
          <w:sz w:val="20"/>
          <w:szCs w:val="20"/>
        </w:rPr>
      </w:pPr>
      <w:proofErr w:type="spellStart"/>
      <w:r>
        <w:rPr>
          <w:b/>
          <w:i/>
          <w:sz w:val="20"/>
          <w:szCs w:val="20"/>
        </w:rPr>
        <w:t>Malette</w:t>
      </w:r>
      <w:proofErr w:type="spellEnd"/>
      <w:r>
        <w:rPr>
          <w:b/>
          <w:i/>
          <w:sz w:val="20"/>
          <w:szCs w:val="20"/>
        </w:rPr>
        <w:t xml:space="preserve"> v Shulman</w:t>
      </w:r>
      <w:r>
        <w:rPr>
          <w:sz w:val="20"/>
          <w:szCs w:val="20"/>
        </w:rPr>
        <w:t>—case where unconscious lady was Jehovah’s witness and card in her wallet said that she wouldn’t accept blood donation, doctor gave her blood donation anyway</w:t>
      </w:r>
    </w:p>
    <w:p w14:paraId="25A88DF3" w14:textId="48775CE3" w:rsidR="002A1A80" w:rsidRPr="002A1A80" w:rsidRDefault="002A1A80" w:rsidP="002A1A80">
      <w:pPr>
        <w:pStyle w:val="ListParagraph"/>
        <w:numPr>
          <w:ilvl w:val="1"/>
          <w:numId w:val="9"/>
        </w:numPr>
        <w:rPr>
          <w:b/>
          <w:sz w:val="20"/>
          <w:szCs w:val="20"/>
        </w:rPr>
      </w:pPr>
      <w:proofErr w:type="gramStart"/>
      <w:r>
        <w:rPr>
          <w:sz w:val="20"/>
          <w:szCs w:val="20"/>
        </w:rPr>
        <w:t>doctor</w:t>
      </w:r>
      <w:proofErr w:type="gramEnd"/>
      <w:r>
        <w:rPr>
          <w:sz w:val="20"/>
          <w:szCs w:val="20"/>
        </w:rPr>
        <w:t xml:space="preserve"> tried to argue that she was not informed of the risks of refusing blood, court said no such thing as informed refusal</w:t>
      </w:r>
    </w:p>
    <w:p w14:paraId="26333F37" w14:textId="07BA6078" w:rsidR="002A1A80" w:rsidRPr="00D42CEC" w:rsidRDefault="002A1A80" w:rsidP="00D42CEC">
      <w:pPr>
        <w:pStyle w:val="ListParagraph"/>
        <w:numPr>
          <w:ilvl w:val="0"/>
          <w:numId w:val="9"/>
        </w:numPr>
        <w:spacing w:after="120"/>
        <w:ind w:left="714" w:hanging="357"/>
        <w:rPr>
          <w:b/>
          <w:sz w:val="20"/>
          <w:szCs w:val="20"/>
        </w:rPr>
      </w:pPr>
      <w:r>
        <w:rPr>
          <w:b/>
          <w:i/>
          <w:sz w:val="20"/>
          <w:szCs w:val="20"/>
        </w:rPr>
        <w:t>C v Wren</w:t>
      </w:r>
      <w:r w:rsidR="00712565">
        <w:rPr>
          <w:sz w:val="20"/>
          <w:szCs w:val="20"/>
        </w:rPr>
        <w:t>—at common law, so long as minors are capable of understanding the nature/risks of the proposed treatment</w:t>
      </w:r>
      <w:r w:rsidR="00D42CEC">
        <w:rPr>
          <w:sz w:val="20"/>
          <w:szCs w:val="20"/>
        </w:rPr>
        <w:t>, there is no specific age limit on consent</w:t>
      </w:r>
    </w:p>
    <w:p w14:paraId="4AADC70F" w14:textId="3B5831B9" w:rsidR="00D42CEC" w:rsidRDefault="00D42CEC" w:rsidP="00D42CEC">
      <w:pPr>
        <w:rPr>
          <w:sz w:val="20"/>
          <w:szCs w:val="20"/>
        </w:rPr>
      </w:pPr>
      <w:r w:rsidRPr="00D75075">
        <w:rPr>
          <w:b/>
          <w:sz w:val="20"/>
          <w:szCs w:val="20"/>
          <w:highlight w:val="lightGray"/>
        </w:rPr>
        <w:t>Self defence</w:t>
      </w:r>
      <w:r w:rsidRPr="00D75075">
        <w:rPr>
          <w:sz w:val="20"/>
          <w:szCs w:val="20"/>
          <w:highlight w:val="lightGray"/>
        </w:rPr>
        <w:t>—</w:t>
      </w:r>
      <w:r w:rsidR="0053316D" w:rsidRPr="00D75075">
        <w:rPr>
          <w:sz w:val="20"/>
          <w:szCs w:val="20"/>
          <w:highlight w:val="lightGray"/>
        </w:rPr>
        <w:t>3 central factors</w:t>
      </w:r>
      <w:r w:rsidRPr="00D75075">
        <w:rPr>
          <w:sz w:val="20"/>
          <w:szCs w:val="20"/>
          <w:highlight w:val="lightGray"/>
        </w:rPr>
        <w:t xml:space="preserve">, </w:t>
      </w:r>
      <w:r w:rsidR="0053316D" w:rsidRPr="00D75075">
        <w:rPr>
          <w:sz w:val="20"/>
          <w:szCs w:val="20"/>
          <w:highlight w:val="lightGray"/>
        </w:rPr>
        <w:t>all</w:t>
      </w:r>
      <w:r w:rsidRPr="00D75075">
        <w:rPr>
          <w:sz w:val="20"/>
          <w:szCs w:val="20"/>
          <w:highlight w:val="lightGray"/>
        </w:rPr>
        <w:t xml:space="preserve"> considered both subjectively and objectively, important way of limiting defence</w:t>
      </w:r>
    </w:p>
    <w:p w14:paraId="41785CE6" w14:textId="21456BA7" w:rsidR="0053316D" w:rsidRDefault="0053316D" w:rsidP="0053316D">
      <w:pPr>
        <w:pStyle w:val="ListParagraph"/>
        <w:numPr>
          <w:ilvl w:val="0"/>
          <w:numId w:val="11"/>
        </w:numPr>
        <w:rPr>
          <w:sz w:val="20"/>
          <w:szCs w:val="20"/>
        </w:rPr>
      </w:pPr>
      <w:proofErr w:type="gramStart"/>
      <w:r>
        <w:rPr>
          <w:sz w:val="20"/>
          <w:szCs w:val="20"/>
        </w:rPr>
        <w:t>honest</w:t>
      </w:r>
      <w:proofErr w:type="gramEnd"/>
      <w:r>
        <w:rPr>
          <w:sz w:val="20"/>
          <w:szCs w:val="20"/>
        </w:rPr>
        <w:t xml:space="preserve"> and reasonable belief that you are subject to battery or that you are about to be subject to battery</w:t>
      </w:r>
    </w:p>
    <w:p w14:paraId="26E4595F" w14:textId="48D6F01A" w:rsidR="0053316D" w:rsidRDefault="0053316D" w:rsidP="0053316D">
      <w:pPr>
        <w:pStyle w:val="ListParagraph"/>
        <w:numPr>
          <w:ilvl w:val="0"/>
          <w:numId w:val="11"/>
        </w:numPr>
        <w:rPr>
          <w:sz w:val="20"/>
          <w:szCs w:val="20"/>
        </w:rPr>
      </w:pPr>
      <w:proofErr w:type="gramStart"/>
      <w:r>
        <w:rPr>
          <w:sz w:val="20"/>
          <w:szCs w:val="20"/>
        </w:rPr>
        <w:t>no</w:t>
      </w:r>
      <w:proofErr w:type="gramEnd"/>
      <w:r>
        <w:rPr>
          <w:sz w:val="20"/>
          <w:szCs w:val="20"/>
        </w:rPr>
        <w:t xml:space="preserve"> reasonable alternative to the use of force</w:t>
      </w:r>
    </w:p>
    <w:p w14:paraId="7F3FACD9" w14:textId="78C5E53E" w:rsidR="0053316D" w:rsidRDefault="0053316D" w:rsidP="0053316D">
      <w:pPr>
        <w:pStyle w:val="ListParagraph"/>
        <w:numPr>
          <w:ilvl w:val="0"/>
          <w:numId w:val="11"/>
        </w:numPr>
        <w:rPr>
          <w:sz w:val="20"/>
          <w:szCs w:val="20"/>
        </w:rPr>
      </w:pPr>
      <w:proofErr w:type="gramStart"/>
      <w:r>
        <w:rPr>
          <w:sz w:val="20"/>
          <w:szCs w:val="20"/>
        </w:rPr>
        <w:t>the</w:t>
      </w:r>
      <w:proofErr w:type="gramEnd"/>
      <w:r>
        <w:rPr>
          <w:sz w:val="20"/>
          <w:szCs w:val="20"/>
        </w:rPr>
        <w:t xml:space="preserve"> force used is reasonably proportional to the battery</w:t>
      </w:r>
    </w:p>
    <w:p w14:paraId="4F6B121F" w14:textId="335D324F" w:rsidR="0053316D" w:rsidRDefault="0053316D" w:rsidP="0053316D">
      <w:pPr>
        <w:pStyle w:val="ListParagraph"/>
        <w:numPr>
          <w:ilvl w:val="0"/>
          <w:numId w:val="12"/>
        </w:numPr>
        <w:rPr>
          <w:sz w:val="20"/>
          <w:szCs w:val="20"/>
        </w:rPr>
      </w:pPr>
      <w:proofErr w:type="spellStart"/>
      <w:r>
        <w:rPr>
          <w:b/>
          <w:i/>
          <w:sz w:val="20"/>
          <w:szCs w:val="20"/>
        </w:rPr>
        <w:t>Wackett</w:t>
      </w:r>
      <w:proofErr w:type="spellEnd"/>
      <w:r>
        <w:rPr>
          <w:b/>
          <w:i/>
          <w:sz w:val="20"/>
          <w:szCs w:val="20"/>
        </w:rPr>
        <w:t xml:space="preserve"> v Calder</w:t>
      </w:r>
      <w:r>
        <w:rPr>
          <w:sz w:val="20"/>
          <w:szCs w:val="20"/>
        </w:rPr>
        <w:t>—only issue is whether the blows by the appellant were more than reasonably necessary</w:t>
      </w:r>
    </w:p>
    <w:p w14:paraId="6451DB76" w14:textId="195FBE85" w:rsidR="0053316D" w:rsidRDefault="0053316D" w:rsidP="0053316D">
      <w:pPr>
        <w:pStyle w:val="ListParagraph"/>
        <w:numPr>
          <w:ilvl w:val="1"/>
          <w:numId w:val="12"/>
        </w:numPr>
        <w:rPr>
          <w:sz w:val="20"/>
          <w:szCs w:val="20"/>
        </w:rPr>
      </w:pPr>
      <w:proofErr w:type="gramStart"/>
      <w:r>
        <w:rPr>
          <w:sz w:val="20"/>
          <w:szCs w:val="20"/>
        </w:rPr>
        <w:t>trial</w:t>
      </w:r>
      <w:proofErr w:type="gramEnd"/>
      <w:r>
        <w:rPr>
          <w:sz w:val="20"/>
          <w:szCs w:val="20"/>
        </w:rPr>
        <w:t xml:space="preserve"> judge said yes, majority of court of appeal said no</w:t>
      </w:r>
    </w:p>
    <w:p w14:paraId="7E092475" w14:textId="185D3874" w:rsidR="00B0540E" w:rsidRDefault="001C2A85" w:rsidP="008F5923">
      <w:pPr>
        <w:pStyle w:val="ListParagraph"/>
        <w:numPr>
          <w:ilvl w:val="0"/>
          <w:numId w:val="12"/>
        </w:numPr>
        <w:spacing w:after="120"/>
        <w:ind w:left="714" w:hanging="357"/>
        <w:rPr>
          <w:sz w:val="20"/>
          <w:szCs w:val="20"/>
        </w:rPr>
      </w:pPr>
      <w:r>
        <w:rPr>
          <w:b/>
          <w:i/>
          <w:sz w:val="20"/>
          <w:szCs w:val="20"/>
        </w:rPr>
        <w:t>Pollard v Simon</w:t>
      </w:r>
      <w:r>
        <w:rPr>
          <w:sz w:val="20"/>
          <w:szCs w:val="20"/>
        </w:rPr>
        <w:t>—you can strike first and still plead self defense, and can’t just look at level of injury to determine whether too much force was used.</w:t>
      </w:r>
    </w:p>
    <w:p w14:paraId="361680F0" w14:textId="1C036D34" w:rsidR="001C2A85" w:rsidRPr="00B0540E" w:rsidRDefault="00B0540E" w:rsidP="00B0540E">
      <w:pPr>
        <w:rPr>
          <w:sz w:val="20"/>
          <w:szCs w:val="20"/>
        </w:rPr>
      </w:pPr>
      <w:r>
        <w:rPr>
          <w:sz w:val="20"/>
          <w:szCs w:val="20"/>
        </w:rPr>
        <w:br w:type="page"/>
      </w:r>
    </w:p>
    <w:p w14:paraId="4C2F1937" w14:textId="62918CE6" w:rsidR="008F5923" w:rsidRDefault="00295132" w:rsidP="008F5923">
      <w:pPr>
        <w:rPr>
          <w:sz w:val="20"/>
          <w:szCs w:val="20"/>
        </w:rPr>
      </w:pPr>
      <w:r w:rsidRPr="000B707F">
        <w:rPr>
          <w:b/>
          <w:sz w:val="20"/>
          <w:szCs w:val="20"/>
          <w:highlight w:val="yellow"/>
        </w:rPr>
        <w:t>DEFAMATION</w:t>
      </w:r>
      <w:r w:rsidR="001C5013" w:rsidRPr="000B707F">
        <w:rPr>
          <w:sz w:val="20"/>
          <w:szCs w:val="20"/>
          <w:highlight w:val="yellow"/>
        </w:rPr>
        <w:t>—(</w:t>
      </w:r>
      <w:proofErr w:type="gramStart"/>
      <w:r w:rsidR="001C5013" w:rsidRPr="000B707F">
        <w:rPr>
          <w:sz w:val="20"/>
          <w:szCs w:val="20"/>
          <w:highlight w:val="yellow"/>
        </w:rPr>
        <w:t>1)statements</w:t>
      </w:r>
      <w:proofErr w:type="gramEnd"/>
      <w:r w:rsidR="001C5013" w:rsidRPr="000B707F">
        <w:rPr>
          <w:sz w:val="20"/>
          <w:szCs w:val="20"/>
          <w:highlight w:val="yellow"/>
        </w:rPr>
        <w:t xml:space="preserve"> were defamatory (2)statements referred to the plaintiff (3)statements were published</w:t>
      </w:r>
    </w:p>
    <w:p w14:paraId="755924EA" w14:textId="2E7CB301" w:rsidR="0073441E" w:rsidRDefault="0073441E" w:rsidP="0073441E">
      <w:pPr>
        <w:pStyle w:val="ListParagraph"/>
        <w:numPr>
          <w:ilvl w:val="0"/>
          <w:numId w:val="13"/>
        </w:numPr>
        <w:rPr>
          <w:sz w:val="20"/>
          <w:szCs w:val="20"/>
        </w:rPr>
      </w:pPr>
      <w:proofErr w:type="spellStart"/>
      <w:r>
        <w:rPr>
          <w:b/>
          <w:i/>
          <w:sz w:val="20"/>
          <w:szCs w:val="20"/>
        </w:rPr>
        <w:t>Sim</w:t>
      </w:r>
      <w:proofErr w:type="spellEnd"/>
      <w:r>
        <w:rPr>
          <w:b/>
          <w:i/>
          <w:sz w:val="20"/>
          <w:szCs w:val="20"/>
        </w:rPr>
        <w:t xml:space="preserve"> v Stretch</w:t>
      </w:r>
      <w:r>
        <w:rPr>
          <w:sz w:val="20"/>
          <w:szCs w:val="20"/>
        </w:rPr>
        <w:t>—a case where a reasonable meaning is harmless, and the defamatory meaning can only be given by inventing a state of facts that are undisclosed and untrue</w:t>
      </w:r>
      <w:r w:rsidRPr="0073441E">
        <w:rPr>
          <w:sz w:val="20"/>
          <w:szCs w:val="20"/>
        </w:rPr>
        <w:sym w:font="Wingdings" w:char="F0E0"/>
      </w:r>
      <w:r>
        <w:rPr>
          <w:sz w:val="20"/>
          <w:szCs w:val="20"/>
        </w:rPr>
        <w:t>statements not defamatory</w:t>
      </w:r>
    </w:p>
    <w:p w14:paraId="2A3781D6" w14:textId="69683579" w:rsidR="0073441E" w:rsidRDefault="0073441E" w:rsidP="0073441E">
      <w:pPr>
        <w:pStyle w:val="ListParagraph"/>
        <w:numPr>
          <w:ilvl w:val="0"/>
          <w:numId w:val="13"/>
        </w:numPr>
        <w:rPr>
          <w:sz w:val="20"/>
          <w:szCs w:val="20"/>
        </w:rPr>
      </w:pPr>
      <w:proofErr w:type="spellStart"/>
      <w:r>
        <w:rPr>
          <w:b/>
          <w:i/>
          <w:sz w:val="20"/>
          <w:szCs w:val="20"/>
        </w:rPr>
        <w:t>Knuppfer</w:t>
      </w:r>
      <w:proofErr w:type="spellEnd"/>
      <w:r>
        <w:rPr>
          <w:b/>
          <w:i/>
          <w:sz w:val="20"/>
          <w:szCs w:val="20"/>
        </w:rPr>
        <w:t xml:space="preserve"> v London Express Newspaper</w:t>
      </w:r>
      <w:r>
        <w:rPr>
          <w:sz w:val="20"/>
          <w:szCs w:val="20"/>
        </w:rPr>
        <w:t>—2 part test for whether statements refer to plaintiff:</w:t>
      </w:r>
    </w:p>
    <w:p w14:paraId="76D7EA59" w14:textId="6C6674F7" w:rsidR="0073441E" w:rsidRDefault="0073441E" w:rsidP="0073441E">
      <w:pPr>
        <w:pStyle w:val="ListParagraph"/>
        <w:numPr>
          <w:ilvl w:val="1"/>
          <w:numId w:val="13"/>
        </w:numPr>
        <w:rPr>
          <w:sz w:val="20"/>
          <w:szCs w:val="20"/>
        </w:rPr>
      </w:pPr>
      <w:r>
        <w:rPr>
          <w:sz w:val="20"/>
          <w:szCs w:val="20"/>
        </w:rPr>
        <w:t>Law: is it objectively capable of referring to the plaintiff? (</w:t>
      </w:r>
      <w:proofErr w:type="gramStart"/>
      <w:r>
        <w:rPr>
          <w:sz w:val="20"/>
          <w:szCs w:val="20"/>
        </w:rPr>
        <w:t>if</w:t>
      </w:r>
      <w:proofErr w:type="gramEnd"/>
      <w:r>
        <w:rPr>
          <w:sz w:val="20"/>
          <w:szCs w:val="20"/>
        </w:rPr>
        <w:t xml:space="preserve"> no, no defamation)</w:t>
      </w:r>
    </w:p>
    <w:p w14:paraId="5DD85200" w14:textId="2D11EF07" w:rsidR="0073441E" w:rsidRDefault="0073441E" w:rsidP="00B0540E">
      <w:pPr>
        <w:pStyle w:val="ListParagraph"/>
        <w:numPr>
          <w:ilvl w:val="1"/>
          <w:numId w:val="13"/>
        </w:numPr>
        <w:spacing w:after="120"/>
        <w:ind w:left="1434" w:hanging="357"/>
        <w:rPr>
          <w:sz w:val="20"/>
          <w:szCs w:val="20"/>
        </w:rPr>
      </w:pPr>
      <w:r>
        <w:rPr>
          <w:sz w:val="20"/>
          <w:szCs w:val="20"/>
        </w:rPr>
        <w:t xml:space="preserve">Fact: does the article, in fact, lead reasonable people, who know the </w:t>
      </w:r>
      <w:r w:rsidR="00483050">
        <w:rPr>
          <w:sz w:val="20"/>
          <w:szCs w:val="20"/>
        </w:rPr>
        <w:t>plaintiff, to the conclusion that it does refer to him</w:t>
      </w:r>
    </w:p>
    <w:p w14:paraId="1985C2DC" w14:textId="36C0E54D" w:rsidR="00166307" w:rsidRPr="0073441E" w:rsidRDefault="00166307" w:rsidP="00166307">
      <w:pPr>
        <w:pStyle w:val="ListParagraph"/>
        <w:numPr>
          <w:ilvl w:val="0"/>
          <w:numId w:val="13"/>
        </w:numPr>
        <w:spacing w:after="120"/>
        <w:rPr>
          <w:sz w:val="20"/>
          <w:szCs w:val="20"/>
        </w:rPr>
      </w:pPr>
      <w:r>
        <w:rPr>
          <w:b/>
          <w:i/>
          <w:sz w:val="20"/>
          <w:szCs w:val="20"/>
        </w:rPr>
        <w:t>Crookes v Wikimedia</w:t>
      </w:r>
      <w:r>
        <w:rPr>
          <w:sz w:val="20"/>
          <w:szCs w:val="20"/>
        </w:rPr>
        <w:t>—hyperlinks are only defamatory if they repeat the defamatory statement</w:t>
      </w:r>
    </w:p>
    <w:p w14:paraId="0B7CE107" w14:textId="2C4C0B7B" w:rsidR="00D42CEC" w:rsidRDefault="000B707F" w:rsidP="00D42CEC">
      <w:pPr>
        <w:rPr>
          <w:sz w:val="20"/>
          <w:szCs w:val="20"/>
        </w:rPr>
      </w:pPr>
      <w:proofErr w:type="gramStart"/>
      <w:r w:rsidRPr="00D75075">
        <w:rPr>
          <w:b/>
          <w:sz w:val="20"/>
          <w:szCs w:val="20"/>
          <w:highlight w:val="lightGray"/>
        </w:rPr>
        <w:t>justification</w:t>
      </w:r>
      <w:proofErr w:type="gramEnd"/>
      <w:r w:rsidR="00840760" w:rsidRPr="00D75075">
        <w:rPr>
          <w:sz w:val="20"/>
          <w:szCs w:val="20"/>
          <w:highlight w:val="lightGray"/>
        </w:rPr>
        <w:t>—the truth defense, works if the “sting” of the statements are true even if the comments themselves not perfectly accurate</w:t>
      </w:r>
    </w:p>
    <w:p w14:paraId="7C614B44" w14:textId="6929E26E" w:rsidR="00840760" w:rsidRDefault="00840760" w:rsidP="00B0540E">
      <w:pPr>
        <w:pStyle w:val="ListParagraph"/>
        <w:numPr>
          <w:ilvl w:val="0"/>
          <w:numId w:val="14"/>
        </w:numPr>
        <w:spacing w:after="120"/>
        <w:ind w:left="714" w:hanging="357"/>
        <w:rPr>
          <w:sz w:val="20"/>
          <w:szCs w:val="20"/>
        </w:rPr>
      </w:pPr>
      <w:r>
        <w:rPr>
          <w:b/>
          <w:i/>
          <w:sz w:val="20"/>
          <w:szCs w:val="20"/>
        </w:rPr>
        <w:t>Williams v Reason</w:t>
      </w:r>
      <w:r>
        <w:rPr>
          <w:sz w:val="20"/>
          <w:szCs w:val="20"/>
        </w:rPr>
        <w:t>—the defendant’s calling the plaintiff a “</w:t>
      </w:r>
      <w:proofErr w:type="spellStart"/>
      <w:r>
        <w:rPr>
          <w:sz w:val="20"/>
          <w:szCs w:val="20"/>
        </w:rPr>
        <w:t>shamateur</w:t>
      </w:r>
      <w:proofErr w:type="spellEnd"/>
      <w:r>
        <w:rPr>
          <w:sz w:val="20"/>
          <w:szCs w:val="20"/>
        </w:rPr>
        <w:t>” was justified because he took boot money even though the plaintiff said it was because of the book he was writing</w:t>
      </w:r>
      <w:r w:rsidR="003221F7">
        <w:rPr>
          <w:sz w:val="20"/>
          <w:szCs w:val="20"/>
        </w:rPr>
        <w:t>—the “sting” was true, facts were not exactly</w:t>
      </w:r>
    </w:p>
    <w:p w14:paraId="0142B5DA" w14:textId="77777777" w:rsidR="007E5A09" w:rsidRDefault="007E5A09" w:rsidP="007E5A09">
      <w:pPr>
        <w:rPr>
          <w:sz w:val="20"/>
          <w:szCs w:val="20"/>
        </w:rPr>
      </w:pPr>
      <w:proofErr w:type="gramStart"/>
      <w:r w:rsidRPr="00D75075">
        <w:rPr>
          <w:b/>
          <w:sz w:val="20"/>
          <w:szCs w:val="20"/>
          <w:highlight w:val="lightGray"/>
        </w:rPr>
        <w:t>absolute</w:t>
      </w:r>
      <w:proofErr w:type="gramEnd"/>
      <w:r w:rsidRPr="00D75075">
        <w:rPr>
          <w:b/>
          <w:sz w:val="20"/>
          <w:szCs w:val="20"/>
          <w:highlight w:val="lightGray"/>
        </w:rPr>
        <w:t xml:space="preserve"> privilege</w:t>
      </w:r>
      <w:r w:rsidRPr="00D75075">
        <w:rPr>
          <w:sz w:val="20"/>
          <w:szCs w:val="20"/>
          <w:highlight w:val="lightGray"/>
        </w:rPr>
        <w:t>—immunity conferred to anyone involved in a judicial or quasi-judicial proceeding, and includes proceedings leading up to and following the trial, and is not defeated by malice</w:t>
      </w:r>
    </w:p>
    <w:p w14:paraId="0D0A8F58" w14:textId="17387DD5" w:rsidR="003221F7" w:rsidRDefault="007E5A09" w:rsidP="00B0540E">
      <w:pPr>
        <w:pStyle w:val="ListParagraph"/>
        <w:numPr>
          <w:ilvl w:val="0"/>
          <w:numId w:val="14"/>
        </w:numPr>
        <w:spacing w:after="120"/>
        <w:ind w:left="714" w:hanging="357"/>
        <w:rPr>
          <w:sz w:val="20"/>
          <w:szCs w:val="20"/>
        </w:rPr>
      </w:pPr>
      <w:r>
        <w:rPr>
          <w:b/>
          <w:i/>
          <w:sz w:val="20"/>
          <w:szCs w:val="20"/>
        </w:rPr>
        <w:t>Hung v Gardiner</w:t>
      </w:r>
      <w:r w:rsidR="007E2EB1">
        <w:rPr>
          <w:sz w:val="20"/>
          <w:szCs w:val="20"/>
        </w:rPr>
        <w:t>—complaint maid to law society was privileged even though they did not begin judicial proceedings because of it</w:t>
      </w:r>
    </w:p>
    <w:p w14:paraId="5DA31BE8" w14:textId="77777777" w:rsidR="00F42317" w:rsidRDefault="00F42317" w:rsidP="00F42317">
      <w:pPr>
        <w:rPr>
          <w:sz w:val="20"/>
          <w:szCs w:val="20"/>
        </w:rPr>
      </w:pPr>
      <w:proofErr w:type="gramStart"/>
      <w:r w:rsidRPr="00D75075">
        <w:rPr>
          <w:b/>
          <w:sz w:val="20"/>
          <w:szCs w:val="20"/>
          <w:highlight w:val="lightGray"/>
        </w:rPr>
        <w:t>qualified</w:t>
      </w:r>
      <w:proofErr w:type="gramEnd"/>
      <w:r w:rsidRPr="00D75075">
        <w:rPr>
          <w:b/>
          <w:sz w:val="20"/>
          <w:szCs w:val="20"/>
          <w:highlight w:val="lightGray"/>
        </w:rPr>
        <w:t xml:space="preserve"> privilege</w:t>
      </w:r>
      <w:r w:rsidRPr="00D75075">
        <w:rPr>
          <w:sz w:val="20"/>
          <w:szCs w:val="20"/>
          <w:highlight w:val="lightGray"/>
        </w:rPr>
        <w:t>—situations where (1) the speaker has an interest or duty to make the statement and (2)the recipient has a reciprocal interest in receiving the statement  (3)defeated by malice</w:t>
      </w:r>
    </w:p>
    <w:p w14:paraId="691AD88B" w14:textId="6F28810D" w:rsidR="00F42317" w:rsidRDefault="00F42317" w:rsidP="00F42317">
      <w:pPr>
        <w:pStyle w:val="ListParagraph"/>
        <w:numPr>
          <w:ilvl w:val="0"/>
          <w:numId w:val="15"/>
        </w:numPr>
        <w:rPr>
          <w:sz w:val="20"/>
          <w:szCs w:val="20"/>
        </w:rPr>
      </w:pPr>
      <w:proofErr w:type="gramStart"/>
      <w:r>
        <w:rPr>
          <w:sz w:val="20"/>
          <w:szCs w:val="20"/>
        </w:rPr>
        <w:t>applies</w:t>
      </w:r>
      <w:proofErr w:type="gramEnd"/>
      <w:r>
        <w:rPr>
          <w:sz w:val="20"/>
          <w:szCs w:val="20"/>
        </w:rPr>
        <w:t xml:space="preserve"> where statements are made by the defendant to protect his/her own interests</w:t>
      </w:r>
    </w:p>
    <w:p w14:paraId="67FCFAA5" w14:textId="1407AF42" w:rsidR="00F42317" w:rsidRDefault="00F42317" w:rsidP="00F42317">
      <w:pPr>
        <w:pStyle w:val="ListParagraph"/>
        <w:numPr>
          <w:ilvl w:val="0"/>
          <w:numId w:val="15"/>
        </w:numPr>
        <w:rPr>
          <w:sz w:val="20"/>
          <w:szCs w:val="20"/>
        </w:rPr>
      </w:pPr>
      <w:proofErr w:type="gramStart"/>
      <w:r>
        <w:rPr>
          <w:sz w:val="20"/>
          <w:szCs w:val="20"/>
        </w:rPr>
        <w:t>applies</w:t>
      </w:r>
      <w:proofErr w:type="gramEnd"/>
      <w:r>
        <w:rPr>
          <w:sz w:val="20"/>
          <w:szCs w:val="20"/>
        </w:rPr>
        <w:t xml:space="preserve"> where defendant publishes statements to protect the interests of another person</w:t>
      </w:r>
    </w:p>
    <w:p w14:paraId="7FEBCC40" w14:textId="4784CCF2" w:rsidR="00F42317" w:rsidRDefault="00F42317" w:rsidP="00F42317">
      <w:pPr>
        <w:pStyle w:val="ListParagraph"/>
        <w:numPr>
          <w:ilvl w:val="0"/>
          <w:numId w:val="15"/>
        </w:numPr>
        <w:rPr>
          <w:sz w:val="20"/>
          <w:szCs w:val="20"/>
        </w:rPr>
      </w:pPr>
      <w:proofErr w:type="gramStart"/>
      <w:r>
        <w:rPr>
          <w:sz w:val="20"/>
          <w:szCs w:val="20"/>
        </w:rPr>
        <w:t>applies</w:t>
      </w:r>
      <w:proofErr w:type="gramEnd"/>
      <w:r>
        <w:rPr>
          <w:sz w:val="20"/>
          <w:szCs w:val="20"/>
        </w:rPr>
        <w:t xml:space="preserve"> to communications made in the furtherance of common interest</w:t>
      </w:r>
    </w:p>
    <w:p w14:paraId="05DB4222" w14:textId="4CB73B67" w:rsidR="00F42317" w:rsidRDefault="00F42317" w:rsidP="00F42317">
      <w:pPr>
        <w:pStyle w:val="ListParagraph"/>
        <w:numPr>
          <w:ilvl w:val="0"/>
          <w:numId w:val="15"/>
        </w:numPr>
        <w:rPr>
          <w:sz w:val="20"/>
          <w:szCs w:val="20"/>
        </w:rPr>
      </w:pPr>
      <w:proofErr w:type="gramStart"/>
      <w:r>
        <w:rPr>
          <w:sz w:val="20"/>
          <w:szCs w:val="20"/>
        </w:rPr>
        <w:t>applies</w:t>
      </w:r>
      <w:proofErr w:type="gramEnd"/>
      <w:r>
        <w:rPr>
          <w:sz w:val="20"/>
          <w:szCs w:val="20"/>
        </w:rPr>
        <w:t xml:space="preserve"> to communications made in the protection of the public interest</w:t>
      </w:r>
    </w:p>
    <w:p w14:paraId="6C5DE89F" w14:textId="37AAEE5B" w:rsidR="00813C99" w:rsidRDefault="00813C99" w:rsidP="00813C99">
      <w:pPr>
        <w:pStyle w:val="ListParagraph"/>
        <w:numPr>
          <w:ilvl w:val="0"/>
          <w:numId w:val="14"/>
        </w:numPr>
        <w:rPr>
          <w:sz w:val="20"/>
          <w:szCs w:val="20"/>
        </w:rPr>
      </w:pPr>
      <w:r>
        <w:rPr>
          <w:b/>
          <w:i/>
          <w:sz w:val="20"/>
          <w:szCs w:val="20"/>
        </w:rPr>
        <w:t>Hill v Church of Scientology</w:t>
      </w:r>
    </w:p>
    <w:p w14:paraId="3386F406" w14:textId="5B4C5149" w:rsidR="00813C99" w:rsidRDefault="00813C99" w:rsidP="00B0540E">
      <w:pPr>
        <w:pStyle w:val="ListParagraph"/>
        <w:numPr>
          <w:ilvl w:val="1"/>
          <w:numId w:val="14"/>
        </w:numPr>
        <w:spacing w:after="120"/>
        <w:ind w:left="1434" w:hanging="357"/>
        <w:rPr>
          <w:sz w:val="20"/>
          <w:szCs w:val="20"/>
        </w:rPr>
      </w:pPr>
      <w:proofErr w:type="gramStart"/>
      <w:r>
        <w:rPr>
          <w:sz w:val="20"/>
          <w:szCs w:val="20"/>
        </w:rPr>
        <w:t>qualified</w:t>
      </w:r>
      <w:proofErr w:type="gramEnd"/>
      <w:r>
        <w:rPr>
          <w:sz w:val="20"/>
          <w:szCs w:val="20"/>
        </w:rPr>
        <w:t xml:space="preserve"> privilege can be defeated when the limits of the duty or interest have been exceeded</w:t>
      </w:r>
    </w:p>
    <w:p w14:paraId="6E9A2812" w14:textId="0321EAA1" w:rsidR="00D20F05" w:rsidRDefault="00D20F05" w:rsidP="00D20F05">
      <w:pPr>
        <w:rPr>
          <w:sz w:val="20"/>
          <w:szCs w:val="20"/>
        </w:rPr>
      </w:pPr>
      <w:proofErr w:type="gramStart"/>
      <w:r w:rsidRPr="00D75075">
        <w:rPr>
          <w:b/>
          <w:sz w:val="20"/>
          <w:szCs w:val="20"/>
          <w:highlight w:val="lightGray"/>
        </w:rPr>
        <w:t>fair</w:t>
      </w:r>
      <w:proofErr w:type="gramEnd"/>
      <w:r w:rsidRPr="00D75075">
        <w:rPr>
          <w:b/>
          <w:sz w:val="20"/>
          <w:szCs w:val="20"/>
          <w:highlight w:val="lightGray"/>
        </w:rPr>
        <w:t xml:space="preserve"> comment</w:t>
      </w:r>
      <w:r w:rsidRPr="00D75075">
        <w:rPr>
          <w:sz w:val="20"/>
          <w:szCs w:val="20"/>
          <w:highlight w:val="lightGray"/>
        </w:rPr>
        <w:t>—comment is (1)on a matter of public interest (2)based on fact (3)recognizable as comment (4)objective test—could any man honestly express that opinion on the proved facts (5)defeated by malice</w:t>
      </w:r>
    </w:p>
    <w:p w14:paraId="4732CC13" w14:textId="30E38302" w:rsidR="00D20F05" w:rsidRDefault="00D20F05" w:rsidP="00B0540E">
      <w:pPr>
        <w:pStyle w:val="ListParagraph"/>
        <w:numPr>
          <w:ilvl w:val="0"/>
          <w:numId w:val="14"/>
        </w:numPr>
        <w:spacing w:after="120"/>
        <w:ind w:left="714" w:hanging="357"/>
        <w:rPr>
          <w:sz w:val="20"/>
          <w:szCs w:val="20"/>
        </w:rPr>
      </w:pPr>
      <w:r>
        <w:rPr>
          <w:b/>
          <w:i/>
          <w:sz w:val="20"/>
          <w:szCs w:val="20"/>
        </w:rPr>
        <w:t>WIC Radio Ltd v Simpson</w:t>
      </w:r>
      <w:r w:rsidR="00F10811">
        <w:rPr>
          <w:sz w:val="20"/>
          <w:szCs w:val="20"/>
        </w:rPr>
        <w:t>—fair comment defense succeeds</w:t>
      </w:r>
    </w:p>
    <w:p w14:paraId="7C7FC7B9" w14:textId="10AFACD7" w:rsidR="00FA1A0D" w:rsidRDefault="00FA1A0D" w:rsidP="00FA1A0D">
      <w:pPr>
        <w:rPr>
          <w:sz w:val="20"/>
          <w:szCs w:val="20"/>
        </w:rPr>
      </w:pPr>
      <w:proofErr w:type="gramStart"/>
      <w:r w:rsidRPr="00D75075">
        <w:rPr>
          <w:b/>
          <w:sz w:val="20"/>
          <w:szCs w:val="20"/>
          <w:highlight w:val="lightGray"/>
        </w:rPr>
        <w:t>responsible</w:t>
      </w:r>
      <w:proofErr w:type="gramEnd"/>
      <w:r w:rsidRPr="00D75075">
        <w:rPr>
          <w:b/>
          <w:sz w:val="20"/>
          <w:szCs w:val="20"/>
          <w:highlight w:val="lightGray"/>
        </w:rPr>
        <w:t xml:space="preserve"> communication</w:t>
      </w:r>
      <w:r w:rsidRPr="00D75075">
        <w:rPr>
          <w:sz w:val="20"/>
          <w:szCs w:val="20"/>
          <w:highlight w:val="lightGray"/>
        </w:rPr>
        <w:t>—defendant must show that (1)publication was on a matter of public interest</w:t>
      </w:r>
      <w:r w:rsidR="00B0540E" w:rsidRPr="00D75075">
        <w:rPr>
          <w:sz w:val="20"/>
          <w:szCs w:val="20"/>
          <w:highlight w:val="lightGray"/>
        </w:rPr>
        <w:t xml:space="preserve"> and that (2)publication was responsible in that he/she was diligent in trying to verify the allegations having regard to all the relevant circumstances</w:t>
      </w:r>
      <w:bookmarkStart w:id="0" w:name="_GoBack"/>
      <w:bookmarkEnd w:id="0"/>
    </w:p>
    <w:p w14:paraId="3E867704" w14:textId="50886B5B" w:rsidR="00B0540E" w:rsidRDefault="00B0540E" w:rsidP="00B0540E">
      <w:pPr>
        <w:pStyle w:val="ListParagraph"/>
        <w:numPr>
          <w:ilvl w:val="0"/>
          <w:numId w:val="14"/>
        </w:numPr>
        <w:rPr>
          <w:sz w:val="20"/>
          <w:szCs w:val="20"/>
        </w:rPr>
      </w:pPr>
      <w:r>
        <w:rPr>
          <w:b/>
          <w:i/>
          <w:sz w:val="20"/>
          <w:szCs w:val="20"/>
        </w:rPr>
        <w:t>Grant v Torstar Corp</w:t>
      </w:r>
    </w:p>
    <w:p w14:paraId="1C8B5442" w14:textId="5FF3BF4B" w:rsidR="00B0540E" w:rsidRDefault="00B0540E" w:rsidP="00B0540E">
      <w:pPr>
        <w:pStyle w:val="ListParagraph"/>
        <w:numPr>
          <w:ilvl w:val="1"/>
          <w:numId w:val="14"/>
        </w:numPr>
        <w:rPr>
          <w:sz w:val="20"/>
          <w:szCs w:val="20"/>
        </w:rPr>
      </w:pPr>
      <w:proofErr w:type="gramStart"/>
      <w:r>
        <w:rPr>
          <w:sz w:val="20"/>
          <w:szCs w:val="20"/>
        </w:rPr>
        <w:t>public</w:t>
      </w:r>
      <w:proofErr w:type="gramEnd"/>
      <w:r>
        <w:rPr>
          <w:sz w:val="20"/>
          <w:szCs w:val="20"/>
        </w:rPr>
        <w:t xml:space="preserve"> interest—judges don’t draw a clear line between what is and is not public interest</w:t>
      </w:r>
    </w:p>
    <w:p w14:paraId="12F8702A" w14:textId="57B381F6" w:rsidR="00B0540E" w:rsidRDefault="00B0540E" w:rsidP="00B0540E">
      <w:pPr>
        <w:pStyle w:val="ListParagraph"/>
        <w:numPr>
          <w:ilvl w:val="1"/>
          <w:numId w:val="14"/>
        </w:numPr>
        <w:rPr>
          <w:sz w:val="20"/>
          <w:szCs w:val="20"/>
        </w:rPr>
      </w:pPr>
      <w:proofErr w:type="gramStart"/>
      <w:r>
        <w:rPr>
          <w:sz w:val="20"/>
          <w:szCs w:val="20"/>
        </w:rPr>
        <w:t>was</w:t>
      </w:r>
      <w:proofErr w:type="gramEnd"/>
      <w:r>
        <w:rPr>
          <w:sz w:val="20"/>
          <w:szCs w:val="20"/>
        </w:rPr>
        <w:t xml:space="preserve"> publication responsible—principled approach, no natural hierarchy, just weigh all the factors</w:t>
      </w:r>
    </w:p>
    <w:p w14:paraId="4A813423" w14:textId="283E57FB" w:rsidR="00B0540E" w:rsidRDefault="00B0540E" w:rsidP="00B0540E">
      <w:pPr>
        <w:pStyle w:val="ListParagraph"/>
        <w:numPr>
          <w:ilvl w:val="2"/>
          <w:numId w:val="14"/>
        </w:numPr>
        <w:rPr>
          <w:sz w:val="20"/>
          <w:szCs w:val="20"/>
        </w:rPr>
      </w:pPr>
      <w:proofErr w:type="gramStart"/>
      <w:r>
        <w:rPr>
          <w:sz w:val="20"/>
          <w:szCs w:val="20"/>
          <w:u w:val="single"/>
        </w:rPr>
        <w:t>seriousness</w:t>
      </w:r>
      <w:proofErr w:type="gramEnd"/>
      <w:r>
        <w:rPr>
          <w:sz w:val="20"/>
          <w:szCs w:val="20"/>
          <w:u w:val="single"/>
        </w:rPr>
        <w:t xml:space="preserve"> of allegation</w:t>
      </w:r>
      <w:r>
        <w:rPr>
          <w:sz w:val="20"/>
          <w:szCs w:val="20"/>
        </w:rPr>
        <w:t>—the more serious, the higher the degree of diligence</w:t>
      </w:r>
    </w:p>
    <w:p w14:paraId="0100B28F" w14:textId="0F0CAE8B" w:rsidR="00B0540E" w:rsidRDefault="00B0540E" w:rsidP="00B0540E">
      <w:pPr>
        <w:pStyle w:val="ListParagraph"/>
        <w:numPr>
          <w:ilvl w:val="2"/>
          <w:numId w:val="14"/>
        </w:numPr>
        <w:rPr>
          <w:sz w:val="20"/>
          <w:szCs w:val="20"/>
        </w:rPr>
      </w:pPr>
      <w:proofErr w:type="gramStart"/>
      <w:r>
        <w:rPr>
          <w:sz w:val="20"/>
          <w:szCs w:val="20"/>
          <w:u w:val="single"/>
        </w:rPr>
        <w:t>the</w:t>
      </w:r>
      <w:proofErr w:type="gramEnd"/>
      <w:r>
        <w:rPr>
          <w:sz w:val="20"/>
          <w:szCs w:val="20"/>
          <w:u w:val="single"/>
        </w:rPr>
        <w:t xml:space="preserve"> public importance of the matter</w:t>
      </w:r>
      <w:r>
        <w:rPr>
          <w:sz w:val="20"/>
          <w:szCs w:val="20"/>
        </w:rPr>
        <w:t>—</w:t>
      </w:r>
      <w:r w:rsidR="00E04B94">
        <w:rPr>
          <w:sz w:val="20"/>
          <w:szCs w:val="20"/>
        </w:rPr>
        <w:t>what’s reasonable varies on the situation</w:t>
      </w:r>
    </w:p>
    <w:p w14:paraId="24A6BB1A" w14:textId="25D1901D" w:rsidR="00E04B94" w:rsidRDefault="00E04B94" w:rsidP="00B0540E">
      <w:pPr>
        <w:pStyle w:val="ListParagraph"/>
        <w:numPr>
          <w:ilvl w:val="2"/>
          <w:numId w:val="14"/>
        </w:numPr>
        <w:rPr>
          <w:sz w:val="20"/>
          <w:szCs w:val="20"/>
        </w:rPr>
      </w:pPr>
      <w:proofErr w:type="gramStart"/>
      <w:r>
        <w:rPr>
          <w:sz w:val="20"/>
          <w:szCs w:val="20"/>
          <w:u w:val="single"/>
        </w:rPr>
        <w:t>the</w:t>
      </w:r>
      <w:proofErr w:type="gramEnd"/>
      <w:r>
        <w:rPr>
          <w:sz w:val="20"/>
          <w:szCs w:val="20"/>
          <w:u w:val="single"/>
        </w:rPr>
        <w:t xml:space="preserve"> urgency of the matter</w:t>
      </w:r>
      <w:r>
        <w:rPr>
          <w:sz w:val="20"/>
          <w:szCs w:val="20"/>
        </w:rPr>
        <w:t>—the more urgent, the lower the expectation</w:t>
      </w:r>
    </w:p>
    <w:p w14:paraId="73926021" w14:textId="09859469" w:rsidR="00E04B94" w:rsidRDefault="00E04B94" w:rsidP="00B0540E">
      <w:pPr>
        <w:pStyle w:val="ListParagraph"/>
        <w:numPr>
          <w:ilvl w:val="2"/>
          <w:numId w:val="14"/>
        </w:numPr>
        <w:rPr>
          <w:sz w:val="20"/>
          <w:szCs w:val="20"/>
        </w:rPr>
      </w:pPr>
      <w:proofErr w:type="gramStart"/>
      <w:r>
        <w:rPr>
          <w:sz w:val="20"/>
          <w:szCs w:val="20"/>
          <w:u w:val="single"/>
        </w:rPr>
        <w:t>the</w:t>
      </w:r>
      <w:proofErr w:type="gramEnd"/>
      <w:r>
        <w:rPr>
          <w:sz w:val="20"/>
          <w:szCs w:val="20"/>
          <w:u w:val="single"/>
        </w:rPr>
        <w:t xml:space="preserve"> status and reliability of the source</w:t>
      </w:r>
      <w:r>
        <w:rPr>
          <w:sz w:val="20"/>
          <w:szCs w:val="20"/>
        </w:rPr>
        <w:t>—the less trustworthy the source, the greater need to verify</w:t>
      </w:r>
    </w:p>
    <w:p w14:paraId="35BC07D7" w14:textId="42447CC8" w:rsidR="00E04B94" w:rsidRDefault="00E04B94" w:rsidP="00B0540E">
      <w:pPr>
        <w:pStyle w:val="ListParagraph"/>
        <w:numPr>
          <w:ilvl w:val="2"/>
          <w:numId w:val="14"/>
        </w:numPr>
        <w:rPr>
          <w:sz w:val="20"/>
          <w:szCs w:val="20"/>
        </w:rPr>
      </w:pPr>
      <w:proofErr w:type="gramStart"/>
      <w:r>
        <w:rPr>
          <w:sz w:val="20"/>
          <w:szCs w:val="20"/>
          <w:u w:val="single"/>
        </w:rPr>
        <w:t>did</w:t>
      </w:r>
      <w:proofErr w:type="gramEnd"/>
      <w:r>
        <w:rPr>
          <w:sz w:val="20"/>
          <w:szCs w:val="20"/>
          <w:u w:val="single"/>
        </w:rPr>
        <w:t xml:space="preserve"> you try to get the other side of the story</w:t>
      </w:r>
    </w:p>
    <w:p w14:paraId="5873CAB7" w14:textId="16299F2C" w:rsidR="00E04B94" w:rsidRDefault="00E04B94" w:rsidP="00B0540E">
      <w:pPr>
        <w:pStyle w:val="ListParagraph"/>
        <w:numPr>
          <w:ilvl w:val="2"/>
          <w:numId w:val="14"/>
        </w:numPr>
        <w:rPr>
          <w:sz w:val="20"/>
          <w:szCs w:val="20"/>
        </w:rPr>
      </w:pPr>
      <w:proofErr w:type="gramStart"/>
      <w:r>
        <w:rPr>
          <w:sz w:val="20"/>
          <w:szCs w:val="20"/>
          <w:u w:val="single"/>
        </w:rPr>
        <w:t>was</w:t>
      </w:r>
      <w:proofErr w:type="gramEnd"/>
      <w:r>
        <w:rPr>
          <w:sz w:val="20"/>
          <w:szCs w:val="20"/>
          <w:u w:val="single"/>
        </w:rPr>
        <w:t xml:space="preserve"> the inclusion of the defamatory statement justifiable</w:t>
      </w:r>
      <w:r>
        <w:rPr>
          <w:sz w:val="20"/>
          <w:szCs w:val="20"/>
        </w:rPr>
        <w:t>—generous scope</w:t>
      </w:r>
    </w:p>
    <w:p w14:paraId="36652293" w14:textId="02761207" w:rsidR="00CB1210" w:rsidRDefault="00CB1210" w:rsidP="00B0540E">
      <w:pPr>
        <w:pStyle w:val="ListParagraph"/>
        <w:numPr>
          <w:ilvl w:val="2"/>
          <w:numId w:val="14"/>
        </w:numPr>
        <w:rPr>
          <w:sz w:val="20"/>
          <w:szCs w:val="20"/>
        </w:rPr>
      </w:pPr>
      <w:proofErr w:type="gramStart"/>
      <w:r>
        <w:rPr>
          <w:sz w:val="20"/>
          <w:szCs w:val="20"/>
          <w:u w:val="single"/>
        </w:rPr>
        <w:t>reportage</w:t>
      </w:r>
      <w:proofErr w:type="gramEnd"/>
      <w:r>
        <w:rPr>
          <w:sz w:val="20"/>
          <w:szCs w:val="20"/>
        </w:rPr>
        <w:t>—exception to the repetition rule</w:t>
      </w:r>
      <w:r w:rsidRPr="00CB1210">
        <w:rPr>
          <w:sz w:val="20"/>
          <w:szCs w:val="20"/>
        </w:rPr>
        <w:sym w:font="Wingdings" w:char="F0E0"/>
      </w:r>
      <w:r>
        <w:rPr>
          <w:sz w:val="20"/>
          <w:szCs w:val="20"/>
        </w:rPr>
        <w:t>where the public interest lies in whether the statements were made, not whether they were true/false</w:t>
      </w:r>
    </w:p>
    <w:p w14:paraId="3CA05343" w14:textId="77777777" w:rsidR="00166307" w:rsidRPr="00166307" w:rsidRDefault="00166307" w:rsidP="00166307">
      <w:pPr>
        <w:rPr>
          <w:sz w:val="20"/>
          <w:szCs w:val="20"/>
        </w:rPr>
      </w:pPr>
    </w:p>
    <w:sectPr w:rsidR="00166307" w:rsidRPr="00166307" w:rsidSect="005B2E60">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BD8"/>
    <w:multiLevelType w:val="hybridMultilevel"/>
    <w:tmpl w:val="03EC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34E98"/>
    <w:multiLevelType w:val="hybridMultilevel"/>
    <w:tmpl w:val="E4DC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0FCE"/>
    <w:multiLevelType w:val="hybridMultilevel"/>
    <w:tmpl w:val="11E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848FC"/>
    <w:multiLevelType w:val="hybridMultilevel"/>
    <w:tmpl w:val="92B2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C50E1"/>
    <w:multiLevelType w:val="hybridMultilevel"/>
    <w:tmpl w:val="2A46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054BD"/>
    <w:multiLevelType w:val="hybridMultilevel"/>
    <w:tmpl w:val="8F20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069A6"/>
    <w:multiLevelType w:val="hybridMultilevel"/>
    <w:tmpl w:val="AFDC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8494F"/>
    <w:multiLevelType w:val="hybridMultilevel"/>
    <w:tmpl w:val="26FC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E6B5E"/>
    <w:multiLevelType w:val="hybridMultilevel"/>
    <w:tmpl w:val="AD2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2624F"/>
    <w:multiLevelType w:val="hybridMultilevel"/>
    <w:tmpl w:val="565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47BD1"/>
    <w:multiLevelType w:val="hybridMultilevel"/>
    <w:tmpl w:val="AF00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70681"/>
    <w:multiLevelType w:val="hybridMultilevel"/>
    <w:tmpl w:val="8068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649B9"/>
    <w:multiLevelType w:val="hybridMultilevel"/>
    <w:tmpl w:val="2478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96A57"/>
    <w:multiLevelType w:val="hybridMultilevel"/>
    <w:tmpl w:val="96A8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16E5E"/>
    <w:multiLevelType w:val="hybridMultilevel"/>
    <w:tmpl w:val="BF6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
  </w:num>
  <w:num w:numId="5">
    <w:abstractNumId w:val="7"/>
  </w:num>
  <w:num w:numId="6">
    <w:abstractNumId w:val="10"/>
  </w:num>
  <w:num w:numId="7">
    <w:abstractNumId w:val="3"/>
  </w:num>
  <w:num w:numId="8">
    <w:abstractNumId w:val="8"/>
  </w:num>
  <w:num w:numId="9">
    <w:abstractNumId w:val="0"/>
  </w:num>
  <w:num w:numId="10">
    <w:abstractNumId w:val="6"/>
  </w:num>
  <w:num w:numId="11">
    <w:abstractNumId w:val="11"/>
  </w:num>
  <w:num w:numId="12">
    <w:abstractNumId w:val="9"/>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60"/>
    <w:rsid w:val="0000721A"/>
    <w:rsid w:val="000131D0"/>
    <w:rsid w:val="00020762"/>
    <w:rsid w:val="00067CC0"/>
    <w:rsid w:val="00084888"/>
    <w:rsid w:val="000849A8"/>
    <w:rsid w:val="000B707F"/>
    <w:rsid w:val="00152B99"/>
    <w:rsid w:val="001560BC"/>
    <w:rsid w:val="00166307"/>
    <w:rsid w:val="001904B1"/>
    <w:rsid w:val="001968C4"/>
    <w:rsid w:val="001C2A85"/>
    <w:rsid w:val="001C5013"/>
    <w:rsid w:val="00295132"/>
    <w:rsid w:val="002A1A80"/>
    <w:rsid w:val="002A6E09"/>
    <w:rsid w:val="002D7FB7"/>
    <w:rsid w:val="003221F7"/>
    <w:rsid w:val="00383BAD"/>
    <w:rsid w:val="003C0C35"/>
    <w:rsid w:val="00483050"/>
    <w:rsid w:val="004C5773"/>
    <w:rsid w:val="00504976"/>
    <w:rsid w:val="0053316D"/>
    <w:rsid w:val="005535A1"/>
    <w:rsid w:val="005B2E60"/>
    <w:rsid w:val="00610A98"/>
    <w:rsid w:val="00634A4C"/>
    <w:rsid w:val="006672D5"/>
    <w:rsid w:val="00712565"/>
    <w:rsid w:val="0073441E"/>
    <w:rsid w:val="007A2B52"/>
    <w:rsid w:val="007E2EB1"/>
    <w:rsid w:val="007E5A09"/>
    <w:rsid w:val="00813C99"/>
    <w:rsid w:val="00840760"/>
    <w:rsid w:val="0084101A"/>
    <w:rsid w:val="00885984"/>
    <w:rsid w:val="008F5018"/>
    <w:rsid w:val="008F5923"/>
    <w:rsid w:val="00941C65"/>
    <w:rsid w:val="009856F1"/>
    <w:rsid w:val="00997581"/>
    <w:rsid w:val="009A1C6E"/>
    <w:rsid w:val="009A32B0"/>
    <w:rsid w:val="009C4585"/>
    <w:rsid w:val="00A01C24"/>
    <w:rsid w:val="00A901C9"/>
    <w:rsid w:val="00AF7B42"/>
    <w:rsid w:val="00B0540E"/>
    <w:rsid w:val="00B10179"/>
    <w:rsid w:val="00B7071B"/>
    <w:rsid w:val="00BA6A9E"/>
    <w:rsid w:val="00BD2C7C"/>
    <w:rsid w:val="00C82D1B"/>
    <w:rsid w:val="00CA6D90"/>
    <w:rsid w:val="00CB1210"/>
    <w:rsid w:val="00D20F05"/>
    <w:rsid w:val="00D27CC4"/>
    <w:rsid w:val="00D42CEC"/>
    <w:rsid w:val="00D54B01"/>
    <w:rsid w:val="00D603DF"/>
    <w:rsid w:val="00D75075"/>
    <w:rsid w:val="00D97BE2"/>
    <w:rsid w:val="00E04B94"/>
    <w:rsid w:val="00E2324C"/>
    <w:rsid w:val="00E42946"/>
    <w:rsid w:val="00E4372F"/>
    <w:rsid w:val="00E93063"/>
    <w:rsid w:val="00EC1304"/>
    <w:rsid w:val="00F10811"/>
    <w:rsid w:val="00F377E7"/>
    <w:rsid w:val="00F42317"/>
    <w:rsid w:val="00F4455D"/>
    <w:rsid w:val="00F46C9C"/>
    <w:rsid w:val="00F970F4"/>
    <w:rsid w:val="00FA1A0D"/>
    <w:rsid w:val="00FC4C44"/>
    <w:rsid w:val="00FE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4E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1994</Words>
  <Characters>11369</Characters>
  <Application>Microsoft Macintosh Word</Application>
  <DocSecurity>0</DocSecurity>
  <Lines>94</Lines>
  <Paragraphs>26</Paragraphs>
  <ScaleCrop>false</ScaleCrop>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Hall</dc:creator>
  <cp:keywords/>
  <dc:description/>
  <cp:lastModifiedBy>Shannon Hall</cp:lastModifiedBy>
  <cp:revision>26</cp:revision>
  <cp:lastPrinted>2013-12-16T10:33:00Z</cp:lastPrinted>
  <dcterms:created xsi:type="dcterms:W3CDTF">2013-12-14T23:18:00Z</dcterms:created>
  <dcterms:modified xsi:type="dcterms:W3CDTF">2013-12-16T10:36:00Z</dcterms:modified>
</cp:coreProperties>
</file>