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color w:val="auto"/>
          <w:sz w:val="22"/>
          <w:szCs w:val="22"/>
          <w:lang w:val="en-CA"/>
        </w:rPr>
        <w:id w:val="825552462"/>
        <w:docPartObj>
          <w:docPartGallery w:val="Table of Contents"/>
          <w:docPartUnique/>
        </w:docPartObj>
      </w:sdtPr>
      <w:sdtEndPr>
        <w:rPr>
          <w:b/>
          <w:bCs/>
        </w:rPr>
      </w:sdtEndPr>
      <w:sdtContent>
        <w:p w:rsidR="00AC6BE5" w:rsidRDefault="00AC6BE5" w:rsidP="00AC6BE5">
          <w:pPr>
            <w:pStyle w:val="TOCHeading"/>
          </w:pPr>
          <w:r>
            <w:t>Table of Contents</w:t>
          </w:r>
        </w:p>
        <w:p w:rsidR="00252DDA" w:rsidRDefault="00AC6BE5">
          <w:pPr>
            <w:pStyle w:val="TOC1"/>
            <w:tabs>
              <w:tab w:val="right" w:leader="dot" w:pos="10790"/>
            </w:tabs>
            <w:rPr>
              <w:rFonts w:eastAsiaTheme="minorEastAsia"/>
              <w:b w:val="0"/>
              <w:bCs w:val="0"/>
              <w:caps w:val="0"/>
              <w:sz w:val="22"/>
              <w:szCs w:val="22"/>
              <w:lang w:eastAsia="en-CA"/>
            </w:rPr>
          </w:pPr>
          <w:r>
            <w:fldChar w:fldCharType="begin"/>
          </w:r>
          <w:r>
            <w:instrText xml:space="preserve"> TOC \o "1-4" \u </w:instrText>
          </w:r>
          <w:r>
            <w:fldChar w:fldCharType="separate"/>
          </w:r>
          <w:r w:rsidR="00252DDA">
            <w:t>Trademarks</w:t>
          </w:r>
          <w:r w:rsidR="00252DDA">
            <w:tab/>
          </w:r>
          <w:r w:rsidR="00252DDA">
            <w:fldChar w:fldCharType="begin"/>
          </w:r>
          <w:r w:rsidR="00252DDA">
            <w:instrText xml:space="preserve"> PAGEREF _Toc405051816 \h </w:instrText>
          </w:r>
          <w:r w:rsidR="00252DDA">
            <w:fldChar w:fldCharType="separate"/>
          </w:r>
          <w:r w:rsidR="00144E09">
            <w:t>2</w:t>
          </w:r>
          <w:r w:rsidR="00252DDA">
            <w:fldChar w:fldCharType="end"/>
          </w:r>
        </w:p>
        <w:p w:rsidR="00252DDA" w:rsidRDefault="00252DDA">
          <w:pPr>
            <w:pStyle w:val="TOC2"/>
            <w:tabs>
              <w:tab w:val="right" w:leader="dot" w:pos="10790"/>
            </w:tabs>
            <w:rPr>
              <w:rFonts w:eastAsiaTheme="minorEastAsia"/>
              <w:smallCaps w:val="0"/>
              <w:sz w:val="22"/>
              <w:szCs w:val="22"/>
              <w:lang w:eastAsia="en-CA"/>
            </w:rPr>
          </w:pPr>
          <w:r>
            <w:t>1.0 Introduction</w:t>
          </w:r>
          <w:r>
            <w:tab/>
          </w:r>
          <w:r>
            <w:fldChar w:fldCharType="begin"/>
          </w:r>
          <w:r>
            <w:instrText xml:space="preserve"> PAGEREF _Toc405051817 \h </w:instrText>
          </w:r>
          <w:r>
            <w:fldChar w:fldCharType="separate"/>
          </w:r>
          <w:r w:rsidR="00144E09">
            <w:t>2</w:t>
          </w:r>
          <w:r>
            <w:fldChar w:fldCharType="end"/>
          </w:r>
        </w:p>
        <w:p w:rsidR="00252DDA" w:rsidRDefault="00252DDA">
          <w:pPr>
            <w:pStyle w:val="TOC2"/>
            <w:tabs>
              <w:tab w:val="right" w:leader="dot" w:pos="10790"/>
            </w:tabs>
            <w:rPr>
              <w:rFonts w:eastAsiaTheme="minorEastAsia"/>
              <w:smallCaps w:val="0"/>
              <w:sz w:val="22"/>
              <w:szCs w:val="22"/>
              <w:lang w:eastAsia="en-CA"/>
            </w:rPr>
          </w:pPr>
          <w:r>
            <w:t>2.0 Distinctiveness</w:t>
          </w:r>
          <w:r>
            <w:tab/>
          </w:r>
          <w:r>
            <w:fldChar w:fldCharType="begin"/>
          </w:r>
          <w:r>
            <w:instrText xml:space="preserve"> PAGEREF _Toc405051818 \h </w:instrText>
          </w:r>
          <w:r>
            <w:fldChar w:fldCharType="separate"/>
          </w:r>
          <w:r w:rsidR="00144E09">
            <w:t>2</w:t>
          </w:r>
          <w:r>
            <w:fldChar w:fldCharType="end"/>
          </w:r>
        </w:p>
        <w:p w:rsidR="00252DDA" w:rsidRDefault="00252DDA">
          <w:pPr>
            <w:pStyle w:val="TOC4"/>
            <w:tabs>
              <w:tab w:val="right" w:leader="dot" w:pos="10790"/>
            </w:tabs>
            <w:rPr>
              <w:rFonts w:eastAsiaTheme="minorEastAsia"/>
              <w:sz w:val="22"/>
              <w:szCs w:val="22"/>
              <w:lang w:eastAsia="en-CA"/>
            </w:rPr>
          </w:pPr>
          <w:r>
            <w:t>British Petroleum v Bombardier (1971) FC Trial Div</w:t>
          </w:r>
          <w:r>
            <w:tab/>
          </w:r>
          <w:r>
            <w:fldChar w:fldCharType="begin"/>
          </w:r>
          <w:r>
            <w:instrText xml:space="preserve"> PAGEREF _Toc405051819 \h </w:instrText>
          </w:r>
          <w:r>
            <w:fldChar w:fldCharType="separate"/>
          </w:r>
          <w:r w:rsidR="00144E09">
            <w:t>2</w:t>
          </w:r>
          <w:r>
            <w:fldChar w:fldCharType="end"/>
          </w:r>
        </w:p>
        <w:p w:rsidR="00252DDA" w:rsidRDefault="00252DDA">
          <w:pPr>
            <w:pStyle w:val="TOC4"/>
            <w:tabs>
              <w:tab w:val="right" w:leader="dot" w:pos="10790"/>
            </w:tabs>
            <w:rPr>
              <w:rFonts w:eastAsiaTheme="minorEastAsia"/>
              <w:sz w:val="22"/>
              <w:szCs w:val="22"/>
              <w:lang w:eastAsia="en-CA"/>
            </w:rPr>
          </w:pPr>
          <w:r>
            <w:t>Molson Breweries v John Labatt (2000) FCA</w:t>
          </w:r>
          <w:r>
            <w:tab/>
          </w:r>
          <w:r>
            <w:fldChar w:fldCharType="begin"/>
          </w:r>
          <w:r>
            <w:instrText xml:space="preserve"> PAGEREF _Toc405051820 \h </w:instrText>
          </w:r>
          <w:r>
            <w:fldChar w:fldCharType="separate"/>
          </w:r>
          <w:r w:rsidR="00144E09">
            <w:t>3</w:t>
          </w:r>
          <w:r>
            <w:fldChar w:fldCharType="end"/>
          </w:r>
        </w:p>
        <w:p w:rsidR="00252DDA" w:rsidRDefault="00252DDA">
          <w:pPr>
            <w:pStyle w:val="TOC4"/>
            <w:tabs>
              <w:tab w:val="right" w:leader="dot" w:pos="10790"/>
            </w:tabs>
            <w:rPr>
              <w:rFonts w:eastAsiaTheme="minorEastAsia"/>
              <w:sz w:val="22"/>
              <w:szCs w:val="22"/>
              <w:lang w:eastAsia="en-CA"/>
            </w:rPr>
          </w:pPr>
          <w:r>
            <w:t>Bojangles’ International v Bojangles Café (2006) FC Trial Div</w:t>
          </w:r>
          <w:r>
            <w:tab/>
          </w:r>
          <w:r>
            <w:fldChar w:fldCharType="begin"/>
          </w:r>
          <w:r>
            <w:instrText xml:space="preserve"> PAGEREF _Toc405051821 \h </w:instrText>
          </w:r>
          <w:r>
            <w:fldChar w:fldCharType="separate"/>
          </w:r>
          <w:r w:rsidR="00144E09">
            <w:t>3</w:t>
          </w:r>
          <w:r>
            <w:fldChar w:fldCharType="end"/>
          </w:r>
        </w:p>
        <w:p w:rsidR="00252DDA" w:rsidRDefault="00252DDA">
          <w:pPr>
            <w:pStyle w:val="TOC2"/>
            <w:tabs>
              <w:tab w:val="right" w:leader="dot" w:pos="10790"/>
            </w:tabs>
            <w:rPr>
              <w:rFonts w:eastAsiaTheme="minorEastAsia"/>
              <w:smallCaps w:val="0"/>
              <w:sz w:val="22"/>
              <w:szCs w:val="22"/>
              <w:lang w:eastAsia="en-CA"/>
            </w:rPr>
          </w:pPr>
          <w:r>
            <w:t>3.0 Use</w:t>
          </w:r>
          <w:r>
            <w:tab/>
          </w:r>
          <w:r>
            <w:fldChar w:fldCharType="begin"/>
          </w:r>
          <w:r>
            <w:instrText xml:space="preserve"> PAGEREF _Toc405051822 \h </w:instrText>
          </w:r>
          <w:r>
            <w:fldChar w:fldCharType="separate"/>
          </w:r>
          <w:r w:rsidR="00144E09">
            <w:t>3</w:t>
          </w:r>
          <w:r>
            <w:fldChar w:fldCharType="end"/>
          </w:r>
        </w:p>
        <w:p w:rsidR="00252DDA" w:rsidRDefault="00252DDA">
          <w:pPr>
            <w:pStyle w:val="TOC4"/>
            <w:tabs>
              <w:tab w:val="right" w:leader="dot" w:pos="10790"/>
            </w:tabs>
            <w:rPr>
              <w:rFonts w:eastAsiaTheme="minorEastAsia"/>
              <w:sz w:val="22"/>
              <w:szCs w:val="22"/>
              <w:lang w:eastAsia="en-CA"/>
            </w:rPr>
          </w:pPr>
          <w:r>
            <w:t>~BMB Compuscience Ltd v Bramalea Ltd (1988) FC Trial Div</w:t>
          </w:r>
          <w:r>
            <w:tab/>
          </w:r>
          <w:r>
            <w:fldChar w:fldCharType="begin"/>
          </w:r>
          <w:r>
            <w:instrText xml:space="preserve"> PAGEREF _Toc405051823 \h </w:instrText>
          </w:r>
          <w:r>
            <w:fldChar w:fldCharType="separate"/>
          </w:r>
          <w:r w:rsidR="00144E09">
            <w:t>3</w:t>
          </w:r>
          <w:r>
            <w:fldChar w:fldCharType="end"/>
          </w:r>
        </w:p>
        <w:p w:rsidR="00252DDA" w:rsidRDefault="00252DDA">
          <w:pPr>
            <w:pStyle w:val="TOC4"/>
            <w:tabs>
              <w:tab w:val="right" w:leader="dot" w:pos="10790"/>
            </w:tabs>
            <w:rPr>
              <w:rFonts w:eastAsiaTheme="minorEastAsia"/>
              <w:sz w:val="22"/>
              <w:szCs w:val="22"/>
              <w:lang w:eastAsia="en-CA"/>
            </w:rPr>
          </w:pPr>
          <w:r>
            <w:t>~Siscoe Vermiculite Mines v Munn &amp; Steele (1959) Exchequer Ct</w:t>
          </w:r>
          <w:r>
            <w:tab/>
          </w:r>
          <w:r>
            <w:fldChar w:fldCharType="begin"/>
          </w:r>
          <w:r>
            <w:instrText xml:space="preserve"> PAGEREF _Toc405051824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~Grant of St. James Ltd v Andres Wines Ltd (1969) Registrar of TM</w:t>
          </w:r>
          <w:r>
            <w:tab/>
          </w:r>
          <w:r>
            <w:fldChar w:fldCharType="begin"/>
          </w:r>
          <w:r>
            <w:instrText xml:space="preserve"> PAGEREF _Toc405051825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~Saft-Societe v Charles le Borgne (1975) FC Trial Div</w:t>
          </w:r>
          <w:r>
            <w:tab/>
          </w:r>
          <w:r>
            <w:fldChar w:fldCharType="begin"/>
          </w:r>
          <w:r>
            <w:instrText xml:space="preserve"> PAGEREF _Toc405051826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HomeAway.com Inc v Hrdlicka (2012) FC Trial Div</w:t>
          </w:r>
          <w:r>
            <w:tab/>
          </w:r>
          <w:r>
            <w:fldChar w:fldCharType="begin"/>
          </w:r>
          <w:r>
            <w:instrText xml:space="preserve"> PAGEREF _Toc405051827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~Porter v Don the Beachcomber (1966) Exchequer Ct</w:t>
          </w:r>
          <w:r>
            <w:tab/>
          </w:r>
          <w:r>
            <w:fldChar w:fldCharType="begin"/>
          </w:r>
          <w:r>
            <w:instrText xml:space="preserve"> PAGEREF _Toc405051828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Saks v Registrar of Trade Marks (1989) FC Trial Div</w:t>
          </w:r>
          <w:r>
            <w:tab/>
          </w:r>
          <w:r>
            <w:fldChar w:fldCharType="begin"/>
          </w:r>
          <w:r>
            <w:instrText xml:space="preserve"> PAGEREF _Toc405051829 \h </w:instrText>
          </w:r>
          <w:r>
            <w:fldChar w:fldCharType="separate"/>
          </w:r>
          <w:r w:rsidR="00144E09">
            <w:t>4</w:t>
          </w:r>
          <w:r>
            <w:fldChar w:fldCharType="end"/>
          </w:r>
        </w:p>
        <w:p w:rsidR="00252DDA" w:rsidRDefault="00252DDA">
          <w:pPr>
            <w:pStyle w:val="TOC2"/>
            <w:tabs>
              <w:tab w:val="right" w:leader="dot" w:pos="10790"/>
            </w:tabs>
            <w:rPr>
              <w:rFonts w:eastAsiaTheme="minorEastAsia"/>
              <w:smallCaps w:val="0"/>
              <w:sz w:val="22"/>
              <w:szCs w:val="22"/>
              <w:lang w:eastAsia="en-CA"/>
            </w:rPr>
          </w:pPr>
          <w:r>
            <w:t>4.0 Entitlement to Register</w:t>
          </w:r>
          <w:r>
            <w:tab/>
          </w:r>
          <w:r>
            <w:fldChar w:fldCharType="begin"/>
          </w:r>
          <w:r>
            <w:instrText xml:space="preserve"> PAGEREF _Toc405051830 \h </w:instrText>
          </w:r>
          <w:r>
            <w:fldChar w:fldCharType="separate"/>
          </w:r>
          <w:r w:rsidR="00144E09">
            <w:t>4</w:t>
          </w:r>
          <w:r>
            <w:fldChar w:fldCharType="end"/>
          </w:r>
        </w:p>
        <w:p w:rsidR="00252DDA" w:rsidRDefault="00252DDA">
          <w:pPr>
            <w:pStyle w:val="TOC4"/>
            <w:tabs>
              <w:tab w:val="right" w:leader="dot" w:pos="10790"/>
            </w:tabs>
            <w:rPr>
              <w:rFonts w:eastAsiaTheme="minorEastAsia"/>
              <w:sz w:val="22"/>
              <w:szCs w:val="22"/>
              <w:lang w:eastAsia="en-CA"/>
            </w:rPr>
          </w:pPr>
          <w:r>
            <w:t>Effigi v Canada (AG) (2005) FCA</w:t>
          </w:r>
          <w:r>
            <w:tab/>
          </w:r>
          <w:r>
            <w:fldChar w:fldCharType="begin"/>
          </w:r>
          <w:r>
            <w:instrText xml:space="preserve"> PAGEREF _Toc405051831 \h </w:instrText>
          </w:r>
          <w:r>
            <w:fldChar w:fldCharType="separate"/>
          </w:r>
          <w:r w:rsidR="00144E09">
            <w:t>5</w:t>
          </w:r>
          <w:r>
            <w:fldChar w:fldCharType="end"/>
          </w:r>
        </w:p>
        <w:p w:rsidR="00252DDA" w:rsidRDefault="00252DDA">
          <w:pPr>
            <w:pStyle w:val="TOC2"/>
            <w:tabs>
              <w:tab w:val="right" w:leader="dot" w:pos="10790"/>
            </w:tabs>
            <w:rPr>
              <w:rFonts w:eastAsiaTheme="minorEastAsia"/>
              <w:smallCaps w:val="0"/>
              <w:sz w:val="22"/>
              <w:szCs w:val="22"/>
              <w:lang w:eastAsia="en-CA"/>
            </w:rPr>
          </w:pPr>
          <w:r>
            <w:t>5.0 Registrability</w:t>
          </w:r>
          <w:r>
            <w:tab/>
          </w:r>
          <w:r>
            <w:fldChar w:fldCharType="begin"/>
          </w:r>
          <w:r>
            <w:instrText xml:space="preserve"> PAGEREF _Toc405051832 \h </w:instrText>
          </w:r>
          <w:r>
            <w:fldChar w:fldCharType="separate"/>
          </w:r>
          <w:r w:rsidR="00144E09">
            <w:t>6</w:t>
          </w:r>
          <w:r>
            <w:fldChar w:fldCharType="end"/>
          </w:r>
        </w:p>
        <w:p w:rsidR="00252DDA" w:rsidRDefault="00252DDA">
          <w:pPr>
            <w:pStyle w:val="TOC3"/>
            <w:tabs>
              <w:tab w:val="right" w:leader="dot" w:pos="10790"/>
            </w:tabs>
            <w:rPr>
              <w:rFonts w:eastAsiaTheme="minorEastAsia"/>
              <w:i w:val="0"/>
              <w:iCs w:val="0"/>
              <w:sz w:val="22"/>
              <w:szCs w:val="22"/>
              <w:lang w:eastAsia="en-CA"/>
            </w:rPr>
          </w:pPr>
          <w:r>
            <w:t>5.1 Personal Names – s. 12(1)(a)</w:t>
          </w:r>
          <w:r>
            <w:tab/>
          </w:r>
          <w:r>
            <w:fldChar w:fldCharType="begin"/>
          </w:r>
          <w:r>
            <w:instrText xml:space="preserve"> PAGEREF _Toc405051833 \h </w:instrText>
          </w:r>
          <w:r>
            <w:fldChar w:fldCharType="separate"/>
          </w:r>
          <w:r w:rsidR="00144E09">
            <w:t>6</w:t>
          </w:r>
          <w:r>
            <w:fldChar w:fldCharType="end"/>
          </w:r>
        </w:p>
        <w:p w:rsidR="00252DDA" w:rsidRDefault="00252DDA">
          <w:pPr>
            <w:pStyle w:val="TOC4"/>
            <w:tabs>
              <w:tab w:val="right" w:leader="dot" w:pos="10790"/>
            </w:tabs>
            <w:rPr>
              <w:rFonts w:eastAsiaTheme="minorEastAsia"/>
              <w:sz w:val="22"/>
              <w:szCs w:val="22"/>
              <w:lang w:eastAsia="en-CA"/>
            </w:rPr>
          </w:pPr>
          <w:r>
            <w:t>~Gerhard Horn Investments v Registrar of Trade Marks (1983) Ex. Ct.</w:t>
          </w:r>
          <w:r>
            <w:tab/>
          </w:r>
          <w:r>
            <w:fldChar w:fldCharType="begin"/>
          </w:r>
          <w:r>
            <w:instrText xml:space="preserve"> PAGEREF _Toc405051834 \h </w:instrText>
          </w:r>
          <w:r>
            <w:fldChar w:fldCharType="separate"/>
          </w:r>
          <w:r w:rsidR="00144E09">
            <w:t>6</w:t>
          </w:r>
          <w:r>
            <w:fldChar w:fldCharType="end"/>
          </w:r>
        </w:p>
        <w:p w:rsidR="00252DDA" w:rsidRDefault="00252DDA">
          <w:pPr>
            <w:pStyle w:val="TOC4"/>
            <w:tabs>
              <w:tab w:val="right" w:leader="dot" w:pos="10790"/>
            </w:tabs>
            <w:rPr>
              <w:rFonts w:eastAsiaTheme="minorEastAsia"/>
              <w:sz w:val="22"/>
              <w:szCs w:val="22"/>
              <w:lang w:eastAsia="en-CA"/>
            </w:rPr>
          </w:pPr>
          <w:r>
            <w:t>Registrar of Trade Marks v Coles Book Stores (1972) SCC</w:t>
          </w:r>
          <w:r>
            <w:tab/>
          </w:r>
          <w:r>
            <w:fldChar w:fldCharType="begin"/>
          </w:r>
          <w:r>
            <w:instrText xml:space="preserve"> PAGEREF _Toc405051835 \h </w:instrText>
          </w:r>
          <w:r>
            <w:fldChar w:fldCharType="separate"/>
          </w:r>
          <w:r w:rsidR="00144E09">
            <w:t>6</w:t>
          </w:r>
          <w:r>
            <w:fldChar w:fldCharType="end"/>
          </w:r>
        </w:p>
        <w:p w:rsidR="00252DDA" w:rsidRDefault="00252DDA">
          <w:pPr>
            <w:pStyle w:val="TOC3"/>
            <w:tabs>
              <w:tab w:val="right" w:leader="dot" w:pos="10790"/>
            </w:tabs>
            <w:rPr>
              <w:rFonts w:eastAsiaTheme="minorEastAsia"/>
              <w:i w:val="0"/>
              <w:iCs w:val="0"/>
              <w:sz w:val="22"/>
              <w:szCs w:val="22"/>
              <w:lang w:eastAsia="en-CA"/>
            </w:rPr>
          </w:pPr>
          <w:r>
            <w:t>5.2 Descriptive Marks – s. 12(1)(b)</w:t>
          </w:r>
          <w:r>
            <w:tab/>
          </w:r>
          <w:r>
            <w:fldChar w:fldCharType="begin"/>
          </w:r>
          <w:r>
            <w:instrText xml:space="preserve"> PAGEREF _Toc405051836 \h </w:instrText>
          </w:r>
          <w:r>
            <w:fldChar w:fldCharType="separate"/>
          </w:r>
          <w:r w:rsidR="00144E09">
            <w:t>6</w:t>
          </w:r>
          <w:r>
            <w:fldChar w:fldCharType="end"/>
          </w:r>
        </w:p>
        <w:p w:rsidR="00252DDA" w:rsidRDefault="00252DDA">
          <w:pPr>
            <w:pStyle w:val="TOC4"/>
            <w:tabs>
              <w:tab w:val="right" w:leader="dot" w:pos="10790"/>
            </w:tabs>
            <w:rPr>
              <w:rFonts w:eastAsiaTheme="minorEastAsia"/>
              <w:sz w:val="22"/>
              <w:szCs w:val="22"/>
              <w:lang w:eastAsia="en-CA"/>
            </w:rPr>
          </w:pPr>
          <w:r>
            <w:t>Drackett Co of Canada v American Home Products (1968) FC Trial Div</w:t>
          </w:r>
          <w:r>
            <w:tab/>
          </w:r>
          <w:r>
            <w:fldChar w:fldCharType="begin"/>
          </w:r>
          <w:r>
            <w:instrText xml:space="preserve"> PAGEREF _Toc405051837 \h </w:instrText>
          </w:r>
          <w:r>
            <w:fldChar w:fldCharType="separate"/>
          </w:r>
          <w:r w:rsidR="00144E09">
            <w:t>6</w:t>
          </w:r>
          <w:r>
            <w:fldChar w:fldCharType="end"/>
          </w:r>
        </w:p>
        <w:p w:rsidR="00252DDA" w:rsidRDefault="00252DDA">
          <w:pPr>
            <w:pStyle w:val="TOC4"/>
            <w:tabs>
              <w:tab w:val="right" w:leader="dot" w:pos="10790"/>
            </w:tabs>
            <w:rPr>
              <w:rFonts w:eastAsiaTheme="minorEastAsia"/>
              <w:sz w:val="22"/>
              <w:szCs w:val="22"/>
              <w:lang w:eastAsia="en-CA"/>
            </w:rPr>
          </w:pPr>
          <w:r>
            <w:t>~Imperial Tobacco v Benson &amp; Hedges (1983) FC Trial Div</w:t>
          </w:r>
          <w:r>
            <w:tab/>
          </w:r>
          <w:r>
            <w:fldChar w:fldCharType="begin"/>
          </w:r>
          <w:r>
            <w:instrText xml:space="preserve"> PAGEREF _Toc405051838 \h </w:instrText>
          </w:r>
          <w:r>
            <w:fldChar w:fldCharType="separate"/>
          </w:r>
          <w:r w:rsidR="00144E09">
            <w:t>7</w:t>
          </w:r>
          <w:r>
            <w:fldChar w:fldCharType="end"/>
          </w:r>
        </w:p>
        <w:p w:rsidR="00252DDA" w:rsidRDefault="00252DDA">
          <w:pPr>
            <w:pStyle w:val="TOC4"/>
            <w:tabs>
              <w:tab w:val="right" w:leader="dot" w:pos="10790"/>
            </w:tabs>
            <w:rPr>
              <w:rFonts w:eastAsiaTheme="minorEastAsia"/>
              <w:sz w:val="22"/>
              <w:szCs w:val="22"/>
              <w:lang w:eastAsia="en-CA"/>
            </w:rPr>
          </w:pPr>
          <w:r>
            <w:t>Deputy AG of Canada v Biggs Laboratories (1964) Ex. Ct.</w:t>
          </w:r>
          <w:r>
            <w:tab/>
          </w:r>
          <w:r>
            <w:fldChar w:fldCharType="begin"/>
          </w:r>
          <w:r>
            <w:instrText xml:space="preserve"> PAGEREF _Toc405051839 \h </w:instrText>
          </w:r>
          <w:r>
            <w:fldChar w:fldCharType="separate"/>
          </w:r>
          <w:r w:rsidR="00144E09">
            <w:t>7</w:t>
          </w:r>
          <w:r>
            <w:fldChar w:fldCharType="end"/>
          </w:r>
        </w:p>
        <w:p w:rsidR="00252DDA" w:rsidRDefault="00252DDA">
          <w:pPr>
            <w:pStyle w:val="TOC4"/>
            <w:tabs>
              <w:tab w:val="right" w:leader="dot" w:pos="10790"/>
            </w:tabs>
            <w:rPr>
              <w:rFonts w:eastAsiaTheme="minorEastAsia"/>
              <w:sz w:val="22"/>
              <w:szCs w:val="22"/>
              <w:lang w:eastAsia="en-CA"/>
            </w:rPr>
          </w:pPr>
          <w:r>
            <w:t>Provenzano v Registrar of Trade Marks (1977) FC Trial Div</w:t>
          </w:r>
          <w:r>
            <w:tab/>
          </w:r>
          <w:r>
            <w:fldChar w:fldCharType="begin"/>
          </w:r>
          <w:r>
            <w:instrText xml:space="preserve"> PAGEREF _Toc405051840 \h </w:instrText>
          </w:r>
          <w:r>
            <w:fldChar w:fldCharType="separate"/>
          </w:r>
          <w:r w:rsidR="00144E09">
            <w:t>7</w:t>
          </w:r>
          <w:r>
            <w:fldChar w:fldCharType="end"/>
          </w:r>
        </w:p>
        <w:p w:rsidR="00252DDA" w:rsidRDefault="00252DDA">
          <w:pPr>
            <w:pStyle w:val="TOC4"/>
            <w:tabs>
              <w:tab w:val="right" w:leader="dot" w:pos="10790"/>
            </w:tabs>
            <w:rPr>
              <w:rFonts w:eastAsiaTheme="minorEastAsia"/>
              <w:sz w:val="22"/>
              <w:szCs w:val="22"/>
              <w:lang w:eastAsia="en-CA"/>
            </w:rPr>
          </w:pPr>
          <w:r>
            <w:t>Thomson Research Associates v Registrar of Trademarks (1982) FC Trial Div</w:t>
          </w:r>
          <w:r>
            <w:tab/>
          </w:r>
          <w:r>
            <w:fldChar w:fldCharType="begin"/>
          </w:r>
          <w:r>
            <w:instrText xml:space="preserve"> PAGEREF _Toc405051841 \h </w:instrText>
          </w:r>
          <w:r>
            <w:fldChar w:fldCharType="separate"/>
          </w:r>
          <w:r w:rsidR="00144E09">
            <w:t>7</w:t>
          </w:r>
          <w:r>
            <w:fldChar w:fldCharType="end"/>
          </w:r>
        </w:p>
        <w:p w:rsidR="00252DDA" w:rsidRDefault="00252DDA">
          <w:pPr>
            <w:pStyle w:val="TOC2"/>
            <w:tabs>
              <w:tab w:val="right" w:leader="dot" w:pos="10790"/>
            </w:tabs>
            <w:rPr>
              <w:rFonts w:eastAsiaTheme="minorEastAsia"/>
              <w:smallCaps w:val="0"/>
              <w:sz w:val="22"/>
              <w:szCs w:val="22"/>
              <w:lang w:eastAsia="en-CA"/>
            </w:rPr>
          </w:pPr>
          <w:r>
            <w:t>6.0 Confusion</w:t>
          </w:r>
          <w:r>
            <w:tab/>
          </w:r>
          <w:r>
            <w:fldChar w:fldCharType="begin"/>
          </w:r>
          <w:r>
            <w:instrText xml:space="preserve"> PAGEREF _Toc405051842 \h </w:instrText>
          </w:r>
          <w:r>
            <w:fldChar w:fldCharType="separate"/>
          </w:r>
          <w:r w:rsidR="00144E09">
            <w:t>7</w:t>
          </w:r>
          <w:r>
            <w:fldChar w:fldCharType="end"/>
          </w:r>
        </w:p>
        <w:p w:rsidR="00252DDA" w:rsidRDefault="00252DDA">
          <w:pPr>
            <w:pStyle w:val="TOC4"/>
            <w:tabs>
              <w:tab w:val="right" w:leader="dot" w:pos="10790"/>
            </w:tabs>
            <w:rPr>
              <w:rFonts w:eastAsiaTheme="minorEastAsia"/>
              <w:sz w:val="22"/>
              <w:szCs w:val="22"/>
              <w:lang w:eastAsia="en-CA"/>
            </w:rPr>
          </w:pPr>
          <w:r>
            <w:t>Mattel v 3894207 Canada (2006) SCC</w:t>
          </w:r>
          <w:r>
            <w:tab/>
          </w:r>
          <w:r>
            <w:fldChar w:fldCharType="begin"/>
          </w:r>
          <w:r>
            <w:instrText xml:space="preserve"> PAGEREF _Toc405051843 \h </w:instrText>
          </w:r>
          <w:r>
            <w:fldChar w:fldCharType="separate"/>
          </w:r>
          <w:r w:rsidR="00144E09">
            <w:t>8</w:t>
          </w:r>
          <w:r>
            <w:fldChar w:fldCharType="end"/>
          </w:r>
        </w:p>
        <w:p w:rsidR="00252DDA" w:rsidRDefault="00252DDA">
          <w:pPr>
            <w:pStyle w:val="TOC4"/>
            <w:tabs>
              <w:tab w:val="right" w:leader="dot" w:pos="10790"/>
            </w:tabs>
            <w:rPr>
              <w:rFonts w:eastAsiaTheme="minorEastAsia"/>
              <w:sz w:val="22"/>
              <w:szCs w:val="22"/>
              <w:lang w:eastAsia="en-CA"/>
            </w:rPr>
          </w:pPr>
          <w:r>
            <w:t>Masterpiece Inc v Alavida Lifestyles (2011) SCC</w:t>
          </w:r>
          <w:r>
            <w:tab/>
          </w:r>
          <w:r>
            <w:fldChar w:fldCharType="begin"/>
          </w:r>
          <w:r>
            <w:instrText xml:space="preserve"> PAGEREF _Toc405051844 \h </w:instrText>
          </w:r>
          <w:r>
            <w:fldChar w:fldCharType="separate"/>
          </w:r>
          <w:r w:rsidR="00144E09">
            <w:t>8</w:t>
          </w:r>
          <w:r>
            <w:fldChar w:fldCharType="end"/>
          </w:r>
        </w:p>
        <w:p w:rsidR="00252DDA" w:rsidRDefault="00252DDA">
          <w:pPr>
            <w:pStyle w:val="TOC2"/>
            <w:tabs>
              <w:tab w:val="left" w:pos="880"/>
              <w:tab w:val="right" w:leader="dot" w:pos="10790"/>
            </w:tabs>
            <w:rPr>
              <w:rFonts w:eastAsiaTheme="minorEastAsia"/>
              <w:smallCaps w:val="0"/>
              <w:sz w:val="22"/>
              <w:szCs w:val="22"/>
              <w:lang w:eastAsia="en-CA"/>
            </w:rPr>
          </w:pPr>
          <w:r>
            <w:t>7.0</w:t>
          </w:r>
          <w:r>
            <w:rPr>
              <w:rFonts w:eastAsiaTheme="minorEastAsia"/>
              <w:smallCaps w:val="0"/>
              <w:sz w:val="22"/>
              <w:szCs w:val="22"/>
              <w:lang w:eastAsia="en-CA"/>
            </w:rPr>
            <w:tab/>
          </w:r>
          <w:r>
            <w:t>Official and Prohibited Marks</w:t>
          </w:r>
          <w:r>
            <w:tab/>
          </w:r>
          <w:r>
            <w:fldChar w:fldCharType="begin"/>
          </w:r>
          <w:r>
            <w:instrText xml:space="preserve"> PAGEREF _Toc405051845 \h </w:instrText>
          </w:r>
          <w:r>
            <w:fldChar w:fldCharType="separate"/>
          </w:r>
          <w:r w:rsidR="00144E09">
            <w:t>8</w:t>
          </w:r>
          <w:r>
            <w:fldChar w:fldCharType="end"/>
          </w:r>
        </w:p>
        <w:p w:rsidR="00252DDA" w:rsidRDefault="00252DDA">
          <w:pPr>
            <w:pStyle w:val="TOC4"/>
            <w:tabs>
              <w:tab w:val="right" w:leader="dot" w:pos="10790"/>
            </w:tabs>
            <w:rPr>
              <w:rFonts w:eastAsiaTheme="minorEastAsia"/>
              <w:sz w:val="22"/>
              <w:szCs w:val="22"/>
              <w:lang w:eastAsia="en-CA"/>
            </w:rPr>
          </w:pPr>
          <w:r>
            <w:t>Ontario Assn. of Architects v Assn. of Architectural Technologists of Ontario (2002) FCA</w:t>
          </w:r>
          <w:r>
            <w:tab/>
          </w:r>
          <w:r>
            <w:fldChar w:fldCharType="begin"/>
          </w:r>
          <w:r>
            <w:instrText xml:space="preserve"> PAGEREF _Toc405051846 \h </w:instrText>
          </w:r>
          <w:r>
            <w:fldChar w:fldCharType="separate"/>
          </w:r>
          <w:r w:rsidR="00144E09">
            <w:t>9</w:t>
          </w:r>
          <w:r>
            <w:fldChar w:fldCharType="end"/>
          </w:r>
        </w:p>
        <w:p w:rsidR="00252DDA" w:rsidRDefault="00252DDA">
          <w:pPr>
            <w:pStyle w:val="TOC4"/>
            <w:tabs>
              <w:tab w:val="right" w:leader="dot" w:pos="10790"/>
            </w:tabs>
            <w:rPr>
              <w:rFonts w:eastAsiaTheme="minorEastAsia"/>
              <w:sz w:val="22"/>
              <w:szCs w:val="22"/>
              <w:lang w:eastAsia="en-CA"/>
            </w:rPr>
          </w:pPr>
          <w:r>
            <w:t>~Canada Post v US Postal Service (2005) FC</w:t>
          </w:r>
          <w:r>
            <w:tab/>
          </w:r>
          <w:r>
            <w:fldChar w:fldCharType="begin"/>
          </w:r>
          <w:r>
            <w:instrText xml:space="preserve"> PAGEREF _Toc405051847 \h </w:instrText>
          </w:r>
          <w:r>
            <w:fldChar w:fldCharType="separate"/>
          </w:r>
          <w:r w:rsidR="00144E09">
            <w:t>9</w:t>
          </w:r>
          <w:r>
            <w:fldChar w:fldCharType="end"/>
          </w:r>
        </w:p>
        <w:p w:rsidR="00252DDA" w:rsidRDefault="00252DDA">
          <w:pPr>
            <w:pStyle w:val="TOC2"/>
            <w:tabs>
              <w:tab w:val="right" w:leader="dot" w:pos="10790"/>
            </w:tabs>
            <w:rPr>
              <w:rFonts w:eastAsiaTheme="minorEastAsia"/>
              <w:smallCaps w:val="0"/>
              <w:sz w:val="22"/>
              <w:szCs w:val="22"/>
              <w:lang w:eastAsia="en-CA"/>
            </w:rPr>
          </w:pPr>
          <w:r>
            <w:t>8.0 Certification Marks</w:t>
          </w:r>
          <w:r>
            <w:tab/>
          </w:r>
          <w:r>
            <w:fldChar w:fldCharType="begin"/>
          </w:r>
          <w:r>
            <w:instrText xml:space="preserve"> PAGEREF _Toc405051848 \h </w:instrText>
          </w:r>
          <w:r>
            <w:fldChar w:fldCharType="separate"/>
          </w:r>
          <w:r w:rsidR="00144E09">
            <w:t>9</w:t>
          </w:r>
          <w:r>
            <w:fldChar w:fldCharType="end"/>
          </w:r>
        </w:p>
        <w:p w:rsidR="00252DDA" w:rsidRDefault="00252DDA">
          <w:pPr>
            <w:pStyle w:val="TOC4"/>
            <w:tabs>
              <w:tab w:val="right" w:leader="dot" w:pos="10790"/>
            </w:tabs>
            <w:rPr>
              <w:rFonts w:eastAsiaTheme="minorEastAsia"/>
              <w:sz w:val="22"/>
              <w:szCs w:val="22"/>
              <w:lang w:eastAsia="en-CA"/>
            </w:rPr>
          </w:pPr>
          <w:r>
            <w:t>Wool Bureau of Canada v Queenswear (1980) FC, Trial Div</w:t>
          </w:r>
          <w:r>
            <w:tab/>
          </w:r>
          <w:r>
            <w:fldChar w:fldCharType="begin"/>
          </w:r>
          <w:r>
            <w:instrText xml:space="preserve"> PAGEREF _Toc405051849 \h </w:instrText>
          </w:r>
          <w:r>
            <w:fldChar w:fldCharType="separate"/>
          </w:r>
          <w:r w:rsidR="00144E09">
            <w:t>10</w:t>
          </w:r>
          <w:r>
            <w:fldChar w:fldCharType="end"/>
          </w:r>
        </w:p>
        <w:p w:rsidR="00252DDA" w:rsidRDefault="00252DDA">
          <w:pPr>
            <w:pStyle w:val="TOC2"/>
            <w:tabs>
              <w:tab w:val="right" w:leader="dot" w:pos="10790"/>
            </w:tabs>
            <w:rPr>
              <w:rFonts w:eastAsiaTheme="minorEastAsia"/>
              <w:smallCaps w:val="0"/>
              <w:sz w:val="22"/>
              <w:szCs w:val="22"/>
              <w:lang w:eastAsia="en-CA"/>
            </w:rPr>
          </w:pPr>
          <w:r>
            <w:t>9.0 Non-Use</w:t>
          </w:r>
          <w:r>
            <w:tab/>
          </w:r>
          <w:r>
            <w:fldChar w:fldCharType="begin"/>
          </w:r>
          <w:r>
            <w:instrText xml:space="preserve"> PAGEREF _Toc405051850 \h </w:instrText>
          </w:r>
          <w:r>
            <w:fldChar w:fldCharType="separate"/>
          </w:r>
          <w:r w:rsidR="00144E09">
            <w:t>10</w:t>
          </w:r>
          <w:r>
            <w:fldChar w:fldCharType="end"/>
          </w:r>
        </w:p>
        <w:p w:rsidR="00252DDA" w:rsidRDefault="00252DDA">
          <w:pPr>
            <w:pStyle w:val="TOC4"/>
            <w:tabs>
              <w:tab w:val="right" w:leader="dot" w:pos="10790"/>
            </w:tabs>
            <w:rPr>
              <w:rFonts w:eastAsiaTheme="minorEastAsia"/>
              <w:sz w:val="22"/>
              <w:szCs w:val="22"/>
              <w:lang w:eastAsia="en-CA"/>
            </w:rPr>
          </w:pPr>
          <w:r>
            <w:t>Wolfville v Holland Bakery (1964) Ex Ct</w:t>
          </w:r>
          <w:r>
            <w:tab/>
          </w:r>
          <w:r>
            <w:fldChar w:fldCharType="begin"/>
          </w:r>
          <w:r>
            <w:instrText xml:space="preserve"> PAGEREF _Toc405051851 \h </w:instrText>
          </w:r>
          <w:r>
            <w:fldChar w:fldCharType="separate"/>
          </w:r>
          <w:r w:rsidR="00144E09">
            <w:t>10</w:t>
          </w:r>
          <w:r>
            <w:fldChar w:fldCharType="end"/>
          </w:r>
        </w:p>
        <w:p w:rsidR="00252DDA" w:rsidRDefault="00252DDA">
          <w:pPr>
            <w:pStyle w:val="TOC3"/>
            <w:tabs>
              <w:tab w:val="right" w:leader="dot" w:pos="10790"/>
            </w:tabs>
            <w:rPr>
              <w:rFonts w:eastAsiaTheme="minorEastAsia"/>
              <w:i w:val="0"/>
              <w:iCs w:val="0"/>
              <w:sz w:val="22"/>
              <w:szCs w:val="22"/>
              <w:lang w:eastAsia="en-CA"/>
            </w:rPr>
          </w:pPr>
          <w:r>
            <w:t>9.1 Expungement Under S. 45</w:t>
          </w:r>
          <w:r>
            <w:tab/>
          </w:r>
          <w:r>
            <w:fldChar w:fldCharType="begin"/>
          </w:r>
          <w:r>
            <w:instrText xml:space="preserve"> PAGEREF _Toc405051852 \h </w:instrText>
          </w:r>
          <w:r>
            <w:fldChar w:fldCharType="separate"/>
          </w:r>
          <w:r w:rsidR="00144E09">
            <w:t>10</w:t>
          </w:r>
          <w:r>
            <w:fldChar w:fldCharType="end"/>
          </w:r>
        </w:p>
        <w:p w:rsidR="00252DDA" w:rsidRDefault="00252DDA">
          <w:pPr>
            <w:pStyle w:val="TOC4"/>
            <w:tabs>
              <w:tab w:val="right" w:leader="dot" w:pos="10790"/>
            </w:tabs>
            <w:rPr>
              <w:rFonts w:eastAsiaTheme="minorEastAsia"/>
              <w:sz w:val="22"/>
              <w:szCs w:val="22"/>
              <w:lang w:eastAsia="en-CA"/>
            </w:rPr>
          </w:pPr>
          <w:r>
            <w:t>John Labatt v Cotton Club Bottling (1976) FC Trial Div</w:t>
          </w:r>
          <w:r>
            <w:tab/>
          </w:r>
          <w:r>
            <w:fldChar w:fldCharType="begin"/>
          </w:r>
          <w:r>
            <w:instrText xml:space="preserve"> PAGEREF _Toc405051853 \h </w:instrText>
          </w:r>
          <w:r>
            <w:fldChar w:fldCharType="separate"/>
          </w:r>
          <w:r w:rsidR="00144E09">
            <w:t>10</w:t>
          </w:r>
          <w:r>
            <w:fldChar w:fldCharType="end"/>
          </w:r>
        </w:p>
        <w:p w:rsidR="00252DDA" w:rsidRDefault="00252DDA">
          <w:pPr>
            <w:pStyle w:val="TOC3"/>
            <w:tabs>
              <w:tab w:val="right" w:leader="dot" w:pos="10790"/>
            </w:tabs>
            <w:rPr>
              <w:rFonts w:eastAsiaTheme="minorEastAsia"/>
              <w:i w:val="0"/>
              <w:iCs w:val="0"/>
              <w:sz w:val="22"/>
              <w:szCs w:val="22"/>
              <w:lang w:eastAsia="en-CA"/>
            </w:rPr>
          </w:pPr>
          <w:r>
            <w:t>9.2 Expungement for Abandonment</w:t>
          </w:r>
          <w:r>
            <w:tab/>
          </w:r>
          <w:r>
            <w:fldChar w:fldCharType="begin"/>
          </w:r>
          <w:r>
            <w:instrText xml:space="preserve"> PAGEREF _Toc405051854 \h </w:instrText>
          </w:r>
          <w:r>
            <w:fldChar w:fldCharType="separate"/>
          </w:r>
          <w:r w:rsidR="00144E09">
            <w:t>10</w:t>
          </w:r>
          <w:r>
            <w:fldChar w:fldCharType="end"/>
          </w:r>
        </w:p>
        <w:p w:rsidR="00252DDA" w:rsidRDefault="00252DDA">
          <w:pPr>
            <w:pStyle w:val="TOC4"/>
            <w:tabs>
              <w:tab w:val="right" w:leader="dot" w:pos="10790"/>
            </w:tabs>
            <w:rPr>
              <w:rFonts w:eastAsiaTheme="minorEastAsia"/>
              <w:sz w:val="22"/>
              <w:szCs w:val="22"/>
              <w:lang w:eastAsia="en-CA"/>
            </w:rPr>
          </w:pPr>
          <w:r>
            <w:t>Philip Morris v Imperial Tobacco (1987) FCA</w:t>
          </w:r>
          <w:r>
            <w:tab/>
          </w:r>
          <w:r>
            <w:fldChar w:fldCharType="begin"/>
          </w:r>
          <w:r>
            <w:instrText xml:space="preserve"> PAGEREF _Toc405051855 \h </w:instrText>
          </w:r>
          <w:r>
            <w:fldChar w:fldCharType="separate"/>
          </w:r>
          <w:r w:rsidR="00144E09">
            <w:t>10</w:t>
          </w:r>
          <w:r>
            <w:fldChar w:fldCharType="end"/>
          </w:r>
        </w:p>
        <w:p w:rsidR="00252DDA" w:rsidRDefault="00252DDA">
          <w:pPr>
            <w:pStyle w:val="TOC3"/>
            <w:tabs>
              <w:tab w:val="right" w:leader="dot" w:pos="10790"/>
            </w:tabs>
            <w:rPr>
              <w:rFonts w:eastAsiaTheme="minorEastAsia"/>
              <w:i w:val="0"/>
              <w:iCs w:val="0"/>
              <w:sz w:val="22"/>
              <w:szCs w:val="22"/>
              <w:lang w:eastAsia="en-CA"/>
            </w:rPr>
          </w:pPr>
          <w:r>
            <w:t>9.3 Use of Trademark Varying from Registration</w:t>
          </w:r>
          <w:r>
            <w:tab/>
          </w:r>
          <w:r>
            <w:fldChar w:fldCharType="begin"/>
          </w:r>
          <w:r>
            <w:instrText xml:space="preserve"> PAGEREF _Toc405051856 \h </w:instrText>
          </w:r>
          <w:r>
            <w:fldChar w:fldCharType="separate"/>
          </w:r>
          <w:r w:rsidR="00144E09">
            <w:t>11</w:t>
          </w:r>
          <w:r>
            <w:fldChar w:fldCharType="end"/>
          </w:r>
        </w:p>
        <w:p w:rsidR="00252DDA" w:rsidRDefault="00252DDA">
          <w:pPr>
            <w:pStyle w:val="TOC4"/>
            <w:tabs>
              <w:tab w:val="right" w:leader="dot" w:pos="10790"/>
            </w:tabs>
            <w:rPr>
              <w:rFonts w:eastAsiaTheme="minorEastAsia"/>
              <w:sz w:val="22"/>
              <w:szCs w:val="22"/>
              <w:lang w:eastAsia="en-CA"/>
            </w:rPr>
          </w:pPr>
          <w:r>
            <w:t>Registrar of Trade Marks v Cie. Internationale pour L’Informatique CII Honeywell Bull (1985) FCA</w:t>
          </w:r>
          <w:r>
            <w:tab/>
          </w:r>
          <w:r>
            <w:fldChar w:fldCharType="begin"/>
          </w:r>
          <w:r>
            <w:instrText xml:space="preserve"> PAGEREF _Toc405051857 \h </w:instrText>
          </w:r>
          <w:r>
            <w:fldChar w:fldCharType="separate"/>
          </w:r>
          <w:r w:rsidR="00144E09">
            <w:t>11</w:t>
          </w:r>
          <w:r>
            <w:fldChar w:fldCharType="end"/>
          </w:r>
        </w:p>
        <w:p w:rsidR="00252DDA" w:rsidRDefault="00252DDA">
          <w:pPr>
            <w:pStyle w:val="TOC4"/>
            <w:tabs>
              <w:tab w:val="right" w:leader="dot" w:pos="10790"/>
            </w:tabs>
            <w:rPr>
              <w:rFonts w:eastAsiaTheme="minorEastAsia"/>
              <w:sz w:val="22"/>
              <w:szCs w:val="22"/>
              <w:lang w:eastAsia="en-CA"/>
            </w:rPr>
          </w:pPr>
          <w:r>
            <w:t>Promofil Canada v Munsingwear (1992) FCA</w:t>
          </w:r>
          <w:r>
            <w:tab/>
          </w:r>
          <w:r>
            <w:fldChar w:fldCharType="begin"/>
          </w:r>
          <w:r>
            <w:instrText xml:space="preserve"> PAGEREF _Toc405051858 \h </w:instrText>
          </w:r>
          <w:r>
            <w:fldChar w:fldCharType="separate"/>
          </w:r>
          <w:r w:rsidR="00144E09">
            <w:t>11</w:t>
          </w:r>
          <w:r>
            <w:fldChar w:fldCharType="end"/>
          </w:r>
        </w:p>
        <w:p w:rsidR="00252DDA" w:rsidRDefault="00252DDA">
          <w:pPr>
            <w:pStyle w:val="TOC2"/>
            <w:tabs>
              <w:tab w:val="right" w:leader="dot" w:pos="10790"/>
            </w:tabs>
            <w:rPr>
              <w:rFonts w:eastAsiaTheme="minorEastAsia"/>
              <w:smallCaps w:val="0"/>
              <w:sz w:val="22"/>
              <w:szCs w:val="22"/>
              <w:lang w:eastAsia="en-CA"/>
            </w:rPr>
          </w:pPr>
          <w:r>
            <w:t>10.0 Infringement</w:t>
          </w:r>
          <w:r>
            <w:tab/>
          </w:r>
          <w:r>
            <w:fldChar w:fldCharType="begin"/>
          </w:r>
          <w:r>
            <w:instrText xml:space="preserve"> PAGEREF _Toc405051859 \h </w:instrText>
          </w:r>
          <w:r>
            <w:fldChar w:fldCharType="separate"/>
          </w:r>
          <w:r w:rsidR="00144E09">
            <w:t>11</w:t>
          </w:r>
          <w:r>
            <w:fldChar w:fldCharType="end"/>
          </w:r>
        </w:p>
        <w:p w:rsidR="00252DDA" w:rsidRDefault="00252DDA">
          <w:pPr>
            <w:pStyle w:val="TOC2"/>
            <w:tabs>
              <w:tab w:val="right" w:leader="dot" w:pos="10790"/>
            </w:tabs>
            <w:rPr>
              <w:rFonts w:eastAsiaTheme="minorEastAsia"/>
              <w:smallCaps w:val="0"/>
              <w:sz w:val="22"/>
              <w:szCs w:val="22"/>
              <w:lang w:eastAsia="en-CA"/>
            </w:rPr>
          </w:pPr>
          <w:r>
            <w:t>11.0 Depreciation of Good Will</w:t>
          </w:r>
          <w:r>
            <w:tab/>
          </w:r>
          <w:r>
            <w:fldChar w:fldCharType="begin"/>
          </w:r>
          <w:r>
            <w:instrText xml:space="preserve"> PAGEREF _Toc405051860 \h </w:instrText>
          </w:r>
          <w:r>
            <w:fldChar w:fldCharType="separate"/>
          </w:r>
          <w:r w:rsidR="00144E09">
            <w:t>11</w:t>
          </w:r>
          <w:r>
            <w:fldChar w:fldCharType="end"/>
          </w:r>
        </w:p>
        <w:p w:rsidR="00252DDA" w:rsidRDefault="00252DDA">
          <w:pPr>
            <w:pStyle w:val="TOC4"/>
            <w:tabs>
              <w:tab w:val="right" w:leader="dot" w:pos="10790"/>
            </w:tabs>
            <w:rPr>
              <w:rFonts w:eastAsiaTheme="minorEastAsia"/>
              <w:sz w:val="22"/>
              <w:szCs w:val="22"/>
              <w:lang w:eastAsia="en-CA"/>
            </w:rPr>
          </w:pPr>
          <w:r>
            <w:t>Veuve Clicquot Ponsardin v Boutiques Cliquot Ltee (2006) SCC</w:t>
          </w:r>
          <w:r>
            <w:tab/>
          </w:r>
          <w:r>
            <w:fldChar w:fldCharType="begin"/>
          </w:r>
          <w:r>
            <w:instrText xml:space="preserve"> PAGEREF _Toc405051861 \h </w:instrText>
          </w:r>
          <w:r>
            <w:fldChar w:fldCharType="separate"/>
          </w:r>
          <w:r w:rsidR="00144E09">
            <w:t>12</w:t>
          </w:r>
          <w:r>
            <w:fldChar w:fldCharType="end"/>
          </w:r>
        </w:p>
        <w:p w:rsidR="00252DDA" w:rsidRDefault="00252DDA">
          <w:pPr>
            <w:pStyle w:val="TOC4"/>
            <w:tabs>
              <w:tab w:val="right" w:leader="dot" w:pos="10790"/>
            </w:tabs>
            <w:rPr>
              <w:rFonts w:eastAsiaTheme="minorEastAsia"/>
              <w:sz w:val="22"/>
              <w:szCs w:val="22"/>
              <w:lang w:eastAsia="en-CA"/>
            </w:rPr>
          </w:pPr>
          <w:r>
            <w:t>Source Perrier v Fira-Less Marketing</w:t>
          </w:r>
          <w:r>
            <w:tab/>
          </w:r>
          <w:r>
            <w:fldChar w:fldCharType="begin"/>
          </w:r>
          <w:r>
            <w:instrText xml:space="preserve"> PAGEREF _Toc405051862 \h </w:instrText>
          </w:r>
          <w:r>
            <w:fldChar w:fldCharType="separate"/>
          </w:r>
          <w:r w:rsidR="00144E09">
            <w:t>12</w:t>
          </w:r>
          <w:r>
            <w:fldChar w:fldCharType="end"/>
          </w:r>
        </w:p>
        <w:p w:rsidR="00252DDA" w:rsidRDefault="00252DDA">
          <w:pPr>
            <w:pStyle w:val="TOC2"/>
            <w:tabs>
              <w:tab w:val="right" w:leader="dot" w:pos="10790"/>
            </w:tabs>
            <w:rPr>
              <w:rFonts w:eastAsiaTheme="minorEastAsia"/>
              <w:smallCaps w:val="0"/>
              <w:sz w:val="22"/>
              <w:szCs w:val="22"/>
              <w:lang w:eastAsia="en-CA"/>
            </w:rPr>
          </w:pPr>
          <w:r>
            <w:t>12.0 Unfair Competition</w:t>
          </w:r>
          <w:r>
            <w:tab/>
          </w:r>
          <w:r>
            <w:fldChar w:fldCharType="begin"/>
          </w:r>
          <w:r>
            <w:instrText xml:space="preserve"> PAGEREF _Toc405051863 \h </w:instrText>
          </w:r>
          <w:r>
            <w:fldChar w:fldCharType="separate"/>
          </w:r>
          <w:r w:rsidR="00144E09">
            <w:t>12</w:t>
          </w:r>
          <w:r>
            <w:fldChar w:fldCharType="end"/>
          </w:r>
        </w:p>
        <w:p w:rsidR="00252DDA" w:rsidRDefault="00252DDA">
          <w:pPr>
            <w:pStyle w:val="TOC3"/>
            <w:tabs>
              <w:tab w:val="right" w:leader="dot" w:pos="10790"/>
            </w:tabs>
            <w:rPr>
              <w:rFonts w:eastAsiaTheme="minorEastAsia"/>
              <w:i w:val="0"/>
              <w:iCs w:val="0"/>
              <w:sz w:val="22"/>
              <w:szCs w:val="22"/>
              <w:lang w:eastAsia="en-CA"/>
            </w:rPr>
          </w:pPr>
          <w:r>
            <w:t>12.1 Passing Off at Common Law</w:t>
          </w:r>
          <w:r>
            <w:tab/>
          </w:r>
          <w:r>
            <w:fldChar w:fldCharType="begin"/>
          </w:r>
          <w:r>
            <w:instrText xml:space="preserve"> PAGEREF _Toc405051864 \h </w:instrText>
          </w:r>
          <w:r>
            <w:fldChar w:fldCharType="separate"/>
          </w:r>
          <w:r w:rsidR="00144E09">
            <w:t>12</w:t>
          </w:r>
          <w:r>
            <w:fldChar w:fldCharType="end"/>
          </w:r>
        </w:p>
        <w:p w:rsidR="00252DDA" w:rsidRDefault="00252DDA">
          <w:pPr>
            <w:pStyle w:val="TOC4"/>
            <w:tabs>
              <w:tab w:val="right" w:leader="dot" w:pos="10790"/>
            </w:tabs>
            <w:rPr>
              <w:rFonts w:eastAsiaTheme="minorEastAsia"/>
              <w:sz w:val="22"/>
              <w:szCs w:val="22"/>
              <w:lang w:eastAsia="en-CA"/>
            </w:rPr>
          </w:pPr>
          <w:r>
            <w:t>Ciba Geigy Canada v Apotex (1992) SCC</w:t>
          </w:r>
          <w:r>
            <w:tab/>
          </w:r>
          <w:r>
            <w:fldChar w:fldCharType="begin"/>
          </w:r>
          <w:r>
            <w:instrText xml:space="preserve"> PAGEREF _Toc405051865 \h </w:instrText>
          </w:r>
          <w:r>
            <w:fldChar w:fldCharType="separate"/>
          </w:r>
          <w:r w:rsidR="00144E09">
            <w:t>12</w:t>
          </w:r>
          <w:r>
            <w:fldChar w:fldCharType="end"/>
          </w:r>
        </w:p>
        <w:p w:rsidR="00252DDA" w:rsidRDefault="00252DDA">
          <w:pPr>
            <w:pStyle w:val="TOC3"/>
            <w:tabs>
              <w:tab w:val="right" w:leader="dot" w:pos="10790"/>
            </w:tabs>
            <w:rPr>
              <w:rFonts w:eastAsiaTheme="minorEastAsia"/>
              <w:i w:val="0"/>
              <w:iCs w:val="0"/>
              <w:sz w:val="22"/>
              <w:szCs w:val="22"/>
              <w:lang w:eastAsia="en-CA"/>
            </w:rPr>
          </w:pPr>
          <w:r>
            <w:t>12.2 Statutory Passing off under S. 7</w:t>
          </w:r>
          <w:r>
            <w:tab/>
          </w:r>
          <w:r>
            <w:fldChar w:fldCharType="begin"/>
          </w:r>
          <w:r>
            <w:instrText xml:space="preserve"> PAGEREF _Toc405051866 \h </w:instrText>
          </w:r>
          <w:r>
            <w:fldChar w:fldCharType="separate"/>
          </w:r>
          <w:r w:rsidR="00144E09">
            <w:t>12</w:t>
          </w:r>
          <w:r>
            <w:fldChar w:fldCharType="end"/>
          </w:r>
        </w:p>
        <w:p w:rsidR="00252DDA" w:rsidRDefault="00252DDA">
          <w:pPr>
            <w:pStyle w:val="TOC2"/>
            <w:tabs>
              <w:tab w:val="right" w:leader="dot" w:pos="10790"/>
            </w:tabs>
            <w:rPr>
              <w:rFonts w:eastAsiaTheme="minorEastAsia"/>
              <w:smallCaps w:val="0"/>
              <w:sz w:val="22"/>
              <w:szCs w:val="22"/>
              <w:lang w:eastAsia="en-CA"/>
            </w:rPr>
          </w:pPr>
          <w:r>
            <w:lastRenderedPageBreak/>
            <w:t>13.0 Licensing</w:t>
          </w:r>
          <w:r>
            <w:tab/>
          </w:r>
          <w:r>
            <w:fldChar w:fldCharType="begin"/>
          </w:r>
          <w:r>
            <w:instrText xml:space="preserve"> PAGEREF _Toc405051867 \h </w:instrText>
          </w:r>
          <w:r>
            <w:fldChar w:fldCharType="separate"/>
          </w:r>
          <w:r w:rsidR="00144E09">
            <w:t>12</w:t>
          </w:r>
          <w:r>
            <w:fldChar w:fldCharType="end"/>
          </w:r>
        </w:p>
        <w:p w:rsidR="00252DDA" w:rsidRDefault="00252DDA">
          <w:pPr>
            <w:pStyle w:val="TOC2"/>
            <w:tabs>
              <w:tab w:val="right" w:leader="dot" w:pos="10790"/>
            </w:tabs>
            <w:rPr>
              <w:rFonts w:eastAsiaTheme="minorEastAsia"/>
              <w:smallCaps w:val="0"/>
              <w:sz w:val="22"/>
              <w:szCs w:val="22"/>
              <w:lang w:eastAsia="en-CA"/>
            </w:rPr>
          </w:pPr>
          <w:r>
            <w:t>14.0 Assignment</w:t>
          </w:r>
          <w:r>
            <w:tab/>
          </w:r>
          <w:r>
            <w:fldChar w:fldCharType="begin"/>
          </w:r>
          <w:r>
            <w:instrText xml:space="preserve"> PAGEREF _Toc405051868 \h </w:instrText>
          </w:r>
          <w:r>
            <w:fldChar w:fldCharType="separate"/>
          </w:r>
          <w:r w:rsidR="00144E09">
            <w:t>13</w:t>
          </w:r>
          <w:r>
            <w:fldChar w:fldCharType="end"/>
          </w:r>
        </w:p>
        <w:p w:rsidR="00252DDA" w:rsidRDefault="00252DDA">
          <w:pPr>
            <w:pStyle w:val="TOC4"/>
            <w:tabs>
              <w:tab w:val="right" w:leader="dot" w:pos="10790"/>
            </w:tabs>
            <w:rPr>
              <w:rFonts w:eastAsiaTheme="minorEastAsia"/>
              <w:sz w:val="22"/>
              <w:szCs w:val="22"/>
              <w:lang w:eastAsia="en-CA"/>
            </w:rPr>
          </w:pPr>
          <w:r>
            <w:t>Wilkinson Sword v Juda</w:t>
          </w:r>
          <w:r>
            <w:tab/>
          </w:r>
          <w:r>
            <w:fldChar w:fldCharType="begin"/>
          </w:r>
          <w:r>
            <w:instrText xml:space="preserve"> PAGEREF _Toc405051869 \h </w:instrText>
          </w:r>
          <w:r>
            <w:fldChar w:fldCharType="separate"/>
          </w:r>
          <w:r w:rsidR="00144E09">
            <w:t>13</w:t>
          </w:r>
          <w:r>
            <w:fldChar w:fldCharType="end"/>
          </w:r>
        </w:p>
        <w:p w:rsidR="00F70A9F" w:rsidRPr="00F70A9F" w:rsidRDefault="00AC6BE5" w:rsidP="00F70A9F">
          <w:pPr>
            <w:rPr>
              <w:b/>
              <w:bCs/>
              <w:sz w:val="4"/>
              <w:szCs w:val="4"/>
            </w:rPr>
          </w:pPr>
          <w:r>
            <w:fldChar w:fldCharType="end"/>
          </w:r>
        </w:p>
      </w:sdtContent>
    </w:sdt>
    <w:p w:rsidR="00AC6BE5" w:rsidRPr="00F70A9F" w:rsidRDefault="00AC6BE5" w:rsidP="00F70A9F">
      <w:pPr>
        <w:pStyle w:val="Heading1"/>
        <w:rPr>
          <w:bCs/>
        </w:rPr>
      </w:pPr>
      <w:bookmarkStart w:id="1" w:name="_Toc405051816"/>
      <w:r>
        <w:t>Trademarks</w:t>
      </w:r>
      <w:bookmarkEnd w:id="1"/>
    </w:p>
    <w:p w:rsidR="00AC6BE5" w:rsidRDefault="00AC6BE5" w:rsidP="00AC6BE5">
      <w:pPr>
        <w:pStyle w:val="Heading2"/>
      </w:pPr>
      <w:bookmarkStart w:id="2" w:name="_Toc405051817"/>
      <w:r>
        <w:t>1.0 Introduction</w:t>
      </w:r>
      <w:bookmarkEnd w:id="2"/>
    </w:p>
    <w:p w:rsidR="00AC6BE5" w:rsidRDefault="00AC6BE5" w:rsidP="00AC6BE5">
      <w:pPr>
        <w:pStyle w:val="NoSpacing"/>
        <w:numPr>
          <w:ilvl w:val="0"/>
          <w:numId w:val="1"/>
        </w:numPr>
      </w:pPr>
      <w:r w:rsidRPr="00F70A9F">
        <w:rPr>
          <w:b/>
          <w:i/>
          <w:color w:val="FF0000"/>
        </w:rPr>
        <w:t>Trade-marks Act</w:t>
      </w:r>
      <w:r>
        <w:t xml:space="preserve">, a federal statute, and common law govern </w:t>
      </w:r>
      <w:r w:rsidRPr="002C5B26">
        <w:rPr>
          <w:b/>
        </w:rPr>
        <w:t>trademark law</w:t>
      </w:r>
    </w:p>
    <w:p w:rsidR="00AC6BE5" w:rsidRDefault="00AC6BE5" w:rsidP="00AC6BE5">
      <w:pPr>
        <w:pStyle w:val="NoSpacing"/>
        <w:numPr>
          <w:ilvl w:val="0"/>
          <w:numId w:val="1"/>
        </w:numPr>
      </w:pPr>
      <w:r>
        <w:t xml:space="preserve">Just </w:t>
      </w:r>
      <w:r w:rsidRPr="002C5B26">
        <w:rPr>
          <w:u w:val="single"/>
        </w:rPr>
        <w:t>registering a company</w:t>
      </w:r>
      <w:r>
        <w:t xml:space="preserve"> isn’t enough to get a TM for the business name; it only approves the business name as part of the business registration process (not any actual USE of the TM)</w:t>
      </w:r>
    </w:p>
    <w:p w:rsidR="00AC6BE5" w:rsidRDefault="00AC6BE5" w:rsidP="00AC6BE5">
      <w:pPr>
        <w:pStyle w:val="NoSpacing"/>
        <w:numPr>
          <w:ilvl w:val="0"/>
          <w:numId w:val="1"/>
        </w:numPr>
      </w:pPr>
      <w:r w:rsidRPr="002C5B26">
        <w:rPr>
          <w:b/>
        </w:rPr>
        <w:t>Registered TM’s</w:t>
      </w:r>
      <w:r>
        <w:t>: Get nationwide protection</w:t>
      </w:r>
    </w:p>
    <w:p w:rsidR="00AC6BE5" w:rsidRDefault="00AC6BE5" w:rsidP="00AC6BE5">
      <w:pPr>
        <w:pStyle w:val="NoSpacing"/>
        <w:numPr>
          <w:ilvl w:val="0"/>
          <w:numId w:val="1"/>
        </w:numPr>
      </w:pPr>
      <w:r>
        <w:t xml:space="preserve">CL TM’s: Protection in geographic area where that TM has </w:t>
      </w:r>
      <w:r w:rsidRPr="002C5B26">
        <w:rPr>
          <w:u w:val="single"/>
        </w:rPr>
        <w:t>market reputation</w:t>
      </w:r>
    </w:p>
    <w:p w:rsidR="00AC6BE5" w:rsidRDefault="00AC6BE5" w:rsidP="00AC6BE5">
      <w:pPr>
        <w:pStyle w:val="NoSpacing"/>
        <w:numPr>
          <w:ilvl w:val="0"/>
          <w:numId w:val="1"/>
        </w:numPr>
      </w:pPr>
      <w:r>
        <w:t xml:space="preserve">TM </w:t>
      </w:r>
      <w:r w:rsidRPr="002C5B26">
        <w:rPr>
          <w:u w:val="single"/>
        </w:rPr>
        <w:t>rights accrue</w:t>
      </w:r>
      <w:r>
        <w:t xml:space="preserve"> in association with specific goods/services ;therefore, an identical TM can be owned by different parties for different goods/services (e.g. Delta airlines vs Delta home decoration)</w:t>
      </w:r>
    </w:p>
    <w:p w:rsidR="00AC6BE5" w:rsidRDefault="00AC6BE5" w:rsidP="00AC6BE5">
      <w:pPr>
        <w:pStyle w:val="Heading2"/>
      </w:pPr>
      <w:bookmarkStart w:id="3" w:name="_Toc405051818"/>
      <w:r>
        <w:t>2.0 Distinctiveness</w:t>
      </w:r>
      <w:bookmarkEnd w:id="3"/>
    </w:p>
    <w:p w:rsidR="00AC6BE5" w:rsidRDefault="00AC6BE5" w:rsidP="00AC6BE5">
      <w:pPr>
        <w:pStyle w:val="NoSpacing"/>
        <w:numPr>
          <w:ilvl w:val="0"/>
          <w:numId w:val="2"/>
        </w:numPr>
      </w:pPr>
      <w:r w:rsidRPr="00940209">
        <w:rPr>
          <w:color w:val="ED7D31" w:themeColor="accent2"/>
        </w:rPr>
        <w:t>S. 2(a)</w:t>
      </w:r>
      <w:r>
        <w:t xml:space="preserve">: A </w:t>
      </w:r>
      <w:r w:rsidRPr="002C5B26">
        <w:rPr>
          <w:u w:val="single"/>
        </w:rPr>
        <w:t>mark</w:t>
      </w:r>
      <w:r>
        <w:t xml:space="preserve"> that is used by a person for the purpose of </w:t>
      </w:r>
      <w:r w:rsidRPr="002C5B26">
        <w:rPr>
          <w:u w:val="single"/>
        </w:rPr>
        <w:t>distinguishing</w:t>
      </w:r>
      <w:r>
        <w:t xml:space="preserve"> wares or services from those of others</w:t>
      </w:r>
    </w:p>
    <w:p w:rsidR="00AC6BE5" w:rsidRDefault="00AC6BE5" w:rsidP="00AC6BE5">
      <w:pPr>
        <w:pStyle w:val="NoSpacing"/>
        <w:numPr>
          <w:ilvl w:val="1"/>
          <w:numId w:val="2"/>
        </w:numPr>
      </w:pPr>
      <w:r>
        <w:rPr>
          <w:color w:val="ED7D31" w:themeColor="accent2"/>
        </w:rPr>
        <w:t>S. 2</w:t>
      </w:r>
      <w:r>
        <w:t>: Defines “</w:t>
      </w:r>
      <w:r w:rsidRPr="00976875">
        <w:rPr>
          <w:b/>
        </w:rPr>
        <w:t>distinctiveness</w:t>
      </w:r>
      <w:r>
        <w:t>” as a TM that actually distinguishes the wares/services in association with which it’s used by owner from the wares/services of others, or is adapted so to distinguish them</w:t>
      </w:r>
    </w:p>
    <w:p w:rsidR="00F70A9F" w:rsidRDefault="00AC6BE5" w:rsidP="00AC6BE5">
      <w:pPr>
        <w:pStyle w:val="NoSpacing"/>
        <w:numPr>
          <w:ilvl w:val="0"/>
          <w:numId w:val="2"/>
        </w:numPr>
      </w:pPr>
      <w:r>
        <w:rPr>
          <w:lang w:eastAsia="en-CA"/>
        </w:rPr>
        <w:t>Criteria for considering a TM distinctive (</w:t>
      </w:r>
      <w:proofErr w:type="spellStart"/>
      <w:r w:rsidRPr="001F3146">
        <w:rPr>
          <w:i/>
          <w:lang w:eastAsia="en-CA"/>
        </w:rPr>
        <w:t>Bojangles</w:t>
      </w:r>
      <w:proofErr w:type="spellEnd"/>
      <w:r w:rsidR="00F70A9F">
        <w:rPr>
          <w:lang w:eastAsia="en-CA"/>
        </w:rPr>
        <w:t>):</w:t>
      </w:r>
    </w:p>
    <w:p w:rsidR="00F70A9F" w:rsidRDefault="00AC6BE5" w:rsidP="00F70A9F">
      <w:pPr>
        <w:pStyle w:val="NoSpacing"/>
        <w:numPr>
          <w:ilvl w:val="1"/>
          <w:numId w:val="2"/>
        </w:numPr>
      </w:pPr>
      <w:r>
        <w:rPr>
          <w:lang w:eastAsia="en-CA"/>
        </w:rPr>
        <w:t>(1) Mark and</w:t>
      </w:r>
      <w:r w:rsidR="00F70A9F">
        <w:rPr>
          <w:lang w:eastAsia="en-CA"/>
        </w:rPr>
        <w:t xml:space="preserve"> a product/ware are associated</w:t>
      </w:r>
    </w:p>
    <w:p w:rsidR="00F70A9F" w:rsidRDefault="00AC6BE5" w:rsidP="00F70A9F">
      <w:pPr>
        <w:pStyle w:val="NoSpacing"/>
        <w:numPr>
          <w:ilvl w:val="1"/>
          <w:numId w:val="2"/>
        </w:numPr>
      </w:pPr>
      <w:r>
        <w:rPr>
          <w:lang w:eastAsia="en-CA"/>
        </w:rPr>
        <w:t>(2) An o</w:t>
      </w:r>
      <w:r w:rsidR="00F70A9F">
        <w:rPr>
          <w:lang w:eastAsia="en-CA"/>
        </w:rPr>
        <w:t>wner uses this association; AND</w:t>
      </w:r>
    </w:p>
    <w:p w:rsidR="00AC6BE5" w:rsidRDefault="00AC6BE5" w:rsidP="00F70A9F">
      <w:pPr>
        <w:pStyle w:val="NoSpacing"/>
        <w:numPr>
          <w:ilvl w:val="1"/>
          <w:numId w:val="2"/>
        </w:numPr>
      </w:pPr>
      <w:r>
        <w:rPr>
          <w:lang w:eastAsia="en-CA"/>
        </w:rPr>
        <w:t>(3) This association enables owner to distinguish his product from that of others</w:t>
      </w:r>
    </w:p>
    <w:p w:rsidR="00AC6BE5" w:rsidRDefault="00AC6BE5" w:rsidP="00AC6BE5">
      <w:pPr>
        <w:pStyle w:val="NoSpacing"/>
        <w:numPr>
          <w:ilvl w:val="0"/>
          <w:numId w:val="2"/>
        </w:numPr>
      </w:pPr>
      <w:r w:rsidRPr="006F47B3">
        <w:rPr>
          <w:b/>
        </w:rPr>
        <w:t xml:space="preserve">Mark </w:t>
      </w:r>
      <w:r>
        <w:t>can be words, symbols, a combination of both, and unconventional things like sounds and colours</w:t>
      </w:r>
    </w:p>
    <w:p w:rsidR="00AC6BE5" w:rsidRDefault="00AC6BE5" w:rsidP="00AC6BE5">
      <w:pPr>
        <w:pStyle w:val="NoSpacing"/>
        <w:numPr>
          <w:ilvl w:val="0"/>
          <w:numId w:val="2"/>
        </w:numPr>
      </w:pPr>
      <w:r>
        <w:t>When you buy TM from another corp, you buy all the rights held by corp with regards to that TM (</w:t>
      </w:r>
      <w:r w:rsidRPr="006F47B3">
        <w:rPr>
          <w:i/>
        </w:rPr>
        <w:t>Bombardier</w:t>
      </w:r>
      <w:r>
        <w:t>)</w:t>
      </w:r>
    </w:p>
    <w:p w:rsidR="00AC6BE5" w:rsidRDefault="00AC6BE5" w:rsidP="00AC6BE5">
      <w:pPr>
        <w:pStyle w:val="Heading4"/>
      </w:pPr>
      <w:bookmarkStart w:id="4" w:name="_Toc405051819"/>
      <w:r>
        <w:t>British Petroleum v Bombardier (1971) FC Trial Div</w:t>
      </w:r>
      <w:bookmarkEnd w:id="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P/A; D/R. D owns SKIDOO TM for snowmobiles and buys SKIDOO TM for motor oil from Castrol. P applies to register “23 SKIDOO” as TM for lubes. D opposed app since the proposed mark was “confusing” with a “TM” that had previously been used by predecessor-in-title C.</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 P thinks that the word “ski-doo” was not “used” by Castrol (with definition from </w:t>
            </w:r>
            <w:r w:rsidRPr="00F70A9F">
              <w:rPr>
                <w:rFonts w:ascii="Calibri" w:eastAsia="Times New Roman" w:hAnsi="Calibri" w:cs="Times New Roman"/>
                <w:color w:val="ED7D31" w:themeColor="accent2"/>
                <w:lang w:eastAsia="en-CA"/>
              </w:rPr>
              <w:t xml:space="preserve">s. 2(v) </w:t>
            </w:r>
            <w:r>
              <w:rPr>
                <w:rFonts w:ascii="Calibri" w:eastAsia="Times New Roman" w:hAnsi="Calibri" w:cs="Times New Roman"/>
                <w:lang w:eastAsia="en-CA"/>
              </w:rPr>
              <w:t>of Act)</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Castrol, in the product label, explains it doesn’t own the TM “ski-doo”</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26228F">
              <w:rPr>
                <w:rFonts w:ascii="Calibri" w:eastAsia="Times New Roman" w:hAnsi="Calibri" w:cs="Times New Roman"/>
                <w:highlight w:val="yellow"/>
                <w:lang w:eastAsia="en-CA"/>
              </w:rPr>
              <w:t>Use of someone else’s TM doesn’t distinguish the user’s goods from the goods of others.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No TM use by C </w:t>
            </w:r>
            <w:r w:rsidRPr="00976875">
              <w:rPr>
                <w:rFonts w:ascii="Calibri" w:eastAsia="Times New Roman" w:hAnsi="Calibri" w:cs="Times New Roman"/>
                <w:lang w:eastAsia="en-CA"/>
              </w:rPr>
              <w:sym w:font="Wingdings" w:char="F0E0"/>
            </w:r>
            <w:r>
              <w:rPr>
                <w:rFonts w:ascii="Calibri" w:eastAsia="Times New Roman" w:hAnsi="Calibri" w:cs="Times New Roman"/>
                <w:lang w:eastAsia="en-CA"/>
              </w:rPr>
              <w:t xml:space="preserve"> No SKIDOO TM for motor oil that C can sell </w:t>
            </w:r>
            <w:r w:rsidRPr="00976875">
              <w:rPr>
                <w:rFonts w:ascii="Calibri" w:eastAsia="Times New Roman" w:hAnsi="Calibri" w:cs="Times New Roman"/>
                <w:lang w:eastAsia="en-CA"/>
              </w:rPr>
              <w:sym w:font="Wingdings" w:char="F0E0"/>
            </w:r>
            <w:r>
              <w:rPr>
                <w:rFonts w:ascii="Calibri" w:eastAsia="Times New Roman" w:hAnsi="Calibri" w:cs="Times New Roman"/>
                <w:lang w:eastAsia="en-CA"/>
              </w:rPr>
              <w:t xml:space="preserve"> No basis for D to oppose P’s app.</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1973 FCA: Dismissed B’s ap</w:t>
            </w:r>
            <w:r w:rsidR="00F70A9F">
              <w:rPr>
                <w:rFonts w:ascii="Calibri" w:eastAsia="Times New Roman" w:hAnsi="Calibri" w:cs="Times New Roman"/>
                <w:lang w:eastAsia="en-CA"/>
              </w:rPr>
              <w:t xml:space="preserve">peal. If mark does not have </w:t>
            </w:r>
            <w:r w:rsidRPr="00F70A9F">
              <w:rPr>
                <w:rFonts w:ascii="Calibri" w:eastAsia="Times New Roman" w:hAnsi="Calibri" w:cs="Times New Roman"/>
                <w:lang w:eastAsia="en-CA"/>
              </w:rPr>
              <w:t>distinguishing purpose</w:t>
            </w:r>
            <w:r w:rsidR="00F70A9F">
              <w:rPr>
                <w:rFonts w:ascii="Calibri" w:eastAsia="Times New Roman" w:hAnsi="Calibri" w:cs="Times New Roman"/>
                <w:lang w:eastAsia="en-CA"/>
              </w:rPr>
              <w:t>, not being used as</w:t>
            </w:r>
            <w:r>
              <w:rPr>
                <w:rFonts w:ascii="Calibri" w:eastAsia="Times New Roman" w:hAnsi="Calibri" w:cs="Times New Roman"/>
                <w:lang w:eastAsia="en-CA"/>
              </w:rPr>
              <w:t xml:space="preserve"> TM.</w:t>
            </w:r>
          </w:p>
        </w:tc>
      </w:tr>
    </w:tbl>
    <w:p w:rsidR="00AC6BE5" w:rsidRDefault="00AC6BE5" w:rsidP="00AC6BE5">
      <w:pPr>
        <w:pStyle w:val="NoSpacing"/>
        <w:numPr>
          <w:ilvl w:val="0"/>
          <w:numId w:val="2"/>
        </w:numPr>
      </w:pPr>
      <w:r>
        <w:t xml:space="preserve">What determines </w:t>
      </w:r>
      <w:r w:rsidRPr="00F70A9F">
        <w:rPr>
          <w:b/>
        </w:rPr>
        <w:t>distinguishing purpose</w:t>
      </w:r>
      <w:r>
        <w:t>: Intention of user or recognition by public consumer?</w:t>
      </w:r>
    </w:p>
    <w:p w:rsidR="00AC6BE5" w:rsidRDefault="00AC6BE5" w:rsidP="00AC6BE5">
      <w:pPr>
        <w:pStyle w:val="NoSpacing"/>
        <w:numPr>
          <w:ilvl w:val="1"/>
          <w:numId w:val="2"/>
        </w:numPr>
      </w:pPr>
      <w:r>
        <w:t>Both are relevant considerations (</w:t>
      </w:r>
      <w:r w:rsidRPr="00F10C50">
        <w:rPr>
          <w:i/>
        </w:rPr>
        <w:t>Tommy Hilfiger v International Clothiers</w:t>
      </w:r>
      <w:r>
        <w:t>)</w:t>
      </w:r>
    </w:p>
    <w:p w:rsidR="00AC6BE5" w:rsidRDefault="00AC6BE5" w:rsidP="00AC6BE5">
      <w:pPr>
        <w:pStyle w:val="NoSpacing"/>
        <w:numPr>
          <w:ilvl w:val="1"/>
          <w:numId w:val="2"/>
        </w:numPr>
      </w:pPr>
      <w:r>
        <w:t>Intention of user is not determinative (</w:t>
      </w:r>
      <w:r w:rsidRPr="00F10C50">
        <w:rPr>
          <w:i/>
        </w:rPr>
        <w:t xml:space="preserve">Pepper King v </w:t>
      </w:r>
      <w:proofErr w:type="spellStart"/>
      <w:r w:rsidRPr="00F10C50">
        <w:rPr>
          <w:i/>
        </w:rPr>
        <w:t>Sunfresh</w:t>
      </w:r>
      <w:proofErr w:type="spellEnd"/>
      <w:r>
        <w:t>)</w:t>
      </w:r>
    </w:p>
    <w:p w:rsidR="00AC6BE5" w:rsidRDefault="00AC6BE5" w:rsidP="00AC6BE5">
      <w:pPr>
        <w:pStyle w:val="NoSpacing"/>
        <w:numPr>
          <w:ilvl w:val="1"/>
          <w:numId w:val="2"/>
        </w:numPr>
      </w:pPr>
      <w:r>
        <w:t>Recognition by all probable purchasers is necessary (</w:t>
      </w:r>
      <w:proofErr w:type="spellStart"/>
      <w:r w:rsidRPr="00510C92">
        <w:rPr>
          <w:i/>
        </w:rPr>
        <w:t>Parke</w:t>
      </w:r>
      <w:proofErr w:type="spellEnd"/>
      <w:r w:rsidRPr="00510C92">
        <w:rPr>
          <w:i/>
        </w:rPr>
        <w:t xml:space="preserve"> v Empire Laboratories</w:t>
      </w:r>
      <w:r>
        <w:t>)</w:t>
      </w:r>
    </w:p>
    <w:p w:rsidR="00AC6BE5" w:rsidRPr="009300A2" w:rsidRDefault="00AC6BE5" w:rsidP="00AC6BE5">
      <w:pPr>
        <w:pStyle w:val="NoSpacing"/>
        <w:numPr>
          <w:ilvl w:val="0"/>
          <w:numId w:val="2"/>
        </w:numPr>
      </w:pPr>
      <w:r>
        <w:t xml:space="preserve">Example of HP printer: LaserJet is a trademark (name is a </w:t>
      </w:r>
      <w:r w:rsidRPr="006F47B3">
        <w:rPr>
          <w:b/>
        </w:rPr>
        <w:t>distinguishing purpose</w:t>
      </w:r>
      <w:r>
        <w:t xml:space="preserve">), 1100A distinguishes from other models from the same brand (but not distinguishing in terms of a TM)  so it has </w:t>
      </w:r>
      <w:r w:rsidRPr="006F47B3">
        <w:rPr>
          <w:b/>
        </w:rPr>
        <w:t>informational purpose</w:t>
      </w:r>
    </w:p>
    <w:p w:rsidR="00AC6BE5" w:rsidRDefault="00AC6BE5" w:rsidP="00AC6BE5">
      <w:pPr>
        <w:pStyle w:val="NoSpacing"/>
        <w:numPr>
          <w:ilvl w:val="0"/>
          <w:numId w:val="2"/>
        </w:numPr>
      </w:pPr>
      <w:r>
        <w:t xml:space="preserve">Example of Nike shoes: Something could also have a </w:t>
      </w:r>
      <w:r w:rsidRPr="00225800">
        <w:rPr>
          <w:b/>
        </w:rPr>
        <w:t>decorative purpose</w:t>
      </w:r>
      <w:r>
        <w:t xml:space="preserve"> instead of a TM distinguishing purpose</w:t>
      </w:r>
    </w:p>
    <w:p w:rsidR="00AC6BE5" w:rsidRDefault="00AC6BE5" w:rsidP="00AC6BE5">
      <w:pPr>
        <w:pStyle w:val="NoSpacing"/>
        <w:numPr>
          <w:ilvl w:val="0"/>
          <w:numId w:val="2"/>
        </w:numPr>
      </w:pPr>
      <w:r>
        <w:t xml:space="preserve">Example of Legos: Can’t trademark the knobs on the blocks because they have a </w:t>
      </w:r>
      <w:r w:rsidRPr="00225800">
        <w:rPr>
          <w:b/>
        </w:rPr>
        <w:t>primarily functional purpose</w:t>
      </w:r>
    </w:p>
    <w:p w:rsidR="00AC6BE5" w:rsidRPr="00F10C50" w:rsidRDefault="00AC6BE5" w:rsidP="00AC6BE5">
      <w:pPr>
        <w:pStyle w:val="NoSpacing"/>
        <w:numPr>
          <w:ilvl w:val="0"/>
          <w:numId w:val="2"/>
        </w:numPr>
        <w:rPr>
          <w:color w:val="00B050"/>
        </w:rPr>
      </w:pPr>
      <w:r w:rsidRPr="00F10C50">
        <w:rPr>
          <w:color w:val="00B050"/>
        </w:rPr>
        <w:t>Inherent distinctiveness</w:t>
      </w:r>
      <w:r>
        <w:rPr>
          <w:color w:val="00B050"/>
        </w:rPr>
        <w:t xml:space="preserve"> (A)</w:t>
      </w:r>
      <w:r w:rsidRPr="00F10C50">
        <w:rPr>
          <w:color w:val="00B050"/>
        </w:rPr>
        <w:t xml:space="preserve"> + Acquired distinctiveness</w:t>
      </w:r>
      <w:r>
        <w:rPr>
          <w:color w:val="00B050"/>
        </w:rPr>
        <w:t xml:space="preserve"> (B) – </w:t>
      </w:r>
      <w:r w:rsidRPr="00F10C50">
        <w:rPr>
          <w:color w:val="00B050"/>
        </w:rPr>
        <w:t>Lack of distinctiveness</w:t>
      </w:r>
      <w:r>
        <w:rPr>
          <w:color w:val="00B050"/>
        </w:rPr>
        <w:t xml:space="preserve"> (C)</w:t>
      </w:r>
      <w:r w:rsidRPr="00F10C50">
        <w:rPr>
          <w:color w:val="00B050"/>
        </w:rPr>
        <w:t xml:space="preserve"> = Actual distinctiveness</w:t>
      </w:r>
    </w:p>
    <w:p w:rsidR="00AC6BE5" w:rsidRDefault="00AC6BE5" w:rsidP="00AC6BE5">
      <w:pPr>
        <w:pStyle w:val="NoSpacing"/>
        <w:numPr>
          <w:ilvl w:val="1"/>
          <w:numId w:val="2"/>
        </w:numPr>
      </w:pPr>
      <w:r w:rsidRPr="00E37A30">
        <w:t>Important</w:t>
      </w:r>
      <w:r>
        <w:t xml:space="preserve"> formula</w:t>
      </w:r>
      <w:r w:rsidRPr="00E37A30">
        <w:t xml:space="preserve"> to test the strength of the TM</w:t>
      </w:r>
    </w:p>
    <w:p w:rsidR="00AC6BE5" w:rsidRDefault="00AC6BE5" w:rsidP="00AC6BE5">
      <w:pPr>
        <w:pStyle w:val="NoSpacing"/>
        <w:numPr>
          <w:ilvl w:val="0"/>
          <w:numId w:val="2"/>
        </w:numPr>
      </w:pPr>
      <w:r>
        <w:t xml:space="preserve">A) </w:t>
      </w:r>
      <w:r w:rsidRPr="00F10C50">
        <w:rPr>
          <w:b/>
        </w:rPr>
        <w:t>Inherent distinctiveness</w:t>
      </w:r>
      <w:r>
        <w:t>: Made-up words (e.g. Exxon, Kodak), English words that have nothing to do with your field (e.g. Chevron in fuel, Apple in technology)</w:t>
      </w:r>
    </w:p>
    <w:p w:rsidR="00AC6BE5" w:rsidRDefault="00AC6BE5" w:rsidP="00AC6BE5">
      <w:pPr>
        <w:pStyle w:val="NoSpacing"/>
        <w:numPr>
          <w:ilvl w:val="1"/>
          <w:numId w:val="2"/>
        </w:numPr>
      </w:pPr>
      <w:r>
        <w:t>Less so: Suggestive words (e.g. Greyhound of buses, Coppertone of sunscreen)</w:t>
      </w:r>
    </w:p>
    <w:p w:rsidR="00AC6BE5" w:rsidRDefault="00AC6BE5" w:rsidP="00AC6BE5">
      <w:pPr>
        <w:pStyle w:val="NoSpacing"/>
        <w:numPr>
          <w:ilvl w:val="1"/>
          <w:numId w:val="2"/>
        </w:numPr>
      </w:pPr>
      <w:r>
        <w:t>No good: Descriptive words/names (e.g. All-Bran, Pizza Pizza)</w:t>
      </w:r>
    </w:p>
    <w:p w:rsidR="00AC6BE5" w:rsidRDefault="00AC6BE5" w:rsidP="00AC6BE5">
      <w:pPr>
        <w:pStyle w:val="NoSpacing"/>
        <w:numPr>
          <w:ilvl w:val="0"/>
          <w:numId w:val="2"/>
        </w:numPr>
      </w:pPr>
      <w:r>
        <w:t xml:space="preserve">B) </w:t>
      </w:r>
      <w:r w:rsidRPr="00F10C50">
        <w:rPr>
          <w:b/>
        </w:rPr>
        <w:t>Acquired distinctiveness</w:t>
      </w:r>
      <w:r>
        <w:t xml:space="preserve"> (i.e. </w:t>
      </w:r>
      <w:r w:rsidRPr="00940209">
        <w:rPr>
          <w:b/>
        </w:rPr>
        <w:t>secondary meaning</w:t>
      </w:r>
      <w:r>
        <w:t>) can be gained through significant use, advertising, publicity</w:t>
      </w:r>
    </w:p>
    <w:p w:rsidR="00AC6BE5" w:rsidRDefault="00AC6BE5" w:rsidP="00AC6BE5">
      <w:pPr>
        <w:pStyle w:val="NoSpacing"/>
        <w:numPr>
          <w:ilvl w:val="0"/>
          <w:numId w:val="2"/>
        </w:numPr>
      </w:pPr>
      <w:r w:rsidRPr="00940209">
        <w:rPr>
          <w:color w:val="ED7D31" w:themeColor="accent2"/>
        </w:rPr>
        <w:t>S.12(1)(b)</w:t>
      </w:r>
      <w:r>
        <w:t xml:space="preserve"> prohibits registration of TMs that are </w:t>
      </w:r>
      <w:r w:rsidRPr="00983287">
        <w:rPr>
          <w:u w:val="single"/>
        </w:rPr>
        <w:t>descriptive</w:t>
      </w:r>
      <w:r>
        <w:t xml:space="preserve"> of character, quality, or geographic region</w:t>
      </w:r>
    </w:p>
    <w:p w:rsidR="00AC6BE5" w:rsidRDefault="00AC6BE5" w:rsidP="00AC6BE5">
      <w:pPr>
        <w:pStyle w:val="NoSpacing"/>
        <w:numPr>
          <w:ilvl w:val="1"/>
          <w:numId w:val="2"/>
        </w:numPr>
      </w:pPr>
      <w:r>
        <w:lastRenderedPageBreak/>
        <w:t xml:space="preserve">Example: Kellogg couldn’t get All-Bran trademarked until after 10 years of heavy advertising, showing how much the public has come to associate All-Bran with their particular cereal, when they used </w:t>
      </w:r>
      <w:r w:rsidRPr="00F70A9F">
        <w:rPr>
          <w:color w:val="ED7D31" w:themeColor="accent2"/>
        </w:rPr>
        <w:t>s. 12(2)</w:t>
      </w:r>
    </w:p>
    <w:p w:rsidR="00AC6BE5" w:rsidRPr="0026228F" w:rsidRDefault="00AC6BE5" w:rsidP="00AC6BE5">
      <w:pPr>
        <w:pStyle w:val="NoSpacing"/>
        <w:numPr>
          <w:ilvl w:val="1"/>
          <w:numId w:val="2"/>
        </w:numPr>
      </w:pPr>
      <w:r w:rsidRPr="00983287">
        <w:rPr>
          <w:color w:val="ED7D31" w:themeColor="accent2"/>
        </w:rPr>
        <w:t>S. 12(2)</w:t>
      </w:r>
      <w:r>
        <w:t>: Must prove that mark is recognized by substantial portion of Canadian public as distinguishing the source of the goods/services in order to be considered having acquired distinctiveness</w:t>
      </w:r>
    </w:p>
    <w:p w:rsidR="00AC6BE5" w:rsidRDefault="00AC6BE5" w:rsidP="00AC6BE5">
      <w:pPr>
        <w:pStyle w:val="Heading4"/>
      </w:pPr>
      <w:bookmarkStart w:id="5" w:name="_Toc405051820"/>
      <w:r>
        <w:t>Molson Breweries v John Labatt (2000) FCA</w:t>
      </w:r>
      <w:bookmarkEnd w:id="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P applied to register as trade-mark the word “EXPORT” re: its brewed alcohol. D opposed registration since “EXPORT” either clearly descriptive or deceptively misdescriptive of the character/quality of beer </w:t>
            </w:r>
            <w:r w:rsidRPr="002B16E1">
              <w:rPr>
                <w:rFonts w:ascii="Calibri" w:eastAsia="Times New Roman" w:hAnsi="Calibri" w:cs="Times New Roman"/>
                <w:lang w:eastAsia="en-CA"/>
              </w:rPr>
              <w:sym w:font="Wingdings" w:char="F0E0"/>
            </w:r>
            <w:r>
              <w:rPr>
                <w:rFonts w:ascii="Calibri" w:eastAsia="Times New Roman" w:hAnsi="Calibri" w:cs="Times New Roman"/>
                <w:lang w:eastAsia="en-CA"/>
              </w:rPr>
              <w:t xml:space="preserve"> NOT distinctive term (</w:t>
            </w:r>
            <w:r w:rsidRPr="00983287">
              <w:rPr>
                <w:rFonts w:ascii="Calibri" w:eastAsia="Times New Roman" w:hAnsi="Calibri" w:cs="Times New Roman"/>
                <w:color w:val="ED7D31" w:themeColor="accent2"/>
                <w:lang w:eastAsia="en-CA"/>
              </w:rPr>
              <w:t>s. 12(1)(b)</w:t>
            </w:r>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Registrar found that “EXPORT” isn’t distinctive through all Canada; but if it is under a restricted area</w:t>
            </w:r>
            <w:r w:rsidR="00F70A9F">
              <w:rPr>
                <w:rFonts w:ascii="Calibri" w:eastAsia="Times New Roman" w:hAnsi="Calibri" w:cs="Times New Roman"/>
                <w:lang w:eastAsia="en-CA"/>
              </w:rPr>
              <w:t xml:space="preserve"> (e.g. only ON &amp; QC)</w:t>
            </w:r>
            <w:r>
              <w:rPr>
                <w:rFonts w:ascii="Calibri" w:eastAsia="Times New Roman" w:hAnsi="Calibri" w:cs="Times New Roman"/>
                <w:lang w:eastAsia="en-CA"/>
              </w:rPr>
              <w:t>, then the registration is allowed (</w:t>
            </w:r>
            <w:r w:rsidRPr="0026228F">
              <w:rPr>
                <w:rFonts w:ascii="Calibri" w:eastAsia="Times New Roman" w:hAnsi="Calibri" w:cs="Times New Roman"/>
                <w:color w:val="ED7D31" w:themeColor="accent2"/>
                <w:lang w:eastAsia="en-CA"/>
              </w:rPr>
              <w:t>ss.</w:t>
            </w:r>
            <w:r>
              <w:rPr>
                <w:rFonts w:ascii="Calibri" w:eastAsia="Times New Roman" w:hAnsi="Calibri" w:cs="Times New Roman"/>
                <w:color w:val="ED7D31" w:themeColor="accent2"/>
                <w:lang w:eastAsia="en-CA"/>
              </w:rPr>
              <w:t xml:space="preserve"> 32(2)</w:t>
            </w:r>
            <w:r>
              <w:rPr>
                <w:rFonts w:ascii="Calibri" w:eastAsia="Times New Roman" w:hAnsi="Calibri" w:cs="Times New Roman"/>
                <w:lang w:eastAsia="en-CA"/>
              </w:rPr>
              <w:t>)</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P tries to call Molson a “house mark” and “EXPORT” a TM, but they always appear together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26228F" w:rsidRDefault="00AC6BE5" w:rsidP="00F70A9F">
            <w:pPr>
              <w:pStyle w:val="NoSpacing"/>
              <w:rPr>
                <w:rFonts w:ascii="Calibri" w:eastAsia="Times New Roman" w:hAnsi="Calibri" w:cs="Times New Roman"/>
                <w:highlight w:val="yellow"/>
                <w:lang w:eastAsia="en-CA"/>
              </w:rPr>
            </w:pPr>
            <w:r w:rsidRPr="0026228F">
              <w:rPr>
                <w:rFonts w:ascii="Calibri" w:eastAsia="Times New Roman" w:hAnsi="Calibri" w:cs="Times New Roman"/>
                <w:highlight w:val="yellow"/>
                <w:lang w:eastAsia="en-CA"/>
              </w:rPr>
              <w:t xml:space="preserve">Onus of proof (on </w:t>
            </w:r>
            <w:proofErr w:type="spellStart"/>
            <w:r w:rsidRPr="0026228F">
              <w:rPr>
                <w:rFonts w:ascii="Calibri" w:eastAsia="Times New Roman" w:hAnsi="Calibri" w:cs="Times New Roman"/>
                <w:highlight w:val="yellow"/>
                <w:lang w:eastAsia="en-CA"/>
              </w:rPr>
              <w:t>BoP</w:t>
            </w:r>
            <w:proofErr w:type="spellEnd"/>
            <w:r w:rsidRPr="0026228F">
              <w:rPr>
                <w:rFonts w:ascii="Calibri" w:eastAsia="Times New Roman" w:hAnsi="Calibri" w:cs="Times New Roman"/>
                <w:highlight w:val="yellow"/>
                <w:lang w:eastAsia="en-CA"/>
              </w:rPr>
              <w:t xml:space="preserve">) on applicant to show that a normally descriptive word has acquired a </w:t>
            </w:r>
            <w:r w:rsidRPr="0026228F">
              <w:rPr>
                <w:rFonts w:ascii="Calibri" w:eastAsia="Times New Roman" w:hAnsi="Calibri" w:cs="Times New Roman"/>
                <w:highlight w:val="yellow"/>
                <w:u w:val="single"/>
                <w:lang w:eastAsia="en-CA"/>
              </w:rPr>
              <w:t xml:space="preserve">secondary meaning </w:t>
            </w:r>
            <w:r>
              <w:rPr>
                <w:rFonts w:ascii="Calibri" w:eastAsia="Times New Roman" w:hAnsi="Calibri" w:cs="Times New Roman"/>
                <w:highlight w:val="yellow"/>
                <w:lang w:eastAsia="en-CA"/>
              </w:rPr>
              <w:t xml:space="preserve">that </w:t>
            </w:r>
            <w:r w:rsidRPr="0026228F">
              <w:rPr>
                <w:rFonts w:ascii="Calibri" w:eastAsia="Times New Roman" w:hAnsi="Calibri" w:cs="Times New Roman"/>
                <w:highlight w:val="yellow"/>
                <w:lang w:eastAsia="en-CA"/>
              </w:rPr>
              <w:t>make</w:t>
            </w:r>
            <w:r>
              <w:rPr>
                <w:rFonts w:ascii="Calibri" w:eastAsia="Times New Roman" w:hAnsi="Calibri" w:cs="Times New Roman"/>
                <w:highlight w:val="yellow"/>
                <w:lang w:eastAsia="en-CA"/>
              </w:rPr>
              <w:t>s</w:t>
            </w:r>
            <w:r w:rsidRPr="0026228F">
              <w:rPr>
                <w:rFonts w:ascii="Calibri" w:eastAsia="Times New Roman" w:hAnsi="Calibri" w:cs="Times New Roman"/>
                <w:highlight w:val="yellow"/>
                <w:lang w:eastAsia="en-CA"/>
              </w:rPr>
              <w:t xml:space="preserve"> it descriptive of a particular product.</w:t>
            </w:r>
          </w:p>
          <w:p w:rsidR="00AC6BE5" w:rsidRPr="00E72B7A" w:rsidRDefault="00AC6BE5" w:rsidP="00F70A9F">
            <w:pPr>
              <w:pStyle w:val="NoSpacing"/>
              <w:rPr>
                <w:rFonts w:ascii="Calibri" w:eastAsia="Times New Roman" w:hAnsi="Calibri" w:cs="Times New Roman"/>
                <w:lang w:eastAsia="en-CA"/>
              </w:rPr>
            </w:pPr>
            <w:r w:rsidRPr="0026228F">
              <w:rPr>
                <w:rFonts w:ascii="Calibri" w:eastAsia="Times New Roman" w:hAnsi="Calibri" w:cs="Times New Roman"/>
                <w:highlight w:val="yellow"/>
                <w:lang w:eastAsia="en-CA"/>
              </w:rPr>
              <w:t xml:space="preserve">Distinctiveness of ware must be determined from everyday user POV; the TM must be considered in its entirety and as a matter of first impression. Exclusive use is not required to prove </w:t>
            </w:r>
            <w:r w:rsidRPr="0026228F">
              <w:rPr>
                <w:rFonts w:ascii="Calibri" w:eastAsia="Times New Roman" w:hAnsi="Calibri" w:cs="Times New Roman"/>
                <w:highlight w:val="yellow"/>
                <w:u w:val="single"/>
                <w:lang w:eastAsia="en-CA"/>
              </w:rPr>
              <w:t>distinctiveness</w:t>
            </w:r>
            <w:r w:rsidRPr="0026228F">
              <w:rPr>
                <w:rFonts w:ascii="Calibri" w:eastAsia="Times New Roman" w:hAnsi="Calibri" w:cs="Times New Roman"/>
                <w:highlight w:val="yellow"/>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Appeal allowed. “Molson Export” has acquired distinctiveness, not “Export”.</w:t>
            </w:r>
          </w:p>
        </w:tc>
      </w:tr>
    </w:tbl>
    <w:p w:rsidR="00AC6BE5" w:rsidRDefault="00AC6BE5" w:rsidP="00AC6BE5">
      <w:pPr>
        <w:pStyle w:val="NoSpacing"/>
        <w:numPr>
          <w:ilvl w:val="0"/>
          <w:numId w:val="2"/>
        </w:numPr>
      </w:pPr>
      <w:r>
        <w:t xml:space="preserve">C) </w:t>
      </w:r>
      <w:r w:rsidRPr="00F70A9F">
        <w:rPr>
          <w:b/>
        </w:rPr>
        <w:t>Loss of distinctiveness</w:t>
      </w:r>
      <w:r>
        <w:t>: Two or more businesses use the same or similar TM for similar goods/services</w:t>
      </w:r>
    </w:p>
    <w:p w:rsidR="00AC6BE5" w:rsidRDefault="00AC6BE5" w:rsidP="00AC6BE5">
      <w:pPr>
        <w:pStyle w:val="NoSpacing"/>
        <w:numPr>
          <w:ilvl w:val="1"/>
          <w:numId w:val="2"/>
        </w:numPr>
      </w:pPr>
      <w:r>
        <w:t>This could lead to degradation of each other’s distinctiveness</w:t>
      </w:r>
    </w:p>
    <w:p w:rsidR="00AC6BE5" w:rsidRDefault="00AC6BE5" w:rsidP="00AC6BE5">
      <w:pPr>
        <w:pStyle w:val="NoSpacing"/>
        <w:numPr>
          <w:ilvl w:val="1"/>
          <w:numId w:val="2"/>
        </w:numPr>
      </w:pPr>
      <w:proofErr w:type="spellStart"/>
      <w:r w:rsidRPr="005225D3">
        <w:rPr>
          <w:b/>
        </w:rPr>
        <w:t>Genericization</w:t>
      </w:r>
      <w:proofErr w:type="spellEnd"/>
      <w:r>
        <w:t xml:space="preserve"> (</w:t>
      </w:r>
      <w:proofErr w:type="spellStart"/>
      <w:r>
        <w:t>genericide</w:t>
      </w:r>
      <w:proofErr w:type="spellEnd"/>
      <w:r>
        <w:t>): Loss of distinctiveness due to primary meaning of TM becoming the product/service itself rather than indication of source</w:t>
      </w:r>
    </w:p>
    <w:p w:rsidR="00AC6BE5" w:rsidRDefault="00AC6BE5" w:rsidP="00AC6BE5">
      <w:pPr>
        <w:pStyle w:val="NoSpacing"/>
        <w:numPr>
          <w:ilvl w:val="2"/>
          <w:numId w:val="2"/>
        </w:numPr>
      </w:pPr>
      <w:r>
        <w:t xml:space="preserve">Example: Escalator (brand of moving staircase), Zipper (brand of clothes fastener); Jell-O, Xerox, Lego aren’t yet, but can complain if public signs are </w:t>
      </w:r>
      <w:proofErr w:type="spellStart"/>
      <w:r>
        <w:t>genericizing</w:t>
      </w:r>
      <w:proofErr w:type="spellEnd"/>
      <w:r>
        <w:t xml:space="preserve"> it</w:t>
      </w:r>
    </w:p>
    <w:p w:rsidR="00AC6BE5" w:rsidRPr="00E37A30" w:rsidRDefault="00AC6BE5" w:rsidP="00AC6BE5">
      <w:pPr>
        <w:pStyle w:val="NoSpacing"/>
        <w:numPr>
          <w:ilvl w:val="2"/>
          <w:numId w:val="2"/>
        </w:numPr>
      </w:pPr>
      <w:r>
        <w:t xml:space="preserve">Based on jurisdiction (e.g. aspirin has been </w:t>
      </w:r>
      <w:proofErr w:type="spellStart"/>
      <w:r>
        <w:t>genericized</w:t>
      </w:r>
      <w:proofErr w:type="spellEnd"/>
      <w:r>
        <w:t xml:space="preserve"> in US, but not in Canada)</w:t>
      </w:r>
    </w:p>
    <w:p w:rsidR="00AC6BE5" w:rsidRDefault="00AC6BE5" w:rsidP="00AC6BE5">
      <w:pPr>
        <w:pStyle w:val="Heading4"/>
      </w:pPr>
      <w:bookmarkStart w:id="6" w:name="_Toc405051821"/>
      <w:r>
        <w:t>Bojangles’ International v Bojangles Café (2006) FC Trial Div</w:t>
      </w:r>
      <w:bookmarkEnd w:id="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lang w:eastAsia="en-CA"/>
              </w:rPr>
            </w:pPr>
            <w:r w:rsidRPr="00E72B7A">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lang w:eastAsia="en-CA"/>
              </w:rPr>
            </w:pPr>
            <w:r>
              <w:rPr>
                <w:lang w:eastAsia="en-CA"/>
              </w:rPr>
              <w:t>P operates restaurants in US, not Canada. D has two cafes in Vancouver. P sued D for having similar types of food, utensils, containers, and other similar services. Board found P’s mark in Canada not sufficient to negate the distinctiveness of D’s mark. P’s mark not well known in east Can.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lang w:eastAsia="en-CA"/>
              </w:rPr>
            </w:pPr>
            <w:r>
              <w:rPr>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lang w:eastAsia="en-CA"/>
              </w:rPr>
            </w:pPr>
            <w:r>
              <w:rPr>
                <w:lang w:eastAsia="en-CA"/>
              </w:rPr>
              <w:t>To what extent does a mark need to be known in Can to negate the distinctiveness of another mark?</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lang w:eastAsia="en-CA"/>
              </w:rPr>
            </w:pPr>
            <w:r w:rsidRPr="00E72B7A">
              <w:rPr>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lang w:eastAsia="en-CA"/>
              </w:rPr>
            </w:pPr>
            <w:r>
              <w:rPr>
                <w:lang w:eastAsia="en-CA"/>
              </w:rPr>
              <w:t xml:space="preserve">- P trying to prove that Can tourists have visited their locations or been in proximity of the </w:t>
            </w:r>
            <w:proofErr w:type="spellStart"/>
            <w:r>
              <w:rPr>
                <w:lang w:eastAsia="en-CA"/>
              </w:rPr>
              <w:t>Bojangles</w:t>
            </w:r>
            <w:proofErr w:type="spellEnd"/>
            <w:r>
              <w:rPr>
                <w:lang w:eastAsia="en-CA"/>
              </w:rPr>
              <w:t xml:space="preserve"> name/logo/familiarity; 7.8% Canadians were aware of P’s mark</w:t>
            </w:r>
          </w:p>
          <w:p w:rsidR="00AC6BE5" w:rsidRPr="00E72B7A" w:rsidRDefault="00AC6BE5" w:rsidP="00F70A9F">
            <w:pPr>
              <w:pStyle w:val="NoSpacing"/>
              <w:rPr>
                <w:lang w:eastAsia="en-CA"/>
              </w:rPr>
            </w:pPr>
            <w:r>
              <w:rPr>
                <w:lang w:eastAsia="en-CA"/>
              </w:rPr>
              <w:t>- Correctness standard doesn’t apply to the affidavits P secured</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lang w:eastAsia="en-CA"/>
              </w:rPr>
            </w:pPr>
            <w:r w:rsidRPr="00E72B7A">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lang w:eastAsia="en-CA"/>
              </w:rPr>
            </w:pPr>
            <w:r w:rsidRPr="00700280">
              <w:rPr>
                <w:highlight w:val="yellow"/>
                <w:lang w:eastAsia="en-CA"/>
              </w:rPr>
              <w:t xml:space="preserve">Need to prove that the </w:t>
            </w:r>
            <w:r w:rsidRPr="00285D38">
              <w:rPr>
                <w:b/>
                <w:highlight w:val="yellow"/>
                <w:lang w:eastAsia="en-CA"/>
              </w:rPr>
              <w:t>foreign mark</w:t>
            </w:r>
            <w:r w:rsidRPr="00700280">
              <w:rPr>
                <w:highlight w:val="yellow"/>
                <w:lang w:eastAsia="en-CA"/>
              </w:rPr>
              <w:t xml:space="preserve"> is known “to some extent at least”, with </w:t>
            </w:r>
            <w:r w:rsidRPr="00F70A9F">
              <w:rPr>
                <w:highlight w:val="yellow"/>
                <w:u w:val="single"/>
                <w:lang w:eastAsia="en-CA"/>
              </w:rPr>
              <w:t>a substantial, significant, or sufficient reputation</w:t>
            </w:r>
            <w:r w:rsidRPr="00700280">
              <w:rPr>
                <w:highlight w:val="yellow"/>
                <w:lang w:eastAsia="en-CA"/>
              </w:rPr>
              <w:t>.</w:t>
            </w:r>
          </w:p>
        </w:tc>
      </w:tr>
    </w:tbl>
    <w:p w:rsidR="00AC6BE5" w:rsidRDefault="00AC6BE5" w:rsidP="00AC6BE5">
      <w:pPr>
        <w:pStyle w:val="Heading2"/>
      </w:pPr>
      <w:bookmarkStart w:id="7" w:name="_Toc405051822"/>
      <w:r>
        <w:t>3.0 Use</w:t>
      </w:r>
      <w:bookmarkEnd w:id="7"/>
    </w:p>
    <w:p w:rsidR="00AC6BE5" w:rsidRDefault="00AC6BE5" w:rsidP="00AC6BE5">
      <w:pPr>
        <w:pStyle w:val="NoSpacing"/>
        <w:numPr>
          <w:ilvl w:val="0"/>
          <w:numId w:val="3"/>
        </w:numPr>
      </w:pPr>
      <w:r>
        <w:rPr>
          <w:color w:val="ED7D31" w:themeColor="accent2"/>
        </w:rPr>
        <w:t xml:space="preserve">S. 2 </w:t>
      </w:r>
      <w:r>
        <w:t xml:space="preserve">defines </w:t>
      </w:r>
      <w:r w:rsidRPr="001F3146">
        <w:rPr>
          <w:b/>
        </w:rPr>
        <w:t>use</w:t>
      </w:r>
      <w:r w:rsidRPr="00734B12">
        <w:t xml:space="preserve"> as “any use that by </w:t>
      </w:r>
      <w:r w:rsidRPr="00F70A9F">
        <w:rPr>
          <w:color w:val="ED7D31" w:themeColor="accent2"/>
        </w:rPr>
        <w:t xml:space="preserve">s. 4 </w:t>
      </w:r>
      <w:r w:rsidRPr="00734B12">
        <w:t>is deemed to be a use in association with wares or services”</w:t>
      </w:r>
    </w:p>
    <w:p w:rsidR="00F70A9F" w:rsidRDefault="00F70A9F" w:rsidP="00F70A9F">
      <w:pPr>
        <w:pStyle w:val="NoSpacing"/>
        <w:numPr>
          <w:ilvl w:val="0"/>
          <w:numId w:val="3"/>
        </w:numPr>
      </w:pPr>
      <w:r w:rsidRPr="00F70A9F">
        <w:t>Use</w:t>
      </w:r>
      <w:r>
        <w:t xml:space="preserve"> underpins statutory and CL trademark rights; therefore stopped use = loss of rights usually</w:t>
      </w:r>
    </w:p>
    <w:p w:rsidR="00F70A9F" w:rsidRPr="00734B12" w:rsidRDefault="00F70A9F" w:rsidP="00F70A9F">
      <w:pPr>
        <w:pStyle w:val="NoSpacing"/>
        <w:numPr>
          <w:ilvl w:val="1"/>
          <w:numId w:val="3"/>
        </w:numPr>
      </w:pPr>
      <w:r>
        <w:t>Haven’t begun use = no rights usually</w:t>
      </w:r>
    </w:p>
    <w:p w:rsidR="00AC6BE5" w:rsidRDefault="00805220" w:rsidP="00AC6BE5">
      <w:pPr>
        <w:pStyle w:val="NoSpacing"/>
        <w:numPr>
          <w:ilvl w:val="0"/>
          <w:numId w:val="3"/>
        </w:numPr>
      </w:pPr>
      <w:r>
        <w:t>Use i</w:t>
      </w:r>
      <w:r w:rsidR="00AC6BE5">
        <w:t>mportant to register a mark, to preserve registration, to establish entitlement to registration against others</w:t>
      </w:r>
    </w:p>
    <w:p w:rsidR="00AC6BE5" w:rsidRDefault="00AC6BE5" w:rsidP="00AC6BE5">
      <w:pPr>
        <w:pStyle w:val="NoSpacing"/>
        <w:numPr>
          <w:ilvl w:val="0"/>
          <w:numId w:val="3"/>
        </w:numPr>
      </w:pPr>
      <w:r>
        <w:rPr>
          <w:color w:val="ED7D31" w:themeColor="accent2"/>
        </w:rPr>
        <w:t>S. 4</w:t>
      </w:r>
      <w:r w:rsidRPr="001F3146">
        <w:rPr>
          <w:color w:val="ED7D31" w:themeColor="accent2"/>
        </w:rPr>
        <w:t>(1)</w:t>
      </w:r>
      <w:r>
        <w:t>: TM deemed to be used if “marked on wares themselves or on the packages in which they’re distributed”</w:t>
      </w:r>
    </w:p>
    <w:p w:rsidR="00AC6BE5" w:rsidRDefault="00AC6BE5" w:rsidP="00AC6BE5">
      <w:pPr>
        <w:pStyle w:val="NoSpacing"/>
        <w:numPr>
          <w:ilvl w:val="1"/>
          <w:numId w:val="3"/>
        </w:numPr>
      </w:pPr>
      <w:r>
        <w:t>Or it is in any other manner so associated with the wares (e.g. Gore-Tex, Black &amp; Decker flashlights)</w:t>
      </w:r>
    </w:p>
    <w:p w:rsidR="00AC6BE5" w:rsidRDefault="00AC6BE5" w:rsidP="00AC6BE5">
      <w:pPr>
        <w:pStyle w:val="NoSpacing"/>
        <w:numPr>
          <w:ilvl w:val="1"/>
          <w:numId w:val="3"/>
        </w:numPr>
      </w:pPr>
      <w:r>
        <w:t xml:space="preserve">Marked on wares at time of transfer (e.g. preinstalled computer software; </w:t>
      </w:r>
      <w:r>
        <w:rPr>
          <w:i/>
        </w:rPr>
        <w:t>BMB</w:t>
      </w:r>
      <w:r>
        <w:t xml:space="preserve">), or in normal course of trade (e.g. samples, </w:t>
      </w:r>
      <w:proofErr w:type="spellStart"/>
      <w:r>
        <w:rPr>
          <w:i/>
        </w:rPr>
        <w:t>Siscoe</w:t>
      </w:r>
      <w:proofErr w:type="spellEnd"/>
      <w:r>
        <w:t xml:space="preserve">; test marketing, </w:t>
      </w:r>
      <w:r w:rsidRPr="001F3146">
        <w:rPr>
          <w:i/>
        </w:rPr>
        <w:t>Grants of St. James</w:t>
      </w:r>
      <w:r>
        <w:t xml:space="preserve">; single sale, </w:t>
      </w:r>
      <w:proofErr w:type="spellStart"/>
      <w:r w:rsidRPr="001F3146">
        <w:rPr>
          <w:i/>
        </w:rPr>
        <w:t>Saft-Societe</w:t>
      </w:r>
      <w:proofErr w:type="spellEnd"/>
      <w:r>
        <w:t>)</w:t>
      </w:r>
    </w:p>
    <w:p w:rsidR="00AC6BE5" w:rsidRDefault="00AC6BE5" w:rsidP="00AC6BE5">
      <w:pPr>
        <w:pStyle w:val="Heading4"/>
      </w:pPr>
      <w:bookmarkStart w:id="8" w:name="_Toc405051823"/>
      <w:r>
        <w:t>~BMB Compuscience Ltd v Bramalea Ltd (1988) FC Trial Div</w:t>
      </w:r>
      <w:bookmarkEnd w:id="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P had developed </w:t>
            </w:r>
            <w:proofErr w:type="spellStart"/>
            <w:r>
              <w:rPr>
                <w:rFonts w:ascii="Calibri" w:eastAsia="Times New Roman" w:hAnsi="Calibri" w:cs="Times New Roman"/>
                <w:lang w:eastAsia="en-CA"/>
              </w:rPr>
              <w:t>netmail</w:t>
            </w:r>
            <w:proofErr w:type="spellEnd"/>
            <w:r>
              <w:rPr>
                <w:rFonts w:ascii="Calibri" w:eastAsia="Times New Roman" w:hAnsi="Calibri" w:cs="Times New Roman"/>
                <w:lang w:eastAsia="en-CA"/>
              </w:rPr>
              <w:t xml:space="preserve"> both as a product name and as an access code for users of the software. Simultaneously, D applied for a TM for </w:t>
            </w:r>
            <w:proofErr w:type="spellStart"/>
            <w:r>
              <w:rPr>
                <w:rFonts w:ascii="Calibri" w:eastAsia="Times New Roman" w:hAnsi="Calibri" w:cs="Times New Roman"/>
                <w:lang w:eastAsia="en-CA"/>
              </w:rPr>
              <w:t>netmail</w:t>
            </w:r>
            <w:proofErr w:type="spellEnd"/>
            <w:r>
              <w:rPr>
                <w:rFonts w:ascii="Calibri" w:eastAsia="Times New Roman" w:hAnsi="Calibri" w:cs="Times New Roman"/>
                <w:lang w:eastAsia="en-CA"/>
              </w:rPr>
              <w:t xml:space="preserve"> for its own electronic mailing software.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lastRenderedPageBreak/>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What constitutes use of a TM on a computer product?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P used the TM in summer 1984 when it demonstrated the software and then sold the wares to George Weston Ltd</w:t>
            </w:r>
            <w:r w:rsidR="00285D38">
              <w:rPr>
                <w:rFonts w:ascii="Calibri" w:eastAsia="Times New Roman" w:hAnsi="Calibri" w:cs="Times New Roman"/>
                <w:lang w:eastAsia="en-CA"/>
              </w:rPr>
              <w:t>; was considered prior usage of “</w:t>
            </w:r>
            <w:proofErr w:type="spellStart"/>
            <w:r w:rsidR="00285D38">
              <w:rPr>
                <w:rFonts w:ascii="Calibri" w:eastAsia="Times New Roman" w:hAnsi="Calibri" w:cs="Times New Roman"/>
                <w:lang w:eastAsia="en-CA"/>
              </w:rPr>
              <w:t>netmail</w:t>
            </w:r>
            <w:proofErr w:type="spellEnd"/>
            <w:r w:rsidR="00285D38">
              <w:rPr>
                <w:rFonts w:ascii="Calibri" w:eastAsia="Times New Roman" w:hAnsi="Calibri" w:cs="Times New Roman"/>
                <w:lang w:eastAsia="en-CA"/>
              </w:rPr>
              <w:t>” by P</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D9027A">
              <w:rPr>
                <w:highlight w:val="yellow"/>
              </w:rPr>
              <w:t>Display of TM to a prospective purchaser before and after sale</w:t>
            </w:r>
            <w:r>
              <w:rPr>
                <w:highlight w:val="yellow"/>
              </w:rPr>
              <w:t xml:space="preserve"> constitutes adequate</w:t>
            </w:r>
            <w:r w:rsidRPr="00D9027A">
              <w:rPr>
                <w:highlight w:val="yellow"/>
              </w:rPr>
              <w:t xml:space="preserve"> TM usage due to practical difficulty of requiring each copy of a software program to be physically labeled.</w:t>
            </w:r>
          </w:p>
        </w:tc>
      </w:tr>
    </w:tbl>
    <w:p w:rsidR="00AC6BE5" w:rsidRDefault="00AC6BE5" w:rsidP="00AC6BE5">
      <w:pPr>
        <w:pStyle w:val="Heading4"/>
      </w:pPr>
      <w:bookmarkStart w:id="9" w:name="_Toc405051824"/>
      <w:r>
        <w:t>~Siscoe Vermiculite Mines v Munn &amp; Steele (1959) Exchequer Ct</w:t>
      </w:r>
      <w:bookmarkEnd w:id="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285D38" w:rsidP="00285D38">
            <w:pPr>
              <w:pStyle w:val="NoSpacing"/>
              <w:rPr>
                <w:rFonts w:ascii="Calibri" w:eastAsia="Times New Roman" w:hAnsi="Calibri" w:cs="Times New Roman"/>
                <w:lang w:eastAsia="en-CA"/>
              </w:rPr>
            </w:pPr>
            <w:r>
              <w:rPr>
                <w:rFonts w:ascii="Calibri" w:eastAsia="Times New Roman" w:hAnsi="Calibri" w:cs="Times New Roman"/>
                <w:lang w:eastAsia="en-CA"/>
              </w:rPr>
              <w:t xml:space="preserve">D forwarded to P </w:t>
            </w:r>
            <w:r w:rsidR="00AC6BE5">
              <w:rPr>
                <w:rFonts w:ascii="Calibri" w:eastAsia="Times New Roman" w:hAnsi="Calibri" w:cs="Times New Roman"/>
                <w:lang w:eastAsia="en-CA"/>
              </w:rPr>
              <w:t>a sampl</w:t>
            </w:r>
            <w:r>
              <w:rPr>
                <w:rFonts w:ascii="Calibri" w:eastAsia="Times New Roman" w:hAnsi="Calibri" w:cs="Times New Roman"/>
                <w:lang w:eastAsia="en-CA"/>
              </w:rPr>
              <w:t xml:space="preserve">e </w:t>
            </w:r>
            <w:r w:rsidR="00AC6BE5">
              <w:rPr>
                <w:rFonts w:ascii="Calibri" w:eastAsia="Times New Roman" w:hAnsi="Calibri" w:cs="Times New Roman"/>
                <w:lang w:eastAsia="en-CA"/>
              </w:rPr>
              <w:t>marked with</w:t>
            </w:r>
            <w:r>
              <w:rPr>
                <w:rFonts w:ascii="Calibri" w:eastAsia="Times New Roman" w:hAnsi="Calibri" w:cs="Times New Roman"/>
                <w:lang w:eastAsia="en-CA"/>
              </w:rPr>
              <w:t xml:space="preserve"> “MICAFIL”. No sale</w:t>
            </w:r>
            <w:r w:rsidR="00AC6BE5">
              <w:rPr>
                <w:rFonts w:ascii="Calibri" w:eastAsia="Times New Roman" w:hAnsi="Calibri" w:cs="Times New Roman"/>
                <w:lang w:eastAsia="en-CA"/>
              </w:rPr>
              <w:t>. D’s registration expunged.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285D38">
              <w:rPr>
                <w:rFonts w:ascii="Calibri" w:eastAsia="Times New Roman" w:hAnsi="Calibri" w:cs="Times New Roman"/>
                <w:b/>
                <w:highlight w:val="yellow"/>
                <w:lang w:eastAsia="en-CA"/>
              </w:rPr>
              <w:t>Delivery of samples</w:t>
            </w:r>
            <w:r w:rsidRPr="005F7E4A">
              <w:rPr>
                <w:rFonts w:ascii="Calibri" w:eastAsia="Times New Roman" w:hAnsi="Calibri" w:cs="Times New Roman"/>
                <w:highlight w:val="yellow"/>
                <w:lang w:eastAsia="en-CA"/>
              </w:rPr>
              <w:t xml:space="preserve"> of a product does not constitute use of that product.</w:t>
            </w:r>
          </w:p>
        </w:tc>
      </w:tr>
    </w:tbl>
    <w:p w:rsidR="00AC6BE5" w:rsidRDefault="00AC6BE5" w:rsidP="00AC6BE5">
      <w:pPr>
        <w:pStyle w:val="Heading4"/>
      </w:pPr>
      <w:bookmarkStart w:id="10" w:name="_Toc405051825"/>
      <w:r>
        <w:t>~Grant of St. James Ltd v Andres Wines Ltd (1969) Registrar of TM</w:t>
      </w:r>
      <w:bookmarkEnd w:id="1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5F7E4A">
              <w:rPr>
                <w:rFonts w:ascii="Calibri" w:eastAsia="Times New Roman" w:hAnsi="Calibri" w:cs="Times New Roman"/>
                <w:highlight w:val="yellow"/>
                <w:lang w:eastAsia="en-CA"/>
              </w:rPr>
              <w:t xml:space="preserve">Two isolated shipments </w:t>
            </w:r>
            <w:r w:rsidR="00285D38">
              <w:rPr>
                <w:rFonts w:ascii="Calibri" w:eastAsia="Times New Roman" w:hAnsi="Calibri" w:cs="Times New Roman"/>
                <w:highlight w:val="yellow"/>
                <w:lang w:eastAsia="en-CA"/>
              </w:rPr>
              <w:t xml:space="preserve">for </w:t>
            </w:r>
            <w:r w:rsidR="00285D38" w:rsidRPr="00285D38">
              <w:rPr>
                <w:rFonts w:ascii="Calibri" w:eastAsia="Times New Roman" w:hAnsi="Calibri" w:cs="Times New Roman"/>
                <w:b/>
                <w:highlight w:val="yellow"/>
                <w:lang w:eastAsia="en-CA"/>
              </w:rPr>
              <w:t>test marketing</w:t>
            </w:r>
            <w:r w:rsidR="00285D38">
              <w:rPr>
                <w:rFonts w:ascii="Calibri" w:eastAsia="Times New Roman" w:hAnsi="Calibri" w:cs="Times New Roman"/>
                <w:highlight w:val="yellow"/>
                <w:lang w:eastAsia="en-CA"/>
              </w:rPr>
              <w:t xml:space="preserve"> </w:t>
            </w:r>
            <w:r w:rsidRPr="005F7E4A">
              <w:rPr>
                <w:rFonts w:ascii="Calibri" w:eastAsia="Times New Roman" w:hAnsi="Calibri" w:cs="Times New Roman"/>
                <w:highlight w:val="yellow"/>
                <w:lang w:eastAsia="en-CA"/>
              </w:rPr>
              <w:t>do not constitute use of the mark.</w:t>
            </w:r>
          </w:p>
        </w:tc>
      </w:tr>
    </w:tbl>
    <w:p w:rsidR="00AC6BE5" w:rsidRDefault="00AC6BE5" w:rsidP="00AC6BE5">
      <w:pPr>
        <w:pStyle w:val="Heading4"/>
      </w:pPr>
      <w:bookmarkStart w:id="11" w:name="_Toc405051826"/>
      <w:r>
        <w:t>~Saft-Societe v Charles le Borgne (1975) FC Trial Div</w:t>
      </w:r>
      <w:bookmarkEnd w:id="1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5F7E4A">
              <w:rPr>
                <w:rFonts w:ascii="Calibri" w:eastAsia="Times New Roman" w:hAnsi="Calibri" w:cs="Times New Roman"/>
                <w:highlight w:val="yellow"/>
                <w:lang w:eastAsia="en-CA"/>
              </w:rPr>
              <w:t xml:space="preserve">A </w:t>
            </w:r>
            <w:r w:rsidRPr="00285D38">
              <w:rPr>
                <w:rFonts w:ascii="Calibri" w:eastAsia="Times New Roman" w:hAnsi="Calibri" w:cs="Times New Roman"/>
                <w:b/>
                <w:highlight w:val="yellow"/>
                <w:lang w:eastAsia="en-CA"/>
              </w:rPr>
              <w:t>single sale</w:t>
            </w:r>
            <w:r w:rsidRPr="005F7E4A">
              <w:rPr>
                <w:rFonts w:ascii="Calibri" w:eastAsia="Times New Roman" w:hAnsi="Calibri" w:cs="Times New Roman"/>
                <w:highlight w:val="yellow"/>
                <w:lang w:eastAsia="en-CA"/>
              </w:rPr>
              <w:t xml:space="preserve"> does not constitute a distribution of wares or of the mark since it does not serve to make the mark known.</w:t>
            </w:r>
          </w:p>
        </w:tc>
      </w:tr>
    </w:tbl>
    <w:p w:rsidR="00AC6BE5" w:rsidRDefault="00AC6BE5" w:rsidP="00AC6BE5">
      <w:pPr>
        <w:pStyle w:val="NoSpacing"/>
        <w:numPr>
          <w:ilvl w:val="0"/>
          <w:numId w:val="3"/>
        </w:numPr>
      </w:pPr>
      <w:r>
        <w:t>Sale must be made in Canada</w:t>
      </w:r>
    </w:p>
    <w:p w:rsidR="00AC6BE5" w:rsidRDefault="00AC6BE5" w:rsidP="00AC6BE5">
      <w:pPr>
        <w:pStyle w:val="NoSpacing"/>
        <w:numPr>
          <w:ilvl w:val="0"/>
          <w:numId w:val="3"/>
        </w:numPr>
      </w:pPr>
      <w:r w:rsidRPr="00113D09">
        <w:rPr>
          <w:color w:val="ED7D31" w:themeColor="accent2"/>
        </w:rPr>
        <w:t xml:space="preserve">S. 4(2) </w:t>
      </w:r>
      <w:r>
        <w:t xml:space="preserve">on </w:t>
      </w:r>
      <w:r w:rsidRPr="000020F6">
        <w:rPr>
          <w:u w:val="single"/>
        </w:rPr>
        <w:t xml:space="preserve">use </w:t>
      </w:r>
      <w:r>
        <w:rPr>
          <w:u w:val="single"/>
        </w:rPr>
        <w:t xml:space="preserve">of TM </w:t>
      </w:r>
      <w:r w:rsidRPr="000020F6">
        <w:rPr>
          <w:u w:val="single"/>
        </w:rPr>
        <w:t>with services</w:t>
      </w:r>
      <w:r>
        <w:t>: If used or displayed in the performance or advertising of such services</w:t>
      </w:r>
    </w:p>
    <w:p w:rsidR="00AC6BE5" w:rsidRDefault="00AC6BE5" w:rsidP="00AC6BE5">
      <w:pPr>
        <w:pStyle w:val="Heading4"/>
      </w:pPr>
      <w:bookmarkStart w:id="12" w:name="_Toc405051827"/>
      <w:r>
        <w:t>HomeAway.com Inc v Hrdlicka (2012) FC Trial Div</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 is a US company that advertises vacation rental services online, including in Canada.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What is “use” by means of computer screen display? Is advertising of services on Internet </w:t>
            </w:r>
            <w:proofErr w:type="gramStart"/>
            <w:r>
              <w:rPr>
                <w:rFonts w:ascii="Calibri" w:eastAsia="Times New Roman" w:hAnsi="Calibri" w:cs="Times New Roman"/>
                <w:lang w:eastAsia="en-CA"/>
              </w:rPr>
              <w:t>a</w:t>
            </w:r>
            <w:proofErr w:type="gramEnd"/>
            <w:r>
              <w:rPr>
                <w:rFonts w:ascii="Calibri" w:eastAsia="Times New Roman" w:hAnsi="Calibri" w:cs="Times New Roman"/>
                <w:lang w:eastAsia="en-CA"/>
              </w:rPr>
              <w:t xml:space="preserve"> </w:t>
            </w:r>
            <w:r w:rsidRPr="00285D38">
              <w:rPr>
                <w:rFonts w:ascii="Calibri" w:eastAsia="Times New Roman" w:hAnsi="Calibri" w:cs="Times New Roman"/>
                <w:color w:val="ED7D31" w:themeColor="accent2"/>
                <w:lang w:eastAsia="en-CA"/>
              </w:rPr>
              <w:t xml:space="preserve">s. 4 </w:t>
            </w:r>
            <w:r>
              <w:rPr>
                <w:rFonts w:ascii="Calibri" w:eastAsia="Times New Roman" w:hAnsi="Calibri" w:cs="Times New Roman"/>
                <w:lang w:eastAsia="en-CA"/>
              </w:rPr>
              <w:t>use?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80067A">
              <w:rPr>
                <w:rFonts w:ascii="Calibri" w:eastAsia="Times New Roman" w:hAnsi="Calibri" w:cs="Times New Roman"/>
                <w:highlight w:val="yellow"/>
                <w:lang w:eastAsia="en-CA"/>
              </w:rPr>
              <w:t xml:space="preserve">Computer information stored in one country can be said to exist in another. A </w:t>
            </w:r>
            <w:r w:rsidRPr="00285D38">
              <w:rPr>
                <w:rFonts w:ascii="Calibri" w:eastAsia="Times New Roman" w:hAnsi="Calibri" w:cs="Times New Roman"/>
                <w:highlight w:val="yellow"/>
                <w:u w:val="single"/>
                <w:lang w:eastAsia="en-CA"/>
              </w:rPr>
              <w:t>TM appearing on a website on a screen</w:t>
            </w:r>
            <w:r w:rsidRPr="0080067A">
              <w:rPr>
                <w:rFonts w:ascii="Calibri" w:eastAsia="Times New Roman" w:hAnsi="Calibri" w:cs="Times New Roman"/>
                <w:highlight w:val="yellow"/>
                <w:lang w:eastAsia="en-CA"/>
              </w:rPr>
              <w:t xml:space="preserve"> in Canada, regardless of where the info may have originated from or be stored, constitutes (for </w:t>
            </w:r>
            <w:r w:rsidRPr="00285D38">
              <w:rPr>
                <w:rFonts w:ascii="Calibri" w:eastAsia="Times New Roman" w:hAnsi="Calibri" w:cs="Times New Roman"/>
                <w:i/>
                <w:color w:val="FF0000"/>
                <w:highlight w:val="yellow"/>
                <w:lang w:eastAsia="en-CA"/>
              </w:rPr>
              <w:t>Trade-Marks Act</w:t>
            </w:r>
            <w:r w:rsidRPr="00285D38">
              <w:rPr>
                <w:rFonts w:ascii="Calibri" w:eastAsia="Times New Roman" w:hAnsi="Calibri" w:cs="Times New Roman"/>
                <w:color w:val="FF0000"/>
                <w:highlight w:val="yellow"/>
                <w:lang w:eastAsia="en-CA"/>
              </w:rPr>
              <w:t xml:space="preserve"> </w:t>
            </w:r>
            <w:r w:rsidRPr="0080067A">
              <w:rPr>
                <w:rFonts w:ascii="Calibri" w:eastAsia="Times New Roman" w:hAnsi="Calibri" w:cs="Times New Roman"/>
                <w:highlight w:val="yellow"/>
                <w:lang w:eastAsia="en-CA"/>
              </w:rPr>
              <w:t>purposes) use and advertising in Canada.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Registration expunged.</w:t>
            </w:r>
          </w:p>
        </w:tc>
      </w:tr>
    </w:tbl>
    <w:p w:rsidR="00AC6BE5" w:rsidRDefault="00AC6BE5" w:rsidP="00AC6BE5">
      <w:pPr>
        <w:pStyle w:val="Heading4"/>
      </w:pPr>
      <w:bookmarkStart w:id="13" w:name="_Toc405051828"/>
      <w:r>
        <w:t>~Porter v Don the Beachcomber (1966) Exchequer Ct</w:t>
      </w:r>
      <w:bookmarkEnd w:id="1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P/A; D/R. TM “Don the Beachcomber” was registered since it had been “made known” in Canada in association with serving of food and beverages in restaurants.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285D38" w:rsidP="00285D38">
            <w:pPr>
              <w:pStyle w:val="NoSpacing"/>
              <w:rPr>
                <w:rFonts w:ascii="Calibri" w:eastAsia="Times New Roman" w:hAnsi="Calibri" w:cs="Times New Roman"/>
                <w:lang w:eastAsia="en-CA"/>
              </w:rPr>
            </w:pPr>
            <w:r>
              <w:rPr>
                <w:rFonts w:ascii="Calibri" w:eastAsia="Times New Roman" w:hAnsi="Calibri" w:cs="Times New Roman"/>
                <w:lang w:eastAsia="en-CA"/>
              </w:rPr>
              <w:t>Is advertising TM in Can (w/o physical performance in Can of</w:t>
            </w:r>
            <w:r w:rsidR="00AC6BE5">
              <w:rPr>
                <w:rFonts w:ascii="Calibri" w:eastAsia="Times New Roman" w:hAnsi="Calibri" w:cs="Times New Roman"/>
                <w:lang w:eastAsia="en-CA"/>
              </w:rPr>
              <w:t xml:space="preserve"> services </w:t>
            </w:r>
            <w:r>
              <w:rPr>
                <w:rFonts w:ascii="Calibri" w:eastAsia="Times New Roman" w:hAnsi="Calibri" w:cs="Times New Roman"/>
                <w:lang w:eastAsia="en-CA"/>
              </w:rPr>
              <w:t>advertised) “</w:t>
            </w:r>
            <w:r w:rsidR="00AC6BE5">
              <w:rPr>
                <w:rFonts w:ascii="Calibri" w:eastAsia="Times New Roman" w:hAnsi="Calibri" w:cs="Times New Roman"/>
                <w:lang w:eastAsia="en-CA"/>
              </w:rPr>
              <w:t>use</w:t>
            </w:r>
            <w:r>
              <w:rPr>
                <w:rFonts w:ascii="Calibri" w:eastAsia="Times New Roman" w:hAnsi="Calibri" w:cs="Times New Roman"/>
                <w:lang w:eastAsia="en-CA"/>
              </w:rPr>
              <w:t>”</w:t>
            </w:r>
            <w:r w:rsidR="00AC6BE5">
              <w:rPr>
                <w:rFonts w:ascii="Calibri" w:eastAsia="Times New Roman" w:hAnsi="Calibri" w:cs="Times New Roman"/>
                <w:lang w:eastAsia="en-CA"/>
              </w:rPr>
              <w:t xml:space="preserve"> in Canada?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80067A">
              <w:rPr>
                <w:rFonts w:ascii="Calibri" w:eastAsia="Times New Roman" w:hAnsi="Calibri" w:cs="Times New Roman"/>
                <w:highlight w:val="yellow"/>
                <w:lang w:eastAsia="en-CA"/>
              </w:rPr>
              <w:t>“Use” of a TM in Canada requires both (a) services distinguished by the TM performed in Canada, and (b) use or display of the TM in Canada in the performance or advertising of the services.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US restaurant advertising in Canada is not “use”. Must have actual services in Canada.</w:t>
            </w:r>
          </w:p>
        </w:tc>
      </w:tr>
    </w:tbl>
    <w:p w:rsidR="00AC6BE5" w:rsidRDefault="00AC6BE5" w:rsidP="00AC6BE5">
      <w:pPr>
        <w:pStyle w:val="Heading4"/>
      </w:pPr>
      <w:bookmarkStart w:id="14" w:name="_Toc405051829"/>
      <w:r>
        <w:t>Saks v Registrar of Trade Marks (1989) FC Trial Div</w:t>
      </w:r>
      <w:bookmarkEnd w:id="1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 appeals the decision of D to expunge the registration of “SAKS FIFTH AVENUE”.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285D38" w:rsidP="00F70A9F">
            <w:pPr>
              <w:pStyle w:val="NoSpacing"/>
              <w:rPr>
                <w:rFonts w:ascii="Calibri" w:eastAsia="Times New Roman" w:hAnsi="Calibri" w:cs="Times New Roman"/>
                <w:lang w:eastAsia="en-CA"/>
              </w:rPr>
            </w:pPr>
            <w:r>
              <w:rPr>
                <w:rFonts w:ascii="Calibri" w:eastAsia="Times New Roman" w:hAnsi="Calibri" w:cs="Times New Roman"/>
                <w:lang w:eastAsia="en-CA"/>
              </w:rPr>
              <w:t>Is advertising TM in Can (w/o physical performance in Can of services advertised) “use” in Canada?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80067A">
              <w:rPr>
                <w:rFonts w:ascii="Calibri" w:eastAsia="Times New Roman" w:hAnsi="Calibri" w:cs="Times New Roman"/>
                <w:highlight w:val="yellow"/>
                <w:lang w:eastAsia="en-CA"/>
              </w:rPr>
              <w:t xml:space="preserve">If all documents and materials issued by a US company carry the TM, then </w:t>
            </w:r>
            <w:r w:rsidRPr="00285D38">
              <w:rPr>
                <w:rFonts w:ascii="Calibri" w:eastAsia="Times New Roman" w:hAnsi="Calibri" w:cs="Times New Roman"/>
                <w:highlight w:val="yellow"/>
                <w:u w:val="single"/>
                <w:lang w:eastAsia="en-CA"/>
              </w:rPr>
              <w:t>sending these documents to Canada to advertise</w:t>
            </w:r>
            <w:r w:rsidRPr="0080067A">
              <w:rPr>
                <w:rFonts w:ascii="Calibri" w:eastAsia="Times New Roman" w:hAnsi="Calibri" w:cs="Times New Roman"/>
                <w:highlight w:val="yellow"/>
                <w:lang w:eastAsia="en-CA"/>
              </w:rPr>
              <w:t xml:space="preserve"> the wares counts as a service.</w:t>
            </w:r>
          </w:p>
        </w:tc>
      </w:tr>
    </w:tbl>
    <w:p w:rsidR="00AC6BE5" w:rsidRDefault="00AC6BE5" w:rsidP="00AC6BE5">
      <w:pPr>
        <w:pStyle w:val="NoSpacing"/>
        <w:numPr>
          <w:ilvl w:val="0"/>
          <w:numId w:val="3"/>
        </w:numPr>
      </w:pPr>
      <w:r w:rsidRPr="00113D09">
        <w:rPr>
          <w:color w:val="ED7D31" w:themeColor="accent2"/>
        </w:rPr>
        <w:t xml:space="preserve">S. 4(3) </w:t>
      </w:r>
      <w:r>
        <w:t xml:space="preserve">on </w:t>
      </w:r>
      <w:r w:rsidRPr="00285D38">
        <w:rPr>
          <w:b/>
        </w:rPr>
        <w:t>exported wares</w:t>
      </w:r>
      <w:r>
        <w:t>: A TM marked in Canada on wares or on packages within which they’re contained is, when such wares are exported from Canada, deemed to be used in association with such wares</w:t>
      </w:r>
    </w:p>
    <w:p w:rsidR="00AC6BE5" w:rsidRDefault="00AC6BE5" w:rsidP="00AC6BE5">
      <w:pPr>
        <w:pStyle w:val="Heading2"/>
      </w:pPr>
      <w:bookmarkStart w:id="15" w:name="_Toc405051830"/>
      <w:r>
        <w:t>4.0 Entitlement to Register</w:t>
      </w:r>
      <w:bookmarkEnd w:id="15"/>
    </w:p>
    <w:p w:rsidR="00AC6BE5" w:rsidRDefault="00AC6BE5" w:rsidP="00AC6BE5">
      <w:pPr>
        <w:pStyle w:val="NoSpacing"/>
        <w:numPr>
          <w:ilvl w:val="0"/>
          <w:numId w:val="4"/>
        </w:numPr>
      </w:pPr>
      <w:r>
        <w:t>Some advantages of TM registration:</w:t>
      </w:r>
    </w:p>
    <w:p w:rsidR="00AC6BE5" w:rsidRDefault="00AC6BE5" w:rsidP="00AC6BE5">
      <w:pPr>
        <w:pStyle w:val="NoSpacing"/>
        <w:numPr>
          <w:ilvl w:val="1"/>
          <w:numId w:val="4"/>
        </w:numPr>
      </w:pPr>
      <w:r>
        <w:t>Easier to enforce than an unregistered TM</w:t>
      </w:r>
    </w:p>
    <w:p w:rsidR="00AC6BE5" w:rsidRDefault="00AC6BE5" w:rsidP="00AC6BE5">
      <w:pPr>
        <w:pStyle w:val="NoSpacing"/>
        <w:numPr>
          <w:ilvl w:val="1"/>
          <w:numId w:val="4"/>
        </w:numPr>
      </w:pPr>
      <w:r>
        <w:lastRenderedPageBreak/>
        <w:t>National protection</w:t>
      </w:r>
    </w:p>
    <w:p w:rsidR="00AC6BE5" w:rsidRDefault="00AC6BE5" w:rsidP="00AC6BE5">
      <w:pPr>
        <w:pStyle w:val="NoSpacing"/>
        <w:numPr>
          <w:ilvl w:val="1"/>
          <w:numId w:val="4"/>
        </w:numPr>
      </w:pPr>
      <w:r w:rsidRPr="00112103">
        <w:rPr>
          <w:u w:val="single"/>
        </w:rPr>
        <w:t>Presumption of ownership</w:t>
      </w:r>
      <w:r>
        <w:t>: Onus on challenger to disprove that ownership</w:t>
      </w:r>
    </w:p>
    <w:p w:rsidR="00AC6BE5" w:rsidRDefault="00AC6BE5" w:rsidP="00AC6BE5">
      <w:pPr>
        <w:pStyle w:val="NoSpacing"/>
        <w:numPr>
          <w:ilvl w:val="1"/>
          <w:numId w:val="4"/>
        </w:numPr>
      </w:pPr>
      <w:r>
        <w:t>Easily identifiable asset for licensing, assignments</w:t>
      </w:r>
    </w:p>
    <w:p w:rsidR="00AC6BE5" w:rsidRDefault="00AC6BE5" w:rsidP="00AC6BE5">
      <w:pPr>
        <w:pStyle w:val="NoSpacing"/>
        <w:numPr>
          <w:ilvl w:val="1"/>
          <w:numId w:val="4"/>
        </w:numPr>
      </w:pPr>
      <w:r>
        <w:t>Deter others from adopting confusing TM</w:t>
      </w:r>
    </w:p>
    <w:p w:rsidR="00AC6BE5" w:rsidRDefault="00AC6BE5" w:rsidP="00AC6BE5">
      <w:pPr>
        <w:pStyle w:val="NoSpacing"/>
        <w:numPr>
          <w:ilvl w:val="1"/>
          <w:numId w:val="4"/>
        </w:numPr>
      </w:pPr>
      <w:r>
        <w:t>Required for international registration</w:t>
      </w:r>
    </w:p>
    <w:p w:rsidR="00AC6BE5" w:rsidRDefault="00AC6BE5" w:rsidP="00805220">
      <w:pPr>
        <w:pStyle w:val="NoSpacing"/>
        <w:numPr>
          <w:ilvl w:val="1"/>
          <w:numId w:val="4"/>
        </w:numPr>
      </w:pPr>
      <w:r w:rsidRPr="00112103">
        <w:rPr>
          <w:b/>
        </w:rPr>
        <w:t>Limited incontestability</w:t>
      </w:r>
      <w:r w:rsidR="00805220">
        <w:t xml:space="preserve"> after 5 years of registration (</w:t>
      </w:r>
      <w:r w:rsidRPr="00112103">
        <w:rPr>
          <w:color w:val="ED7D31" w:themeColor="accent2"/>
        </w:rPr>
        <w:t>S. 17(2)</w:t>
      </w:r>
      <w:r w:rsidR="00805220">
        <w:t xml:space="preserve">): </w:t>
      </w:r>
      <w:r>
        <w:t>Some immunity</w:t>
      </w:r>
      <w:r w:rsidR="00805220">
        <w:t xml:space="preserve"> against anyone who comes </w:t>
      </w:r>
      <w:r>
        <w:t>later (A) and claims that they used the TM (unregistered) befor</w:t>
      </w:r>
      <w:r w:rsidR="00805220">
        <w:t>e B (who registered the mark)</w:t>
      </w:r>
    </w:p>
    <w:p w:rsidR="00AC6BE5" w:rsidRDefault="00AC6BE5" w:rsidP="00AC6BE5">
      <w:pPr>
        <w:pStyle w:val="NoSpacing"/>
        <w:numPr>
          <w:ilvl w:val="2"/>
          <w:numId w:val="4"/>
        </w:numPr>
      </w:pPr>
      <w:r>
        <w:t>After 5 years, the previous user A cannot expunge B’s registration based on prior use</w:t>
      </w:r>
    </w:p>
    <w:p w:rsidR="00AC6BE5" w:rsidRDefault="00AC6BE5" w:rsidP="00AC6BE5">
      <w:pPr>
        <w:pStyle w:val="NoSpacing"/>
        <w:numPr>
          <w:ilvl w:val="2"/>
          <w:numId w:val="4"/>
        </w:numPr>
      </w:pPr>
      <w:r>
        <w:t>Before 5 years, the previous user A can apply to expunge B’s registration based on prior use</w:t>
      </w:r>
    </w:p>
    <w:p w:rsidR="00AC6BE5" w:rsidRDefault="00AC6BE5" w:rsidP="00AC6BE5">
      <w:pPr>
        <w:pStyle w:val="NoSpacing"/>
        <w:numPr>
          <w:ilvl w:val="1"/>
          <w:numId w:val="4"/>
        </w:numPr>
      </w:pPr>
      <w:r>
        <w:t xml:space="preserve">Six month </w:t>
      </w:r>
      <w:r w:rsidRPr="00310FD6">
        <w:rPr>
          <w:b/>
        </w:rPr>
        <w:t>Convention priority</w:t>
      </w:r>
      <w:r>
        <w:t xml:space="preserve"> claim – </w:t>
      </w:r>
      <w:r w:rsidRPr="00112103">
        <w:rPr>
          <w:color w:val="ED7D31" w:themeColor="accent2"/>
        </w:rPr>
        <w:t>S. 34</w:t>
      </w:r>
    </w:p>
    <w:p w:rsidR="00AC6BE5" w:rsidRDefault="00AC6BE5" w:rsidP="00AC6BE5">
      <w:pPr>
        <w:pStyle w:val="NoSpacing"/>
        <w:numPr>
          <w:ilvl w:val="2"/>
          <w:numId w:val="4"/>
        </w:numPr>
      </w:pPr>
      <w:r>
        <w:t>Example: A files in Canada on Jan 1 2014. B files in US on Feb 1 2014. A files in US on Jun 30 2014, claiming Convention priority to Canadian filing date of Jan 1 2014. Therefore in US, A’s application is senior to B’s application.</w:t>
      </w:r>
    </w:p>
    <w:p w:rsidR="00AC6BE5" w:rsidRDefault="00AC6BE5" w:rsidP="00AC6BE5">
      <w:pPr>
        <w:pStyle w:val="NoSpacing"/>
        <w:numPr>
          <w:ilvl w:val="0"/>
          <w:numId w:val="4"/>
        </w:numPr>
      </w:pPr>
      <w:r w:rsidRPr="00310FD6">
        <w:rPr>
          <w:b/>
        </w:rPr>
        <w:t xml:space="preserve">Term </w:t>
      </w:r>
      <w:r>
        <w:t>for TM begins at registration, not at filing date</w:t>
      </w:r>
    </w:p>
    <w:p w:rsidR="00AC6BE5" w:rsidRDefault="00AC6BE5" w:rsidP="00AC6BE5">
      <w:pPr>
        <w:pStyle w:val="NoSpacing"/>
        <w:numPr>
          <w:ilvl w:val="0"/>
          <w:numId w:val="4"/>
        </w:numPr>
      </w:pPr>
      <w:r>
        <w:t>Trademark application procedure:</w:t>
      </w:r>
    </w:p>
    <w:p w:rsidR="00AC6BE5" w:rsidRDefault="00AC6BE5" w:rsidP="00AC6BE5">
      <w:pPr>
        <w:pStyle w:val="NoSpacing"/>
        <w:numPr>
          <w:ilvl w:val="1"/>
          <w:numId w:val="4"/>
        </w:numPr>
      </w:pPr>
      <w:r>
        <w:t>1) Select a TM</w:t>
      </w:r>
    </w:p>
    <w:p w:rsidR="00AC6BE5" w:rsidRDefault="00AC6BE5" w:rsidP="00AC6BE5">
      <w:pPr>
        <w:pStyle w:val="NoSpacing"/>
        <w:numPr>
          <w:ilvl w:val="1"/>
          <w:numId w:val="4"/>
        </w:numPr>
      </w:pPr>
      <w:r>
        <w:t>2) Conduct a search (optional)</w:t>
      </w:r>
    </w:p>
    <w:p w:rsidR="00AC6BE5" w:rsidRDefault="00AC6BE5" w:rsidP="00AC6BE5">
      <w:pPr>
        <w:pStyle w:val="NoSpacing"/>
        <w:numPr>
          <w:ilvl w:val="1"/>
          <w:numId w:val="4"/>
        </w:numPr>
      </w:pPr>
      <w:r>
        <w:t>3) File TM application</w:t>
      </w:r>
    </w:p>
    <w:p w:rsidR="00AC6BE5" w:rsidRDefault="00AC6BE5" w:rsidP="00AC6BE5">
      <w:pPr>
        <w:pStyle w:val="NoSpacing"/>
        <w:numPr>
          <w:ilvl w:val="2"/>
          <w:numId w:val="4"/>
        </w:numPr>
      </w:pPr>
      <w:r w:rsidRPr="00310FD6">
        <w:rPr>
          <w:color w:val="ED7D31" w:themeColor="accent2"/>
        </w:rPr>
        <w:t>S. 16</w:t>
      </w:r>
      <w:r>
        <w:t xml:space="preserve">: </w:t>
      </w:r>
      <w:r w:rsidRPr="00310FD6">
        <w:rPr>
          <w:u w:val="single"/>
        </w:rPr>
        <w:t>Grounds for filing</w:t>
      </w:r>
      <w:r>
        <w:t xml:space="preserve"> application:</w:t>
      </w:r>
    </w:p>
    <w:p w:rsidR="00AC6BE5" w:rsidRDefault="00AC6BE5" w:rsidP="00AC6BE5">
      <w:pPr>
        <w:pStyle w:val="NoSpacing"/>
        <w:numPr>
          <w:ilvl w:val="3"/>
          <w:numId w:val="4"/>
        </w:numPr>
      </w:pPr>
      <w:r>
        <w:t xml:space="preserve">A) Used in Canada – </w:t>
      </w:r>
      <w:r w:rsidRPr="00310FD6">
        <w:rPr>
          <w:color w:val="ED7D31" w:themeColor="accent2"/>
        </w:rPr>
        <w:t>s. 16(1)</w:t>
      </w:r>
    </w:p>
    <w:p w:rsidR="00AC6BE5" w:rsidRDefault="00AC6BE5" w:rsidP="00AC6BE5">
      <w:pPr>
        <w:pStyle w:val="NoSpacing"/>
        <w:numPr>
          <w:ilvl w:val="3"/>
          <w:numId w:val="4"/>
        </w:numPr>
      </w:pPr>
      <w:r>
        <w:t>B) “</w:t>
      </w:r>
      <w:r w:rsidRPr="00805220">
        <w:rPr>
          <w:b/>
        </w:rPr>
        <w:t>Made known</w:t>
      </w:r>
      <w:r>
        <w:t xml:space="preserve">” in Canada (e.g. US ads spilling over) – </w:t>
      </w:r>
      <w:r w:rsidRPr="00310FD6">
        <w:rPr>
          <w:color w:val="ED7D31" w:themeColor="accent2"/>
        </w:rPr>
        <w:t xml:space="preserve">s. 16(1) </w:t>
      </w:r>
      <w:r>
        <w:t xml:space="preserve">and </w:t>
      </w:r>
      <w:r w:rsidRPr="00310FD6">
        <w:rPr>
          <w:color w:val="ED7D31" w:themeColor="accent2"/>
        </w:rPr>
        <w:t>s. 5</w:t>
      </w:r>
    </w:p>
    <w:p w:rsidR="00AC6BE5" w:rsidRDefault="00AC6BE5" w:rsidP="00AC6BE5">
      <w:pPr>
        <w:pStyle w:val="NoSpacing"/>
        <w:numPr>
          <w:ilvl w:val="3"/>
          <w:numId w:val="4"/>
        </w:numPr>
      </w:pPr>
      <w:r>
        <w:t xml:space="preserve">C) Registered and used abroad – </w:t>
      </w:r>
      <w:r w:rsidRPr="00310FD6">
        <w:rPr>
          <w:color w:val="ED7D31" w:themeColor="accent2"/>
        </w:rPr>
        <w:t>s. 16(2)</w:t>
      </w:r>
      <w:r>
        <w:t>, OR</w:t>
      </w:r>
    </w:p>
    <w:p w:rsidR="00AC6BE5" w:rsidRDefault="00AC6BE5" w:rsidP="00AC6BE5">
      <w:pPr>
        <w:pStyle w:val="NoSpacing"/>
        <w:numPr>
          <w:ilvl w:val="3"/>
          <w:numId w:val="4"/>
        </w:numPr>
      </w:pPr>
      <w:r>
        <w:t xml:space="preserve">D) Proposed use – </w:t>
      </w:r>
      <w:r w:rsidRPr="00310FD6">
        <w:rPr>
          <w:color w:val="ED7D31" w:themeColor="accent2"/>
        </w:rPr>
        <w:t>s. 16(3)</w:t>
      </w:r>
    </w:p>
    <w:p w:rsidR="00AC6BE5" w:rsidRDefault="00AC6BE5" w:rsidP="00805220">
      <w:pPr>
        <w:pStyle w:val="NoSpacing"/>
        <w:numPr>
          <w:ilvl w:val="1"/>
          <w:numId w:val="4"/>
        </w:numPr>
      </w:pPr>
      <w:r>
        <w:t>4) Examination</w:t>
      </w:r>
      <w:r w:rsidR="00805220">
        <w:t xml:space="preserve"> – </w:t>
      </w:r>
      <w:r w:rsidRPr="00805220">
        <w:rPr>
          <w:color w:val="ED7D31" w:themeColor="accent2"/>
        </w:rPr>
        <w:t>S. 37(1)</w:t>
      </w:r>
      <w:r w:rsidR="00805220">
        <w:t>: Examiners’ duties</w:t>
      </w:r>
    </w:p>
    <w:p w:rsidR="00AC6BE5" w:rsidRDefault="00AC6BE5" w:rsidP="00AC6BE5">
      <w:pPr>
        <w:pStyle w:val="NoSpacing"/>
        <w:numPr>
          <w:ilvl w:val="3"/>
          <w:numId w:val="4"/>
        </w:numPr>
      </w:pPr>
      <w:r w:rsidRPr="00C64287">
        <w:t xml:space="preserve">A) </w:t>
      </w:r>
      <w:r>
        <w:t>Check formalities (</w:t>
      </w:r>
      <w:r w:rsidRPr="00310FD6">
        <w:rPr>
          <w:color w:val="ED7D31" w:themeColor="accent2"/>
        </w:rPr>
        <w:t>s. 30</w:t>
      </w:r>
      <w:r>
        <w:t>)</w:t>
      </w:r>
    </w:p>
    <w:p w:rsidR="00AC6BE5" w:rsidRDefault="00AC6BE5" w:rsidP="00AC6BE5">
      <w:pPr>
        <w:pStyle w:val="NoSpacing"/>
        <w:numPr>
          <w:ilvl w:val="3"/>
          <w:numId w:val="4"/>
        </w:numPr>
      </w:pPr>
      <w:r>
        <w:t>B) Check registrability (</w:t>
      </w:r>
      <w:r w:rsidRPr="00310FD6">
        <w:rPr>
          <w:color w:val="ED7D31" w:themeColor="accent2"/>
        </w:rPr>
        <w:t>s. 12</w:t>
      </w:r>
      <w:r>
        <w:t xml:space="preserve">) </w:t>
      </w:r>
    </w:p>
    <w:p w:rsidR="00AC6BE5" w:rsidRDefault="00AC6BE5" w:rsidP="00AC6BE5">
      <w:pPr>
        <w:pStyle w:val="NoSpacing"/>
        <w:numPr>
          <w:ilvl w:val="3"/>
          <w:numId w:val="4"/>
        </w:numPr>
      </w:pPr>
      <w:r>
        <w:t>C) Check confusion with previously-filed pending applications</w:t>
      </w:r>
    </w:p>
    <w:p w:rsidR="00AC6BE5" w:rsidRDefault="00AC6BE5" w:rsidP="00AC6BE5">
      <w:pPr>
        <w:pStyle w:val="NoSpacing"/>
        <w:numPr>
          <w:ilvl w:val="2"/>
          <w:numId w:val="4"/>
        </w:numPr>
      </w:pPr>
      <w:r>
        <w:t xml:space="preserve">If Examiner has objections, sends an </w:t>
      </w:r>
      <w:r w:rsidRPr="00805220">
        <w:rPr>
          <w:u w:val="single"/>
        </w:rPr>
        <w:t>Examiner’s Report</w:t>
      </w:r>
      <w:r>
        <w:t xml:space="preserve"> back to the applicant</w:t>
      </w:r>
    </w:p>
    <w:p w:rsidR="00AC6BE5" w:rsidRDefault="00AC6BE5" w:rsidP="00AC6BE5">
      <w:pPr>
        <w:pStyle w:val="NoSpacing"/>
        <w:numPr>
          <w:ilvl w:val="1"/>
          <w:numId w:val="4"/>
        </w:numPr>
      </w:pPr>
      <w:r>
        <w:t xml:space="preserve">5) Approval for publication in </w:t>
      </w:r>
      <w:r w:rsidRPr="00310FD6">
        <w:rPr>
          <w:b/>
        </w:rPr>
        <w:t>Trademarks Journal</w:t>
      </w:r>
    </w:p>
    <w:p w:rsidR="00AC6BE5" w:rsidRDefault="00AC6BE5" w:rsidP="00AC6BE5">
      <w:pPr>
        <w:pStyle w:val="NoSpacing"/>
        <w:numPr>
          <w:ilvl w:val="1"/>
          <w:numId w:val="4"/>
        </w:numPr>
      </w:pPr>
      <w:r>
        <w:t>6) Publication in Trademarks Journal</w:t>
      </w:r>
    </w:p>
    <w:p w:rsidR="00AC6BE5" w:rsidRDefault="00AC6BE5" w:rsidP="00AC6BE5">
      <w:pPr>
        <w:pStyle w:val="NoSpacing"/>
        <w:numPr>
          <w:ilvl w:val="2"/>
          <w:numId w:val="4"/>
        </w:numPr>
      </w:pPr>
      <w:r>
        <w:t>Oppositions can happen; grounds for</w:t>
      </w:r>
      <w:r w:rsidR="00805220">
        <w:t xml:space="preserve"> those</w:t>
      </w:r>
      <w:r>
        <w:t xml:space="preserve"> found in </w:t>
      </w:r>
      <w:r w:rsidRPr="00310FD6">
        <w:rPr>
          <w:color w:val="ED7D31" w:themeColor="accent2"/>
        </w:rPr>
        <w:t>s. 38(2)</w:t>
      </w:r>
      <w:r>
        <w:t>:</w:t>
      </w:r>
    </w:p>
    <w:p w:rsidR="00AC6BE5" w:rsidRDefault="00AC6BE5" w:rsidP="00AC6BE5">
      <w:pPr>
        <w:pStyle w:val="NoSpacing"/>
        <w:numPr>
          <w:ilvl w:val="3"/>
          <w:numId w:val="4"/>
        </w:numPr>
      </w:pPr>
      <w:r>
        <w:t xml:space="preserve">A) Non-compliance with </w:t>
      </w:r>
      <w:r w:rsidRPr="00310FD6">
        <w:rPr>
          <w:color w:val="ED7D31" w:themeColor="accent2"/>
        </w:rPr>
        <w:t>s. 30</w:t>
      </w:r>
    </w:p>
    <w:p w:rsidR="00AC6BE5" w:rsidRDefault="00AC6BE5" w:rsidP="00AC6BE5">
      <w:pPr>
        <w:pStyle w:val="NoSpacing"/>
        <w:numPr>
          <w:ilvl w:val="3"/>
          <w:numId w:val="4"/>
        </w:numPr>
      </w:pPr>
      <w:r>
        <w:t xml:space="preserve">B) Non-compliance with </w:t>
      </w:r>
      <w:r w:rsidRPr="00310FD6">
        <w:rPr>
          <w:color w:val="ED7D31" w:themeColor="accent2"/>
        </w:rPr>
        <w:t>s. 12</w:t>
      </w:r>
    </w:p>
    <w:p w:rsidR="00AC6BE5" w:rsidRDefault="00AC6BE5" w:rsidP="00AC6BE5">
      <w:pPr>
        <w:pStyle w:val="NoSpacing"/>
        <w:numPr>
          <w:ilvl w:val="3"/>
          <w:numId w:val="4"/>
        </w:numPr>
      </w:pPr>
      <w:r>
        <w:t>C) Not entitled person (</w:t>
      </w:r>
      <w:r w:rsidRPr="00310FD6">
        <w:rPr>
          <w:color w:val="ED7D31" w:themeColor="accent2"/>
        </w:rPr>
        <w:t>s. 16</w:t>
      </w:r>
      <w:r>
        <w:t>)</w:t>
      </w:r>
    </w:p>
    <w:p w:rsidR="00AC6BE5" w:rsidRDefault="00AC6BE5" w:rsidP="00AC6BE5">
      <w:pPr>
        <w:pStyle w:val="NoSpacing"/>
        <w:numPr>
          <w:ilvl w:val="3"/>
          <w:numId w:val="4"/>
        </w:numPr>
      </w:pPr>
      <w:r>
        <w:t>D) Not distinctive (</w:t>
      </w:r>
      <w:r w:rsidRPr="00310FD6">
        <w:rPr>
          <w:color w:val="ED7D31" w:themeColor="accent2"/>
        </w:rPr>
        <w:t>s. 2</w:t>
      </w:r>
      <w:r>
        <w:t>)</w:t>
      </w:r>
    </w:p>
    <w:p w:rsidR="00AC6BE5" w:rsidRDefault="00AC6BE5" w:rsidP="00AC6BE5">
      <w:pPr>
        <w:pStyle w:val="NoSpacing"/>
        <w:numPr>
          <w:ilvl w:val="1"/>
          <w:numId w:val="4"/>
        </w:numPr>
      </w:pPr>
      <w:r>
        <w:t>7) Allowance</w:t>
      </w:r>
    </w:p>
    <w:p w:rsidR="00AC6BE5" w:rsidRDefault="00AC6BE5" w:rsidP="00AC6BE5">
      <w:pPr>
        <w:pStyle w:val="NoSpacing"/>
        <w:numPr>
          <w:ilvl w:val="1"/>
          <w:numId w:val="4"/>
        </w:numPr>
      </w:pPr>
      <w:r>
        <w:t>8) File declaration of use (if “intent to use”)</w:t>
      </w:r>
    </w:p>
    <w:p w:rsidR="00AC6BE5" w:rsidRDefault="00AC6BE5" w:rsidP="00AC6BE5">
      <w:pPr>
        <w:pStyle w:val="NoSpacing"/>
        <w:numPr>
          <w:ilvl w:val="1"/>
          <w:numId w:val="4"/>
        </w:numPr>
      </w:pPr>
      <w:r>
        <w:t>9) Pay registration fee</w:t>
      </w:r>
    </w:p>
    <w:p w:rsidR="00AC6BE5" w:rsidRDefault="00AC6BE5" w:rsidP="00AC6BE5">
      <w:pPr>
        <w:pStyle w:val="NoSpacing"/>
        <w:numPr>
          <w:ilvl w:val="1"/>
          <w:numId w:val="4"/>
        </w:numPr>
      </w:pPr>
      <w:r>
        <w:t>10) Registration!</w:t>
      </w:r>
    </w:p>
    <w:p w:rsidR="00AC6BE5" w:rsidRDefault="00AC6BE5" w:rsidP="00AC6BE5">
      <w:pPr>
        <w:pStyle w:val="NoSpacing"/>
        <w:numPr>
          <w:ilvl w:val="1"/>
          <w:numId w:val="4"/>
        </w:numPr>
      </w:pPr>
      <w:r>
        <w:t>11) Renew registration every 15 years</w:t>
      </w:r>
    </w:p>
    <w:p w:rsidR="00AC6BE5" w:rsidRDefault="00AC6BE5" w:rsidP="00AC6BE5">
      <w:pPr>
        <w:pStyle w:val="NoSpacing"/>
        <w:numPr>
          <w:ilvl w:val="0"/>
          <w:numId w:val="4"/>
        </w:numPr>
      </w:pPr>
      <w:r>
        <w:t xml:space="preserve">Material dates for determining </w:t>
      </w:r>
      <w:r w:rsidRPr="00310FD6">
        <w:rPr>
          <w:b/>
        </w:rPr>
        <w:t>entitlement</w:t>
      </w:r>
      <w:r>
        <w:t xml:space="preserve"> to register a TM as between competing parties:</w:t>
      </w:r>
    </w:p>
    <w:p w:rsidR="00AC6BE5" w:rsidRDefault="00AC6BE5" w:rsidP="00AC6BE5">
      <w:pPr>
        <w:pStyle w:val="NoSpacing"/>
        <w:numPr>
          <w:ilvl w:val="1"/>
          <w:numId w:val="4"/>
        </w:numPr>
      </w:pPr>
      <w:r w:rsidRPr="00C64287">
        <w:rPr>
          <w:color w:val="ED7D31" w:themeColor="accent2"/>
        </w:rPr>
        <w:t xml:space="preserve">S. 16(1) </w:t>
      </w:r>
      <w:r>
        <w:t>– Application based on use or making known: Date of first use or making known</w:t>
      </w:r>
    </w:p>
    <w:p w:rsidR="00AC6BE5" w:rsidRDefault="00AC6BE5" w:rsidP="00AC6BE5">
      <w:pPr>
        <w:pStyle w:val="NoSpacing"/>
        <w:numPr>
          <w:ilvl w:val="1"/>
          <w:numId w:val="4"/>
        </w:numPr>
      </w:pPr>
      <w:r w:rsidRPr="00C64287">
        <w:rPr>
          <w:color w:val="ED7D31" w:themeColor="accent2"/>
        </w:rPr>
        <w:t xml:space="preserve">S. 16(2) </w:t>
      </w:r>
      <w:r>
        <w:t>– Application based on use and registration abroad: Effective filing date (filing or priority date)</w:t>
      </w:r>
    </w:p>
    <w:p w:rsidR="00AC6BE5" w:rsidRDefault="00AC6BE5" w:rsidP="00AC6BE5">
      <w:pPr>
        <w:pStyle w:val="NoSpacing"/>
        <w:numPr>
          <w:ilvl w:val="1"/>
          <w:numId w:val="4"/>
        </w:numPr>
      </w:pPr>
      <w:r w:rsidRPr="00C64287">
        <w:rPr>
          <w:color w:val="ED7D31" w:themeColor="accent2"/>
        </w:rPr>
        <w:t xml:space="preserve">S. 16(3) </w:t>
      </w:r>
      <w:r>
        <w:t>– Application based on intent to use: Effective filing date (filing date or priority date)</w:t>
      </w:r>
    </w:p>
    <w:p w:rsidR="00AC6BE5" w:rsidRDefault="00AC6BE5" w:rsidP="00AC6BE5">
      <w:pPr>
        <w:pStyle w:val="Heading4"/>
      </w:pPr>
      <w:bookmarkStart w:id="16" w:name="_Toc405051831"/>
      <w:r>
        <w:t>Effigi v Canada (AG) (2005) FCA</w:t>
      </w:r>
      <w:bookmarkEnd w:id="1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E filed to register TM “</w:t>
            </w:r>
            <w:proofErr w:type="spellStart"/>
            <w:r>
              <w:rPr>
                <w:rFonts w:ascii="Calibri" w:eastAsia="Times New Roman" w:hAnsi="Calibri" w:cs="Times New Roman"/>
                <w:lang w:eastAsia="en-CA"/>
              </w:rPr>
              <w:t>Maison</w:t>
            </w:r>
            <w:proofErr w:type="spellEnd"/>
            <w:r>
              <w:rPr>
                <w:rFonts w:ascii="Calibri" w:eastAsia="Times New Roman" w:hAnsi="Calibri" w:cs="Times New Roman"/>
                <w:lang w:eastAsia="en-CA"/>
              </w:rPr>
              <w:t xml:space="preserve"> Ungava” on basis of proposed use</w:t>
            </w:r>
            <w:r w:rsidR="000A50DD">
              <w:rPr>
                <w:rFonts w:ascii="Calibri" w:eastAsia="Times New Roman" w:hAnsi="Calibri" w:cs="Times New Roman"/>
                <w:lang w:eastAsia="en-CA"/>
              </w:rPr>
              <w:t xml:space="preserve">. </w:t>
            </w:r>
            <w:r>
              <w:rPr>
                <w:rFonts w:ascii="Calibri" w:eastAsia="Times New Roman" w:hAnsi="Calibri" w:cs="Times New Roman"/>
                <w:lang w:eastAsia="en-CA"/>
              </w:rPr>
              <w:t xml:space="preserve">T filed to register TM “Ungava” on basis of </w:t>
            </w:r>
            <w:r w:rsidR="006C0AA4">
              <w:rPr>
                <w:rFonts w:ascii="Calibri" w:eastAsia="Times New Roman" w:hAnsi="Calibri" w:cs="Times New Roman"/>
                <w:lang w:eastAsia="en-CA"/>
              </w:rPr>
              <w:t xml:space="preserve">prior </w:t>
            </w:r>
            <w:r>
              <w:rPr>
                <w:rFonts w:ascii="Calibri" w:eastAsia="Times New Roman" w:hAnsi="Calibri" w:cs="Times New Roman"/>
                <w:lang w:eastAsia="en-CA"/>
              </w:rPr>
              <w:t xml:space="preserve">use. </w:t>
            </w:r>
            <w:r w:rsidRPr="00C64287">
              <w:rPr>
                <w:rFonts w:ascii="Calibri" w:eastAsia="Times New Roman" w:hAnsi="Calibri" w:cs="Times New Roman"/>
                <w:b/>
                <w:lang w:eastAsia="en-CA"/>
              </w:rPr>
              <w:t>Competing co-pending applications</w:t>
            </w:r>
            <w:r w:rsidR="006C0AA4">
              <w:rPr>
                <w:rFonts w:ascii="Calibri" w:eastAsia="Times New Roman" w:hAnsi="Calibri" w:cs="Times New Roman"/>
                <w:lang w:eastAsia="en-CA"/>
              </w:rPr>
              <w:t>. TM’s</w:t>
            </w:r>
            <w:r>
              <w:rPr>
                <w:rFonts w:ascii="Calibri" w:eastAsia="Times New Roman" w:hAnsi="Calibri" w:cs="Times New Roman"/>
                <w:lang w:eastAsia="en-CA"/>
              </w:rPr>
              <w:t xml:space="preserve"> associat</w:t>
            </w:r>
            <w:r w:rsidR="006C0AA4">
              <w:rPr>
                <w:rFonts w:ascii="Calibri" w:eastAsia="Times New Roman" w:hAnsi="Calibri" w:cs="Times New Roman"/>
                <w:lang w:eastAsia="en-CA"/>
              </w:rPr>
              <w:t xml:space="preserve">ed with the same type of wares. </w:t>
            </w:r>
            <w:r>
              <w:rPr>
                <w:rFonts w:ascii="Calibri" w:eastAsia="Times New Roman" w:hAnsi="Calibri" w:cs="Times New Roman"/>
                <w:lang w:eastAsia="en-CA"/>
              </w:rPr>
              <w:t xml:space="preserve">Registrar refused E’s registration (as per </w:t>
            </w:r>
            <w:r w:rsidRPr="00C64287">
              <w:rPr>
                <w:rFonts w:ascii="Calibri" w:eastAsia="Times New Roman" w:hAnsi="Calibri" w:cs="Times New Roman"/>
                <w:color w:val="ED7D31" w:themeColor="accent2"/>
                <w:lang w:eastAsia="en-CA"/>
              </w:rPr>
              <w:t>s. 37(1)(c)</w:t>
            </w:r>
            <w:r>
              <w:rPr>
                <w:rFonts w:ascii="Calibri" w:eastAsia="Times New Roman" w:hAnsi="Calibri" w:cs="Times New Roman"/>
                <w:lang w:eastAsia="en-CA"/>
              </w:rPr>
              <w:t>) because it was confusing with T’s “Ungava”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6C0AA4"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Can </w:t>
            </w:r>
            <w:proofErr w:type="spellStart"/>
            <w:r>
              <w:rPr>
                <w:rFonts w:ascii="Calibri" w:eastAsia="Times New Roman" w:hAnsi="Calibri" w:cs="Times New Roman"/>
                <w:lang w:eastAsia="en-CA"/>
              </w:rPr>
              <w:t>Reg</w:t>
            </w:r>
            <w:proofErr w:type="spellEnd"/>
            <w:r>
              <w:rPr>
                <w:rFonts w:ascii="Calibri" w:eastAsia="Times New Roman" w:hAnsi="Calibri" w:cs="Times New Roman"/>
                <w:lang w:eastAsia="en-CA"/>
              </w:rPr>
              <w:t xml:space="preserve"> refuse app that’s confusing w/</w:t>
            </w:r>
            <w:r w:rsidR="00AC6BE5">
              <w:rPr>
                <w:rFonts w:ascii="Calibri" w:eastAsia="Times New Roman" w:hAnsi="Calibri" w:cs="Times New Roman"/>
                <w:lang w:eastAsia="en-CA"/>
              </w:rPr>
              <w:t xml:space="preserve"> pending mark </w:t>
            </w:r>
            <w:r>
              <w:rPr>
                <w:rFonts w:ascii="Calibri" w:eastAsia="Times New Roman" w:hAnsi="Calibri" w:cs="Times New Roman"/>
                <w:lang w:eastAsia="en-CA"/>
              </w:rPr>
              <w:t xml:space="preserve">filed subsequently but citing </w:t>
            </w:r>
            <w:r w:rsidR="00AC6BE5">
              <w:rPr>
                <w:rFonts w:ascii="Calibri" w:eastAsia="Times New Roman" w:hAnsi="Calibri" w:cs="Times New Roman"/>
                <w:lang w:eastAsia="en-CA"/>
              </w:rPr>
              <w:t>previous use?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5F1B07">
              <w:rPr>
                <w:rFonts w:ascii="Calibri" w:eastAsia="Times New Roman" w:hAnsi="Calibri" w:cs="Times New Roman"/>
                <w:highlight w:val="yellow"/>
                <w:lang w:eastAsia="en-CA"/>
              </w:rPr>
              <w:t xml:space="preserve">You have to be the first person entitled under </w:t>
            </w:r>
            <w:r w:rsidRPr="005F1B07">
              <w:rPr>
                <w:rFonts w:ascii="Calibri" w:eastAsia="Times New Roman" w:hAnsi="Calibri" w:cs="Times New Roman"/>
                <w:color w:val="ED7D31" w:themeColor="accent2"/>
                <w:highlight w:val="yellow"/>
                <w:lang w:eastAsia="en-CA"/>
              </w:rPr>
              <w:t>s. 37(1</w:t>
            </w:r>
            <w:proofErr w:type="gramStart"/>
            <w:r w:rsidRPr="005F1B07">
              <w:rPr>
                <w:rFonts w:ascii="Calibri" w:eastAsia="Times New Roman" w:hAnsi="Calibri" w:cs="Times New Roman"/>
                <w:color w:val="ED7D31" w:themeColor="accent2"/>
                <w:highlight w:val="yellow"/>
                <w:lang w:eastAsia="en-CA"/>
              </w:rPr>
              <w:t>)(</w:t>
            </w:r>
            <w:proofErr w:type="gramEnd"/>
            <w:r w:rsidRPr="005F1B07">
              <w:rPr>
                <w:rFonts w:ascii="Calibri" w:eastAsia="Times New Roman" w:hAnsi="Calibri" w:cs="Times New Roman"/>
                <w:color w:val="ED7D31" w:themeColor="accent2"/>
                <w:highlight w:val="yellow"/>
                <w:lang w:eastAsia="en-CA"/>
              </w:rPr>
              <w:t>c)</w:t>
            </w:r>
            <w:r w:rsidRPr="005F1B07">
              <w:rPr>
                <w:rFonts w:ascii="Calibri" w:eastAsia="Times New Roman" w:hAnsi="Calibri" w:cs="Times New Roman"/>
                <w:highlight w:val="yellow"/>
                <w:lang w:eastAsia="en-CA"/>
              </w:rPr>
              <w:t>: “first come, first served”.</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Judgment for E (E had no confusing co-pending application when it filed, but T had E’s confusing co-pending app when it filed). Appeal by AG dismissed. T’s alleged prior use can be made the subject of evidence in an opposition to E’s earlier-filed application.</w:t>
            </w:r>
          </w:p>
        </w:tc>
      </w:tr>
    </w:tbl>
    <w:p w:rsidR="00AC6BE5" w:rsidRDefault="00AC6BE5" w:rsidP="00AC6BE5">
      <w:pPr>
        <w:pStyle w:val="Heading2"/>
      </w:pPr>
      <w:bookmarkStart w:id="17" w:name="_Toc405051832"/>
      <w:r>
        <w:t>5.0 Registrability</w:t>
      </w:r>
      <w:bookmarkEnd w:id="17"/>
    </w:p>
    <w:p w:rsidR="00AC6BE5" w:rsidRDefault="00AC6BE5" w:rsidP="00AC6BE5">
      <w:pPr>
        <w:pStyle w:val="NoSpacing"/>
        <w:numPr>
          <w:ilvl w:val="0"/>
          <w:numId w:val="5"/>
        </w:numPr>
      </w:pPr>
      <w:r>
        <w:t xml:space="preserve">Not all marks are registrable: </w:t>
      </w:r>
      <w:r w:rsidRPr="009673BA">
        <w:rPr>
          <w:color w:val="ED7D31" w:themeColor="accent2"/>
        </w:rPr>
        <w:t xml:space="preserve">s. 12(1) </w:t>
      </w:r>
      <w:r>
        <w:t>sets out categories that aren’t</w:t>
      </w:r>
    </w:p>
    <w:p w:rsidR="00AC6BE5" w:rsidRDefault="00AC6BE5" w:rsidP="00AC6BE5">
      <w:pPr>
        <w:pStyle w:val="NoSpacing"/>
        <w:numPr>
          <w:ilvl w:val="1"/>
          <w:numId w:val="5"/>
        </w:numPr>
      </w:pPr>
      <w:r>
        <w:t>C) Name in any language of the wares/services</w:t>
      </w:r>
    </w:p>
    <w:p w:rsidR="00AC6BE5" w:rsidRDefault="00AC6BE5" w:rsidP="00AC6BE5">
      <w:pPr>
        <w:pStyle w:val="NoSpacing"/>
        <w:numPr>
          <w:ilvl w:val="1"/>
          <w:numId w:val="5"/>
        </w:numPr>
      </w:pPr>
      <w:r w:rsidRPr="005F1B07">
        <w:rPr>
          <w:color w:val="ED7D31" w:themeColor="accent2"/>
        </w:rPr>
        <w:t xml:space="preserve">(d) </w:t>
      </w:r>
      <w:r>
        <w:t>Confusing with a registered TM</w:t>
      </w:r>
    </w:p>
    <w:p w:rsidR="00AC6BE5" w:rsidRDefault="00AC6BE5" w:rsidP="00AC6BE5">
      <w:pPr>
        <w:pStyle w:val="NoSpacing"/>
        <w:numPr>
          <w:ilvl w:val="1"/>
          <w:numId w:val="5"/>
        </w:numPr>
      </w:pPr>
      <w:r>
        <w:t xml:space="preserve">E) Marks prohibited by </w:t>
      </w:r>
      <w:r w:rsidRPr="009673BA">
        <w:rPr>
          <w:color w:val="ED7D31" w:themeColor="accent2"/>
        </w:rPr>
        <w:t xml:space="preserve">s. 9 </w:t>
      </w:r>
      <w:r>
        <w:t xml:space="preserve">or </w:t>
      </w:r>
      <w:r w:rsidRPr="009673BA">
        <w:rPr>
          <w:color w:val="ED7D31" w:themeColor="accent2"/>
        </w:rPr>
        <w:t>s. 10</w:t>
      </w:r>
    </w:p>
    <w:p w:rsidR="00AC6BE5" w:rsidRDefault="00AC6BE5" w:rsidP="00AC6BE5">
      <w:pPr>
        <w:pStyle w:val="NoSpacing"/>
        <w:numPr>
          <w:ilvl w:val="0"/>
          <w:numId w:val="5"/>
        </w:numPr>
      </w:pPr>
      <w:r w:rsidRPr="009673BA">
        <w:rPr>
          <w:b/>
        </w:rPr>
        <w:t>Registrability</w:t>
      </w:r>
      <w:r>
        <w:t xml:space="preserve"> may be </w:t>
      </w:r>
      <w:r w:rsidRPr="009673BA">
        <w:rPr>
          <w:u w:val="single"/>
        </w:rPr>
        <w:t>challenged</w:t>
      </w:r>
      <w:r>
        <w:t>:</w:t>
      </w:r>
    </w:p>
    <w:p w:rsidR="00AC6BE5" w:rsidRDefault="00AC6BE5" w:rsidP="00AC6BE5">
      <w:pPr>
        <w:pStyle w:val="NoSpacing"/>
        <w:numPr>
          <w:ilvl w:val="1"/>
          <w:numId w:val="5"/>
        </w:numPr>
      </w:pPr>
      <w:r>
        <w:t>Before registration: During examination (by examiner), during opposition (by competing party)</w:t>
      </w:r>
    </w:p>
    <w:p w:rsidR="00AC6BE5" w:rsidRDefault="00AC6BE5" w:rsidP="00AC6BE5">
      <w:pPr>
        <w:pStyle w:val="NoSpacing"/>
        <w:numPr>
          <w:ilvl w:val="1"/>
          <w:numId w:val="5"/>
        </w:numPr>
      </w:pPr>
      <w:r>
        <w:t xml:space="preserve">After registration: During </w:t>
      </w:r>
      <w:proofErr w:type="spellStart"/>
      <w:r>
        <w:t>expungement</w:t>
      </w:r>
      <w:proofErr w:type="spellEnd"/>
      <w:r>
        <w:t xml:space="preserve"> (by competing party)</w:t>
      </w:r>
    </w:p>
    <w:p w:rsidR="00AC6BE5" w:rsidRDefault="00AC6BE5" w:rsidP="00AC6BE5">
      <w:pPr>
        <w:pStyle w:val="Heading3"/>
      </w:pPr>
      <w:bookmarkStart w:id="18" w:name="_Toc405051833"/>
      <w:r>
        <w:t>5.1 Personal Names – s. 12(1)(a)</w:t>
      </w:r>
      <w:bookmarkEnd w:id="18"/>
    </w:p>
    <w:p w:rsidR="00AC6BE5" w:rsidRDefault="00AC6BE5" w:rsidP="00AC6BE5">
      <w:pPr>
        <w:pStyle w:val="NoSpacing"/>
        <w:numPr>
          <w:ilvl w:val="0"/>
          <w:numId w:val="5"/>
        </w:numPr>
      </w:pPr>
      <w:r w:rsidRPr="009673BA">
        <w:rPr>
          <w:color w:val="ED7D31" w:themeColor="accent2"/>
        </w:rPr>
        <w:t>S. 12(1)(a)</w:t>
      </w:r>
      <w:r>
        <w:t>: Cannot be the full name or surname of a living person or one who has died in the preceding 30 years</w:t>
      </w:r>
    </w:p>
    <w:p w:rsidR="00AC6BE5" w:rsidRDefault="00AC6BE5" w:rsidP="00AC6BE5">
      <w:pPr>
        <w:pStyle w:val="NoSpacing"/>
        <w:numPr>
          <w:ilvl w:val="1"/>
          <w:numId w:val="5"/>
        </w:numPr>
      </w:pPr>
      <w:r>
        <w:t>Full names can’t be registered (not limited to just formal legal names; so includes Pele), except in cases like Calvin Klein, which has acquired tons of distinctiveness over the years</w:t>
      </w:r>
    </w:p>
    <w:p w:rsidR="00AC6BE5" w:rsidRDefault="00AC6BE5" w:rsidP="00AC6BE5">
      <w:pPr>
        <w:pStyle w:val="Heading4"/>
      </w:pPr>
      <w:bookmarkStart w:id="19" w:name="_Toc405051834"/>
      <w:r>
        <w:t>~Gerhard Horn Investments v Registrar of Trade Marks (1983) Ex. Ct.</w:t>
      </w:r>
      <w:bookmarkEnd w:id="1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6C0AA4">
            <w:pPr>
              <w:pStyle w:val="NoSpacing"/>
              <w:rPr>
                <w:rFonts w:ascii="Calibri" w:eastAsia="Times New Roman" w:hAnsi="Calibri" w:cs="Times New Roman"/>
                <w:lang w:eastAsia="en-CA"/>
              </w:rPr>
            </w:pPr>
            <w:r>
              <w:rPr>
                <w:rFonts w:ascii="Calibri" w:eastAsia="Times New Roman" w:hAnsi="Calibri" w:cs="Times New Roman"/>
                <w:lang w:eastAsia="en-CA"/>
              </w:rPr>
              <w:t xml:space="preserve">P applied to register “Marco </w:t>
            </w:r>
            <w:proofErr w:type="spellStart"/>
            <w:r>
              <w:rPr>
                <w:rFonts w:ascii="Calibri" w:eastAsia="Times New Roman" w:hAnsi="Calibri" w:cs="Times New Roman"/>
                <w:lang w:eastAsia="en-CA"/>
              </w:rPr>
              <w:t>Pecci</w:t>
            </w:r>
            <w:proofErr w:type="spellEnd"/>
            <w:r>
              <w:rPr>
                <w:rFonts w:ascii="Calibri" w:eastAsia="Times New Roman" w:hAnsi="Calibri" w:cs="Times New Roman"/>
                <w:lang w:eastAsia="en-CA"/>
              </w:rPr>
              <w:t>” as TM in women’s wear, based on prior use of the mark</w:t>
            </w:r>
            <w:r w:rsidR="006C0AA4">
              <w:rPr>
                <w:rFonts w:ascii="Calibri" w:eastAsia="Times New Roman" w:hAnsi="Calibri" w:cs="Times New Roman"/>
                <w:lang w:eastAsia="en-CA"/>
              </w:rPr>
              <w:t>. Registrar r</w:t>
            </w:r>
            <w:r>
              <w:rPr>
                <w:rFonts w:ascii="Calibri" w:eastAsia="Times New Roman" w:hAnsi="Calibri" w:cs="Times New Roman"/>
                <w:lang w:eastAsia="en-CA"/>
              </w:rPr>
              <w:t xml:space="preserve">ejected per </w:t>
            </w:r>
            <w:r w:rsidRPr="00AD673D">
              <w:rPr>
                <w:rFonts w:ascii="Calibri" w:eastAsia="Times New Roman" w:hAnsi="Calibri" w:cs="Times New Roman"/>
                <w:color w:val="ED7D31" w:themeColor="accent2"/>
                <w:lang w:eastAsia="en-CA"/>
              </w:rPr>
              <w:t xml:space="preserve">s. 12(1)(a) </w:t>
            </w:r>
            <w:r>
              <w:rPr>
                <w:rFonts w:ascii="Calibri" w:eastAsia="Times New Roman" w:hAnsi="Calibri" w:cs="Times New Roman"/>
                <w:lang w:eastAsia="en-CA"/>
              </w:rPr>
              <w:t>since the mark is primarily an individual’s name and consumers can’t distinguish between this fake name and real names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Can the personal name of a fictitious person be registered as a TM?</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Looked at rarity of the surname, and whether the average Canadian with reasonable comprehension of English or French would assume the mark was the name of an individual</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A91426" w:rsidRDefault="00AC6BE5" w:rsidP="00F70A9F">
            <w:pPr>
              <w:pStyle w:val="NoSpacing"/>
              <w:rPr>
                <w:highlight w:val="yellow"/>
              </w:rPr>
            </w:pPr>
            <w:r w:rsidRPr="00A91426">
              <w:rPr>
                <w:highlight w:val="yellow"/>
              </w:rPr>
              <w:t>Two-part Test:</w:t>
            </w:r>
          </w:p>
          <w:p w:rsidR="00AC6BE5" w:rsidRPr="00A91426" w:rsidRDefault="00AC6BE5" w:rsidP="00F70A9F">
            <w:pPr>
              <w:pStyle w:val="NoSpacing"/>
              <w:rPr>
                <w:highlight w:val="yellow"/>
              </w:rPr>
            </w:pPr>
            <w:r w:rsidRPr="00A91426">
              <w:rPr>
                <w:highlight w:val="yellow"/>
              </w:rPr>
              <w:t>1) Determine whether TM is the name of a living person or someone who died in past 30 years</w:t>
            </w:r>
          </w:p>
          <w:p w:rsidR="00AC6BE5" w:rsidRPr="00A91426" w:rsidRDefault="00AC6BE5" w:rsidP="00F70A9F">
            <w:pPr>
              <w:pStyle w:val="NoSpacing"/>
              <w:rPr>
                <w:highlight w:val="yellow"/>
              </w:rPr>
            </w:pPr>
            <w:r w:rsidRPr="00A91426">
              <w:rPr>
                <w:highlight w:val="yellow"/>
              </w:rPr>
              <w:t xml:space="preserve">- If no: Mark is not contrary to </w:t>
            </w:r>
            <w:r w:rsidRPr="00A91426">
              <w:rPr>
                <w:color w:val="ED7D31" w:themeColor="accent2"/>
                <w:highlight w:val="yellow"/>
              </w:rPr>
              <w:t>s. 12(1)(a)</w:t>
            </w:r>
          </w:p>
          <w:p w:rsidR="00AC6BE5" w:rsidRPr="00A91426" w:rsidRDefault="00AC6BE5" w:rsidP="00F70A9F">
            <w:pPr>
              <w:pStyle w:val="NoSpacing"/>
              <w:rPr>
                <w:highlight w:val="yellow"/>
              </w:rPr>
            </w:pPr>
            <w:r w:rsidRPr="00A91426">
              <w:rPr>
                <w:highlight w:val="yellow"/>
              </w:rPr>
              <w:t>2) Is it “primarily merely” a name/userna</w:t>
            </w:r>
            <w:r w:rsidR="006C0AA4">
              <w:rPr>
                <w:highlight w:val="yellow"/>
              </w:rPr>
              <w:t>me?</w:t>
            </w:r>
          </w:p>
          <w:p w:rsidR="00AC6BE5" w:rsidRPr="00A91426" w:rsidRDefault="00AC6BE5" w:rsidP="00F70A9F">
            <w:pPr>
              <w:pStyle w:val="NoSpacing"/>
            </w:pPr>
            <w:r w:rsidRPr="00A91426">
              <w:rPr>
                <w:highlight w:val="yellow"/>
              </w:rPr>
              <w:t>- If no: Go a</w:t>
            </w:r>
            <w:r w:rsidR="006C0AA4">
              <w:rPr>
                <w:highlight w:val="yellow"/>
              </w:rPr>
              <w:t>head with registration of TM</w:t>
            </w:r>
          </w:p>
        </w:tc>
      </w:tr>
    </w:tbl>
    <w:p w:rsidR="00AC6BE5" w:rsidRDefault="00AC6BE5" w:rsidP="00AC6BE5">
      <w:pPr>
        <w:pStyle w:val="Heading4"/>
      </w:pPr>
      <w:bookmarkStart w:id="20" w:name="_Toc405051835"/>
      <w:r>
        <w:t>Registrar of Trade Marks v Coles Book Stores (1972) SCC</w:t>
      </w:r>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 the primary meaning of the word in the mark merely a surname?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Dictionary meaning is “cabbage” but that’s rarely used</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 Coles is not merely a surname but it is </w:t>
            </w:r>
            <w:r w:rsidRPr="00B22582">
              <w:rPr>
                <w:rFonts w:ascii="Calibri" w:eastAsia="Times New Roman" w:hAnsi="Calibri" w:cs="Times New Roman"/>
                <w:b/>
                <w:lang w:eastAsia="en-CA"/>
              </w:rPr>
              <w:t>PRIMARILY merely</w:t>
            </w:r>
            <w:r>
              <w:rPr>
                <w:rFonts w:ascii="Calibri" w:eastAsia="Times New Roman" w:hAnsi="Calibri" w:cs="Times New Roman"/>
                <w:lang w:eastAsia="en-CA"/>
              </w:rPr>
              <w:t xml:space="preserve"> a surname, therefore not registrable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AD673D">
              <w:rPr>
                <w:rFonts w:ascii="Calibri" w:eastAsia="Times New Roman" w:hAnsi="Calibri" w:cs="Times New Roman"/>
                <w:highlight w:val="yellow"/>
                <w:lang w:eastAsia="en-CA"/>
              </w:rPr>
              <w:t>A Canadian of ordinary intelligence and with ordinary education in English or French would respond to the TM “Coles” thinking it a surname more so than as a word with a dictionary meaning.</w:t>
            </w:r>
          </w:p>
        </w:tc>
      </w:tr>
    </w:tbl>
    <w:p w:rsidR="00AC6BE5" w:rsidRDefault="00AC6BE5" w:rsidP="00AC6BE5">
      <w:pPr>
        <w:pStyle w:val="Heading3"/>
      </w:pPr>
      <w:bookmarkStart w:id="21" w:name="_Toc405051836"/>
      <w:r>
        <w:t>5.2 Descriptive Marks – s. 12(1)(b)</w:t>
      </w:r>
      <w:bookmarkEnd w:id="21"/>
    </w:p>
    <w:p w:rsidR="00AC6BE5" w:rsidRDefault="00AC6BE5" w:rsidP="00AC6BE5">
      <w:pPr>
        <w:pStyle w:val="NoSpacing"/>
        <w:numPr>
          <w:ilvl w:val="0"/>
          <w:numId w:val="6"/>
        </w:numPr>
      </w:pPr>
      <w:r w:rsidRPr="00AD673D">
        <w:rPr>
          <w:color w:val="ED7D31" w:themeColor="accent2"/>
        </w:rPr>
        <w:t>S. 12(1)(b)</w:t>
      </w:r>
      <w:r>
        <w:t>: Cannot be a word (whether depicted, written, or sounded) that is clearly descriptive or deceptively misdescriptive (in French or English) of the character/quality of the wares/services</w:t>
      </w:r>
    </w:p>
    <w:p w:rsidR="00AC6BE5" w:rsidRDefault="00AC6BE5" w:rsidP="00AC6BE5">
      <w:pPr>
        <w:pStyle w:val="NoSpacing"/>
        <w:numPr>
          <w:ilvl w:val="1"/>
          <w:numId w:val="6"/>
        </w:numPr>
      </w:pPr>
      <w:r>
        <w:t>“Or sounded” captures corrupted spellings (e.g. KOLD ice cream, CHEEZ, STA-ZON for eyeglass frames)</w:t>
      </w:r>
    </w:p>
    <w:p w:rsidR="00AC6BE5" w:rsidRDefault="00AC6BE5" w:rsidP="00AC6BE5">
      <w:pPr>
        <w:pStyle w:val="NoSpacing"/>
        <w:numPr>
          <w:ilvl w:val="1"/>
          <w:numId w:val="6"/>
        </w:numPr>
      </w:pPr>
      <w:r w:rsidRPr="00AD673D">
        <w:rPr>
          <w:u w:val="single"/>
        </w:rPr>
        <w:t>Policy reasons</w:t>
      </w:r>
      <w:r>
        <w:t>: For clearly descriptive TMs, prevent appropriation by one trader of descriptive words that should be available for all competitors to use</w:t>
      </w:r>
    </w:p>
    <w:p w:rsidR="00AC6BE5" w:rsidRDefault="00AC6BE5" w:rsidP="00AC6BE5">
      <w:pPr>
        <w:pStyle w:val="NoSpacing"/>
        <w:numPr>
          <w:ilvl w:val="2"/>
          <w:numId w:val="6"/>
        </w:numPr>
      </w:pPr>
      <w:r>
        <w:t>And for deceptively misdescriptive TMs, protect consumers from deception</w:t>
      </w:r>
    </w:p>
    <w:p w:rsidR="00AC6BE5" w:rsidRDefault="00AC6BE5" w:rsidP="00AC6BE5">
      <w:pPr>
        <w:pStyle w:val="Heading4"/>
      </w:pPr>
      <w:bookmarkStart w:id="22" w:name="_Toc405051837"/>
      <w:r>
        <w:t>Drackett Co of Canada v American Home Products (1968) FC Trial Div</w:t>
      </w:r>
      <w:bookmarkEnd w:id="2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R tried to register “ONCE-A-WEEK” to be used in association with a floor cleaner.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F440C3" w:rsidP="00F70A9F">
            <w:pPr>
              <w:pStyle w:val="NoSpacing"/>
              <w:rPr>
                <w:rFonts w:ascii="Calibri" w:eastAsia="Times New Roman" w:hAnsi="Calibri" w:cs="Times New Roman"/>
                <w:lang w:eastAsia="en-CA"/>
              </w:rPr>
            </w:pPr>
            <w:r>
              <w:rPr>
                <w:rFonts w:ascii="Calibri" w:eastAsia="Times New Roman" w:hAnsi="Calibri" w:cs="Times New Roman"/>
                <w:lang w:eastAsia="en-CA"/>
              </w:rPr>
              <w:t>Analysis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F440C3" w:rsidP="00F440C3">
            <w:pPr>
              <w:pStyle w:val="NoSpacing"/>
              <w:rPr>
                <w:rFonts w:ascii="Calibri" w:eastAsia="Times New Roman" w:hAnsi="Calibri" w:cs="Times New Roman"/>
                <w:lang w:eastAsia="en-CA"/>
              </w:rPr>
            </w:pPr>
            <w:r>
              <w:rPr>
                <w:rFonts w:ascii="Calibri" w:eastAsia="Times New Roman" w:hAnsi="Calibri" w:cs="Times New Roman"/>
                <w:lang w:eastAsia="en-CA"/>
              </w:rPr>
              <w:t>- Clearly =</w:t>
            </w:r>
            <w:r w:rsidR="00AC6BE5">
              <w:rPr>
                <w:rFonts w:ascii="Calibri" w:eastAsia="Times New Roman" w:hAnsi="Calibri" w:cs="Times New Roman"/>
                <w:lang w:eastAsia="en-CA"/>
              </w:rPr>
              <w:t xml:space="preserve"> “easy </w:t>
            </w:r>
            <w:r>
              <w:rPr>
                <w:rFonts w:ascii="Calibri" w:eastAsia="Times New Roman" w:hAnsi="Calibri" w:cs="Times New Roman"/>
                <w:lang w:eastAsia="en-CA"/>
              </w:rPr>
              <w:t xml:space="preserve">to understand, self-evident, </w:t>
            </w:r>
            <w:r w:rsidR="00AC6BE5">
              <w:rPr>
                <w:rFonts w:ascii="Calibri" w:eastAsia="Times New Roman" w:hAnsi="Calibri" w:cs="Times New Roman"/>
                <w:lang w:eastAsia="en-CA"/>
              </w:rPr>
              <w:t>plain”</w:t>
            </w:r>
            <w:r>
              <w:rPr>
                <w:rFonts w:ascii="Calibri" w:eastAsia="Times New Roman" w:hAnsi="Calibri" w:cs="Times New Roman"/>
                <w:lang w:eastAsia="en-CA"/>
              </w:rPr>
              <w:t>; Character</w:t>
            </w:r>
            <w:r w:rsidR="00AC6BE5">
              <w:rPr>
                <w:rFonts w:ascii="Calibri" w:eastAsia="Times New Roman" w:hAnsi="Calibri" w:cs="Times New Roman"/>
                <w:lang w:eastAsia="en-CA"/>
              </w:rPr>
              <w:t xml:space="preserve"> </w:t>
            </w:r>
            <w:r>
              <w:rPr>
                <w:rFonts w:ascii="Calibri" w:eastAsia="Times New Roman" w:hAnsi="Calibri" w:cs="Times New Roman"/>
                <w:lang w:eastAsia="en-CA"/>
              </w:rPr>
              <w:t xml:space="preserve">= “feature, trait, characteristic of </w:t>
            </w:r>
            <w:proofErr w:type="spellStart"/>
            <w:r>
              <w:rPr>
                <w:rFonts w:ascii="Calibri" w:eastAsia="Times New Roman" w:hAnsi="Calibri" w:cs="Times New Roman"/>
                <w:lang w:eastAsia="en-CA"/>
              </w:rPr>
              <w:t>pd</w:t>
            </w:r>
            <w:r w:rsidR="00AC6BE5">
              <w:rPr>
                <w:rFonts w:ascii="Calibri" w:eastAsia="Times New Roman" w:hAnsi="Calibri" w:cs="Times New Roman"/>
                <w:lang w:eastAsia="en-CA"/>
              </w:rPr>
              <w:t>t</w:t>
            </w:r>
            <w:proofErr w:type="spellEnd"/>
            <w:r w:rsidR="00AC6BE5">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B22582">
              <w:rPr>
                <w:rFonts w:ascii="Calibri" w:eastAsia="Times New Roman" w:hAnsi="Calibri" w:cs="Times New Roman"/>
                <w:highlight w:val="yellow"/>
                <w:lang w:eastAsia="en-CA"/>
              </w:rPr>
              <w:t xml:space="preserve">To determine whether a TM is descriptive, one </w:t>
            </w:r>
            <w:r w:rsidR="00F440C3">
              <w:rPr>
                <w:rFonts w:ascii="Calibri" w:eastAsia="Times New Roman" w:hAnsi="Calibri" w:cs="Times New Roman"/>
                <w:highlight w:val="yellow"/>
                <w:lang w:eastAsia="en-CA"/>
              </w:rPr>
              <w:t xml:space="preserve">needs to ascertain the </w:t>
            </w:r>
            <w:r w:rsidR="00F440C3" w:rsidRPr="00F11380">
              <w:rPr>
                <w:rFonts w:ascii="Calibri" w:eastAsia="Times New Roman" w:hAnsi="Calibri" w:cs="Times New Roman"/>
                <w:b/>
                <w:highlight w:val="yellow"/>
                <w:lang w:eastAsia="en-CA"/>
              </w:rPr>
              <w:t>first</w:t>
            </w:r>
            <w:r w:rsidRPr="00F11380">
              <w:rPr>
                <w:rFonts w:ascii="Calibri" w:eastAsia="Times New Roman" w:hAnsi="Calibri" w:cs="Times New Roman"/>
                <w:b/>
                <w:highlight w:val="yellow"/>
                <w:lang w:eastAsia="en-CA"/>
              </w:rPr>
              <w:t xml:space="preserve"> impression</w:t>
            </w:r>
            <w:r w:rsidRPr="00B22582">
              <w:rPr>
                <w:rFonts w:ascii="Calibri" w:eastAsia="Times New Roman" w:hAnsi="Calibri" w:cs="Times New Roman"/>
                <w:highlight w:val="yellow"/>
                <w:lang w:eastAsia="en-CA"/>
              </w:rPr>
              <w:t xml:space="preserve"> it conveys, not analyse the word(s) involved carefully and critically.</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ONCE-A-WEEK for floor cleaner is clearly descriptive (as per </w:t>
            </w:r>
            <w:r w:rsidRPr="00AD673D">
              <w:rPr>
                <w:rFonts w:ascii="Calibri" w:eastAsia="Times New Roman" w:hAnsi="Calibri" w:cs="Times New Roman"/>
                <w:color w:val="ED7D31" w:themeColor="accent2"/>
                <w:lang w:eastAsia="en-CA"/>
              </w:rPr>
              <w:t>s. 37(2</w:t>
            </w:r>
            <w:proofErr w:type="gramStart"/>
            <w:r w:rsidRPr="00AD673D">
              <w:rPr>
                <w:rFonts w:ascii="Calibri" w:eastAsia="Times New Roman" w:hAnsi="Calibri" w:cs="Times New Roman"/>
                <w:color w:val="ED7D31" w:themeColor="accent2"/>
                <w:lang w:eastAsia="en-CA"/>
              </w:rPr>
              <w:t>)(</w:t>
            </w:r>
            <w:proofErr w:type="gramEnd"/>
            <w:r w:rsidRPr="00AD673D">
              <w:rPr>
                <w:rFonts w:ascii="Calibri" w:eastAsia="Times New Roman" w:hAnsi="Calibri" w:cs="Times New Roman"/>
                <w:color w:val="ED7D31" w:themeColor="accent2"/>
                <w:lang w:eastAsia="en-CA"/>
              </w:rPr>
              <w:t>b</w:t>
            </w:r>
            <w:r>
              <w:rPr>
                <w:rFonts w:ascii="Calibri" w:eastAsia="Times New Roman" w:hAnsi="Calibri" w:cs="Times New Roman"/>
                <w:color w:val="ED7D31" w:themeColor="accent2"/>
                <w:lang w:eastAsia="en-CA"/>
              </w:rPr>
              <w:t>)</w:t>
            </w:r>
            <w:r>
              <w:rPr>
                <w:rFonts w:ascii="Calibri" w:eastAsia="Times New Roman" w:hAnsi="Calibri" w:cs="Times New Roman"/>
                <w:lang w:eastAsia="en-CA"/>
              </w:rPr>
              <w:t>) of character of goods.</w:t>
            </w:r>
          </w:p>
        </w:tc>
      </w:tr>
    </w:tbl>
    <w:p w:rsidR="00AC6BE5" w:rsidRDefault="00AC6BE5" w:rsidP="00AC6BE5">
      <w:pPr>
        <w:pStyle w:val="NoSpacing"/>
        <w:numPr>
          <w:ilvl w:val="0"/>
          <w:numId w:val="6"/>
        </w:numPr>
      </w:pPr>
      <w:r w:rsidRPr="00AD673D">
        <w:rPr>
          <w:b/>
        </w:rPr>
        <w:t>Suggestive marks</w:t>
      </w:r>
      <w:r>
        <w:t xml:space="preserve"> are OK (examples for floor cleaners include SPARKLING WAVE, DUSTBANE, FLOOR SCIENCE)</w:t>
      </w:r>
    </w:p>
    <w:p w:rsidR="00AC6BE5" w:rsidRDefault="00AC6BE5" w:rsidP="00AC6BE5">
      <w:pPr>
        <w:pStyle w:val="NoSpacing"/>
        <w:numPr>
          <w:ilvl w:val="0"/>
          <w:numId w:val="6"/>
        </w:numPr>
      </w:pPr>
      <w:r>
        <w:t>Laudatory words are clearly descriptive of quality, but OK if combined with distinctive element(s)</w:t>
      </w:r>
    </w:p>
    <w:p w:rsidR="00AC6BE5" w:rsidRDefault="00AC6BE5" w:rsidP="00AC6BE5">
      <w:pPr>
        <w:pStyle w:val="NoSpacing"/>
        <w:numPr>
          <w:ilvl w:val="1"/>
          <w:numId w:val="6"/>
        </w:numPr>
      </w:pPr>
      <w:r>
        <w:t>ESSO SUPREME and SUPER 8 MOTEL are OK; EXTRA PREMIUM SUPER SUPREME and RIGHT are not</w:t>
      </w:r>
    </w:p>
    <w:p w:rsidR="00AC6BE5" w:rsidRDefault="00AC6BE5" w:rsidP="00AC6BE5">
      <w:pPr>
        <w:pStyle w:val="Heading4"/>
      </w:pPr>
      <w:bookmarkStart w:id="23" w:name="_Toc405051838"/>
      <w:r>
        <w:t>~Imperial Tobacco v Benson &amp; Hedges (1983) FC Trial Div</w:t>
      </w:r>
      <w:bookmarkEnd w:id="2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R applied to register “right” as a TM for use in association with cigarettes, based on proposed use. Registrar found it distinctive.</w:t>
            </w:r>
            <w:r w:rsidR="00F440C3">
              <w:rPr>
                <w:rFonts w:ascii="Calibri" w:eastAsia="Times New Roman" w:hAnsi="Calibri" w:cs="Times New Roman"/>
                <w:lang w:eastAsia="en-CA"/>
              </w:rPr>
              <w:t xml:space="preserve"> FC says no distinctiveness.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440C3">
            <w:pPr>
              <w:pStyle w:val="NoSpacing"/>
              <w:rPr>
                <w:rFonts w:ascii="Calibri" w:eastAsia="Times New Roman" w:hAnsi="Calibri" w:cs="Times New Roman"/>
                <w:lang w:eastAsia="en-CA"/>
              </w:rPr>
            </w:pPr>
            <w:r>
              <w:rPr>
                <w:rFonts w:ascii="Calibri" w:eastAsia="Times New Roman" w:hAnsi="Calibri" w:cs="Times New Roman"/>
                <w:lang w:eastAsia="en-CA"/>
              </w:rPr>
              <w:t>- English words applied for to be TM’s are used adjectivally</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440C3">
            <w:pPr>
              <w:pStyle w:val="NoSpacing"/>
              <w:rPr>
                <w:rFonts w:ascii="Calibri" w:eastAsia="Times New Roman" w:hAnsi="Calibri" w:cs="Times New Roman"/>
                <w:lang w:eastAsia="en-CA"/>
              </w:rPr>
            </w:pPr>
            <w:r w:rsidRPr="00B22582">
              <w:rPr>
                <w:rFonts w:ascii="Calibri" w:eastAsia="Times New Roman" w:hAnsi="Calibri" w:cs="Times New Roman"/>
                <w:highlight w:val="yellow"/>
                <w:lang w:eastAsia="en-CA"/>
              </w:rPr>
              <w:t>To be registrable, a TM must be inherently distinctive and not connotatively laudatory</w:t>
            </w:r>
            <w:r w:rsidR="00F440C3">
              <w:rPr>
                <w:rFonts w:ascii="Calibri" w:eastAsia="Times New Roman" w:hAnsi="Calibri" w:cs="Times New Roman"/>
                <w:highlight w:val="yellow"/>
                <w:lang w:eastAsia="en-CA"/>
              </w:rPr>
              <w:t xml:space="preserve"> (</w:t>
            </w:r>
            <w:r w:rsidR="00F440C3" w:rsidRPr="00F440C3">
              <w:rPr>
                <w:rFonts w:ascii="Calibri" w:eastAsia="Times New Roman" w:hAnsi="Calibri" w:cs="Times New Roman"/>
                <w:highlight w:val="yellow"/>
                <w:lang w:eastAsia="en-CA"/>
              </w:rPr>
              <w:t>which automatically comes with the nature of describing the product)</w:t>
            </w:r>
            <w:r w:rsidRPr="00F440C3">
              <w:rPr>
                <w:rFonts w:ascii="Calibri" w:eastAsia="Times New Roman" w:hAnsi="Calibri" w:cs="Times New Roman"/>
                <w:highlight w:val="yellow"/>
                <w:lang w:eastAsia="en-CA"/>
              </w:rPr>
              <w:t>.</w:t>
            </w:r>
          </w:p>
        </w:tc>
      </w:tr>
    </w:tbl>
    <w:p w:rsidR="00AC6BE5" w:rsidRDefault="00AC6BE5" w:rsidP="00AC6BE5">
      <w:pPr>
        <w:pStyle w:val="Heading4"/>
      </w:pPr>
      <w:bookmarkStart w:id="24" w:name="_Toc405051839"/>
      <w:r>
        <w:t>Deputy AG of Canada v Biggs Laboratories (1964) Ex. Ct.</w:t>
      </w:r>
      <w:bookmarkEnd w:id="2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440C3">
            <w:pPr>
              <w:pStyle w:val="NoSpacing"/>
              <w:rPr>
                <w:rFonts w:ascii="Calibri" w:eastAsia="Times New Roman" w:hAnsi="Calibri" w:cs="Times New Roman"/>
                <w:lang w:eastAsia="en-CA"/>
              </w:rPr>
            </w:pPr>
            <w:r>
              <w:rPr>
                <w:rFonts w:ascii="Calibri" w:eastAsia="Times New Roman" w:hAnsi="Calibri" w:cs="Times New Roman"/>
                <w:lang w:eastAsia="en-CA"/>
              </w:rPr>
              <w:t>P/A; D/R. D tried to</w:t>
            </w:r>
            <w:r w:rsidR="00F440C3">
              <w:rPr>
                <w:rFonts w:ascii="Calibri" w:eastAsia="Times New Roman" w:hAnsi="Calibri" w:cs="Times New Roman"/>
                <w:lang w:eastAsia="en-CA"/>
              </w:rPr>
              <w:t xml:space="preserve"> register “SHAMMI” </w:t>
            </w:r>
            <w:r>
              <w:rPr>
                <w:rFonts w:ascii="Calibri" w:eastAsia="Times New Roman" w:hAnsi="Calibri" w:cs="Times New Roman"/>
                <w:lang w:eastAsia="en-CA"/>
              </w:rPr>
              <w:t>TM</w:t>
            </w:r>
            <w:r w:rsidR="00F440C3">
              <w:rPr>
                <w:rFonts w:ascii="Calibri" w:eastAsia="Times New Roman" w:hAnsi="Calibri" w:cs="Times New Roman"/>
                <w:lang w:eastAsia="en-CA"/>
              </w:rPr>
              <w:t xml:space="preserve"> for</w:t>
            </w:r>
            <w:r>
              <w:rPr>
                <w:rFonts w:ascii="Calibri" w:eastAsia="Times New Roman" w:hAnsi="Calibri" w:cs="Times New Roman"/>
                <w:lang w:eastAsia="en-CA"/>
              </w:rPr>
              <w:t xml:space="preserve"> transparent plastic glove </w:t>
            </w:r>
            <w:r w:rsidR="00F440C3">
              <w:rPr>
                <w:rFonts w:ascii="Calibri" w:eastAsia="Times New Roman" w:hAnsi="Calibri" w:cs="Times New Roman"/>
                <w:lang w:eastAsia="en-CA"/>
              </w:rPr>
              <w:t>w/o</w:t>
            </w:r>
            <w:r>
              <w:rPr>
                <w:rFonts w:ascii="Calibri" w:eastAsia="Times New Roman" w:hAnsi="Calibri" w:cs="Times New Roman"/>
                <w:lang w:eastAsia="en-CA"/>
              </w:rPr>
              <w:t xml:space="preserve"> chamois or </w:t>
            </w:r>
            <w:proofErr w:type="spellStart"/>
            <w:r>
              <w:rPr>
                <w:rFonts w:ascii="Calibri" w:eastAsia="Times New Roman" w:hAnsi="Calibri" w:cs="Times New Roman"/>
                <w:lang w:eastAsia="en-CA"/>
              </w:rPr>
              <w:t>shammy</w:t>
            </w:r>
            <w:proofErr w:type="spellEnd"/>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B22582">
              <w:rPr>
                <w:rFonts w:ascii="Calibri" w:eastAsia="Times New Roman" w:hAnsi="Calibri" w:cs="Times New Roman"/>
                <w:highlight w:val="yellow"/>
                <w:lang w:eastAsia="en-CA"/>
              </w:rPr>
              <w:t xml:space="preserve">A product advertised as containing certain components that it does not is considered </w:t>
            </w:r>
            <w:r w:rsidRPr="00F440C3">
              <w:rPr>
                <w:rFonts w:ascii="Calibri" w:eastAsia="Times New Roman" w:hAnsi="Calibri" w:cs="Times New Roman"/>
                <w:highlight w:val="yellow"/>
                <w:u w:val="single"/>
                <w:lang w:eastAsia="en-CA"/>
              </w:rPr>
              <w:t>deceptively misleading</w:t>
            </w:r>
            <w:r w:rsidRPr="00B22582">
              <w:rPr>
                <w:rFonts w:ascii="Calibri" w:eastAsia="Times New Roman" w:hAnsi="Calibri" w:cs="Times New Roman"/>
                <w:highlight w:val="yellow"/>
                <w:lang w:eastAsia="en-CA"/>
              </w:rPr>
              <w:t xml:space="preserve"> to the purchasing public</w:t>
            </w:r>
            <w:r>
              <w:rPr>
                <w:rFonts w:ascii="Calibri" w:eastAsia="Times New Roman" w:hAnsi="Calibri" w:cs="Times New Roman"/>
                <w:highlight w:val="yellow"/>
                <w:lang w:eastAsia="en-CA"/>
              </w:rPr>
              <w:t xml:space="preserve"> (violates </w:t>
            </w:r>
            <w:r w:rsidRPr="00B22582">
              <w:rPr>
                <w:rFonts w:ascii="Calibri" w:eastAsia="Times New Roman" w:hAnsi="Calibri" w:cs="Times New Roman"/>
                <w:color w:val="ED7D31" w:themeColor="accent2"/>
                <w:highlight w:val="yellow"/>
                <w:lang w:eastAsia="en-CA"/>
              </w:rPr>
              <w:t>s. 7(d</w:t>
            </w:r>
            <w:r>
              <w:rPr>
                <w:rFonts w:ascii="Calibri" w:eastAsia="Times New Roman" w:hAnsi="Calibri" w:cs="Times New Roman"/>
                <w:color w:val="ED7D31" w:themeColor="accent2"/>
                <w:highlight w:val="yellow"/>
                <w:lang w:eastAsia="en-CA"/>
              </w:rPr>
              <w:t>)</w:t>
            </w:r>
            <w:r>
              <w:rPr>
                <w:rFonts w:ascii="Calibri" w:eastAsia="Times New Roman" w:hAnsi="Calibri" w:cs="Times New Roman"/>
                <w:highlight w:val="yellow"/>
                <w:lang w:eastAsia="en-CA"/>
              </w:rPr>
              <w:t>)</w:t>
            </w:r>
            <w:r w:rsidRPr="00B22582">
              <w:rPr>
                <w:rFonts w:ascii="Calibri" w:eastAsia="Times New Roman" w:hAnsi="Calibri" w:cs="Times New Roman"/>
                <w:highlight w:val="yellow"/>
                <w:lang w:eastAsia="en-CA"/>
              </w:rPr>
              <w:t>.</w:t>
            </w:r>
          </w:p>
        </w:tc>
      </w:tr>
    </w:tbl>
    <w:p w:rsidR="00AC6BE5" w:rsidRDefault="00AC6BE5" w:rsidP="00AC6BE5">
      <w:pPr>
        <w:pStyle w:val="Heading4"/>
      </w:pPr>
      <w:bookmarkStart w:id="25" w:name="_Toc405051840"/>
      <w:r>
        <w:t>Provenzano v Registrar of Trade Marks (1977) FC Trial Div</w:t>
      </w:r>
      <w:bookmarkEnd w:id="2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P’s registration for mark “KOOL ONE” (used for beer) was rejected on grounds of </w:t>
            </w:r>
            <w:r w:rsidRPr="005F1B07">
              <w:rPr>
                <w:rFonts w:ascii="Calibri" w:eastAsia="Times New Roman" w:hAnsi="Calibri" w:cs="Times New Roman"/>
                <w:color w:val="ED7D31" w:themeColor="accent2"/>
                <w:lang w:eastAsia="en-CA"/>
              </w:rPr>
              <w:t>s. 12(1</w:t>
            </w:r>
            <w:proofErr w:type="gramStart"/>
            <w:r w:rsidRPr="005F1B07">
              <w:rPr>
                <w:rFonts w:ascii="Calibri" w:eastAsia="Times New Roman" w:hAnsi="Calibri" w:cs="Times New Roman"/>
                <w:color w:val="ED7D31" w:themeColor="accent2"/>
                <w:lang w:eastAsia="en-CA"/>
              </w:rPr>
              <w:t>)(</w:t>
            </w:r>
            <w:proofErr w:type="gramEnd"/>
            <w:r w:rsidRPr="005F1B07">
              <w:rPr>
                <w:rFonts w:ascii="Calibri" w:eastAsia="Times New Roman" w:hAnsi="Calibri" w:cs="Times New Roman"/>
                <w:color w:val="ED7D31" w:themeColor="accent2"/>
                <w:lang w:eastAsia="en-CA"/>
              </w:rPr>
              <w:t xml:space="preserve">b) </w:t>
            </w:r>
            <w:r>
              <w:rPr>
                <w:rFonts w:ascii="Calibri" w:eastAsia="Times New Roman" w:hAnsi="Calibri" w:cs="Times New Roman"/>
                <w:lang w:eastAsia="en-CA"/>
              </w:rPr>
              <w:t>for being either descriptive or deceptively misleading of character/quality of product.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 this mark clearly descriptive or deceptively misdescriptive?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5F1B07" w:rsidRDefault="00AC6BE5" w:rsidP="00F70A9F">
            <w:pPr>
              <w:pStyle w:val="NoSpacing"/>
              <w:rPr>
                <w:rFonts w:ascii="Calibri" w:eastAsia="Times New Roman" w:hAnsi="Calibri" w:cs="Times New Roman"/>
                <w:highlight w:val="yellow"/>
                <w:lang w:eastAsia="en-CA"/>
              </w:rPr>
            </w:pPr>
            <w:r>
              <w:rPr>
                <w:rFonts w:ascii="Calibri" w:eastAsia="Times New Roman" w:hAnsi="Calibri" w:cs="Times New Roman"/>
                <w:highlight w:val="yellow"/>
                <w:lang w:eastAsia="en-CA"/>
              </w:rPr>
              <w:t xml:space="preserve">To be </w:t>
            </w:r>
            <w:r w:rsidRPr="002F5F2B">
              <w:rPr>
                <w:rFonts w:ascii="Calibri" w:eastAsia="Times New Roman" w:hAnsi="Calibri" w:cs="Times New Roman"/>
                <w:b/>
                <w:highlight w:val="yellow"/>
                <w:lang w:eastAsia="en-CA"/>
              </w:rPr>
              <w:t>deceptively misdescriptive</w:t>
            </w:r>
            <w:r>
              <w:rPr>
                <w:rFonts w:ascii="Calibri" w:eastAsia="Times New Roman" w:hAnsi="Calibri" w:cs="Times New Roman"/>
                <w:highlight w:val="yellow"/>
                <w:lang w:eastAsia="en-CA"/>
              </w:rPr>
              <w:t>, the word must relate to the composition of the goods and falsely/erroneously describe something which is material or qualify something as material to the composition of the goods when it in fact isn’t.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FCA (1978): Appeal dismissed</w:t>
            </w:r>
          </w:p>
        </w:tc>
      </w:tr>
    </w:tbl>
    <w:p w:rsidR="00AC6BE5" w:rsidRDefault="00AC6BE5" w:rsidP="00AC6BE5">
      <w:pPr>
        <w:pStyle w:val="NoSpacing"/>
        <w:numPr>
          <w:ilvl w:val="0"/>
          <w:numId w:val="6"/>
        </w:numPr>
      </w:pPr>
      <w:r w:rsidRPr="007C4269">
        <w:rPr>
          <w:b/>
        </w:rPr>
        <w:t>Test of Descriptiveness</w:t>
      </w:r>
      <w:r>
        <w:t>:</w:t>
      </w:r>
    </w:p>
    <w:p w:rsidR="00AC6BE5" w:rsidRDefault="00AC6BE5" w:rsidP="00AC6BE5">
      <w:pPr>
        <w:pStyle w:val="NoSpacing"/>
        <w:numPr>
          <w:ilvl w:val="1"/>
          <w:numId w:val="6"/>
        </w:numPr>
      </w:pPr>
      <w:r>
        <w:t>Based on immediate first impression</w:t>
      </w:r>
      <w:r w:rsidR="00F11380">
        <w:t xml:space="preserve"> (</w:t>
      </w:r>
      <w:proofErr w:type="spellStart"/>
      <w:r w:rsidR="00F11380">
        <w:rPr>
          <w:i/>
        </w:rPr>
        <w:t>Drackett</w:t>
      </w:r>
      <w:proofErr w:type="spellEnd"/>
      <w:r w:rsidR="00F11380">
        <w:t>)</w:t>
      </w:r>
    </w:p>
    <w:p w:rsidR="00AC6BE5" w:rsidRDefault="00AC6BE5" w:rsidP="00AC6BE5">
      <w:pPr>
        <w:pStyle w:val="NoSpacing"/>
        <w:numPr>
          <w:ilvl w:val="1"/>
          <w:numId w:val="6"/>
        </w:numPr>
      </w:pPr>
      <w:r>
        <w:t xml:space="preserve">Applies to </w:t>
      </w:r>
      <w:r w:rsidRPr="00F11380">
        <w:rPr>
          <w:u w:val="single"/>
        </w:rPr>
        <w:t>intrinsic</w:t>
      </w:r>
      <w:r>
        <w:t xml:space="preserve"> characteristic or quality</w:t>
      </w:r>
    </w:p>
    <w:p w:rsidR="00AC6BE5" w:rsidRPr="005F1B07" w:rsidRDefault="00AC6BE5" w:rsidP="00AC6BE5">
      <w:pPr>
        <w:pStyle w:val="NoSpacing"/>
        <w:numPr>
          <w:ilvl w:val="2"/>
          <w:numId w:val="6"/>
        </w:numPr>
      </w:pPr>
      <w:proofErr w:type="spellStart"/>
      <w:r>
        <w:rPr>
          <w:i/>
        </w:rPr>
        <w:t>Provenzano</w:t>
      </w:r>
      <w:proofErr w:type="spellEnd"/>
      <w:r>
        <w:t>: KOOL ONE for beer not clearly descriptive of intrinsic character or quality</w:t>
      </w:r>
    </w:p>
    <w:p w:rsidR="00AC6BE5" w:rsidRDefault="00AC6BE5" w:rsidP="00AC6BE5">
      <w:pPr>
        <w:pStyle w:val="NoSpacing"/>
        <w:numPr>
          <w:ilvl w:val="1"/>
          <w:numId w:val="6"/>
        </w:numPr>
      </w:pPr>
      <w:r>
        <w:t>Includes description of function, purpose, or effect</w:t>
      </w:r>
    </w:p>
    <w:p w:rsidR="00AC6BE5" w:rsidRDefault="00AC6BE5" w:rsidP="00AC6BE5">
      <w:pPr>
        <w:pStyle w:val="NoSpacing"/>
        <w:numPr>
          <w:ilvl w:val="2"/>
          <w:numId w:val="6"/>
        </w:numPr>
        <w:rPr>
          <w:i/>
        </w:rPr>
      </w:pPr>
      <w:r w:rsidRPr="007C4269">
        <w:rPr>
          <w:i/>
        </w:rPr>
        <w:t>Thomson Research v Registrar</w:t>
      </w:r>
      <w:r>
        <w:t>: ULTRA FRESH found clearly descriptive</w:t>
      </w:r>
    </w:p>
    <w:p w:rsidR="00AC6BE5" w:rsidRDefault="00AC6BE5" w:rsidP="00AC6BE5">
      <w:pPr>
        <w:pStyle w:val="Heading4"/>
      </w:pPr>
      <w:bookmarkStart w:id="26" w:name="_Toc405051841"/>
      <w:r>
        <w:t>Thomson Research Associates v Registrar of Trademarks (1982) FC Trial Div</w:t>
      </w:r>
      <w:bookmarkEnd w:id="2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P/A; D/R. D refused to register “</w:t>
            </w:r>
            <w:proofErr w:type="spellStart"/>
            <w:r>
              <w:rPr>
                <w:rFonts w:ascii="Calibri" w:eastAsia="Times New Roman" w:hAnsi="Calibri" w:cs="Times New Roman"/>
                <w:lang w:eastAsia="en-CA"/>
              </w:rPr>
              <w:t>ultra fresh</w:t>
            </w:r>
            <w:proofErr w:type="spellEnd"/>
            <w:r>
              <w:rPr>
                <w:rFonts w:ascii="Calibri" w:eastAsia="Times New Roman" w:hAnsi="Calibri" w:cs="Times New Roman"/>
                <w:lang w:eastAsia="en-CA"/>
              </w:rPr>
              <w:t xml:space="preserve">” as a TM for use in </w:t>
            </w:r>
            <w:proofErr w:type="spellStart"/>
            <w:r>
              <w:rPr>
                <w:rFonts w:ascii="Calibri" w:eastAsia="Times New Roman" w:hAnsi="Calibri" w:cs="Times New Roman"/>
                <w:lang w:eastAsia="en-CA"/>
              </w:rPr>
              <w:t>bacteriostats</w:t>
            </w:r>
            <w:proofErr w:type="spellEnd"/>
            <w:r>
              <w:rPr>
                <w:rFonts w:ascii="Calibri" w:eastAsia="Times New Roman" w:hAnsi="Calibri" w:cs="Times New Roman"/>
                <w:lang w:eastAsia="en-CA"/>
              </w:rPr>
              <w:t xml:space="preserve"> and </w:t>
            </w:r>
            <w:proofErr w:type="spellStart"/>
            <w:r>
              <w:rPr>
                <w:rFonts w:ascii="Calibri" w:eastAsia="Times New Roman" w:hAnsi="Calibri" w:cs="Times New Roman"/>
                <w:lang w:eastAsia="en-CA"/>
              </w:rPr>
              <w:t>fungistats</w:t>
            </w:r>
            <w:proofErr w:type="spellEnd"/>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“Ultra f</w:t>
            </w:r>
            <w:r w:rsidR="00F11380">
              <w:rPr>
                <w:rFonts w:ascii="Calibri" w:eastAsia="Times New Roman" w:hAnsi="Calibri" w:cs="Times New Roman"/>
                <w:lang w:eastAsia="en-CA"/>
              </w:rPr>
              <w:t xml:space="preserve">resh” describes principally effect of this product </w:t>
            </w:r>
            <w:r>
              <w:rPr>
                <w:rFonts w:ascii="Calibri" w:eastAsia="Times New Roman" w:hAnsi="Calibri" w:cs="Times New Roman"/>
                <w:lang w:eastAsia="en-CA"/>
              </w:rPr>
              <w:t>o</w:t>
            </w:r>
            <w:r w:rsidR="00F11380">
              <w:rPr>
                <w:rFonts w:ascii="Calibri" w:eastAsia="Times New Roman" w:hAnsi="Calibri" w:cs="Times New Roman"/>
                <w:lang w:eastAsia="en-CA"/>
              </w:rPr>
              <w:t>n</w:t>
            </w:r>
            <w:r>
              <w:rPr>
                <w:rFonts w:ascii="Calibri" w:eastAsia="Times New Roman" w:hAnsi="Calibri" w:cs="Times New Roman"/>
                <w:lang w:eastAsia="en-CA"/>
              </w:rPr>
              <w:t xml:space="preserve"> other wares (clothes), which = function</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 Refers to OFF! </w:t>
            </w:r>
            <w:proofErr w:type="gramStart"/>
            <w:r>
              <w:rPr>
                <w:rFonts w:ascii="Calibri" w:eastAsia="Times New Roman" w:hAnsi="Calibri" w:cs="Times New Roman"/>
                <w:lang w:eastAsia="en-CA"/>
              </w:rPr>
              <w:t>case</w:t>
            </w:r>
            <w:proofErr w:type="gramEnd"/>
            <w:r>
              <w:rPr>
                <w:rFonts w:ascii="Calibri" w:eastAsia="Times New Roman" w:hAnsi="Calibri" w:cs="Times New Roman"/>
                <w:lang w:eastAsia="en-CA"/>
              </w:rPr>
              <w:t xml:space="preserve"> where SCC found OFF! for insect repellent clearly descriptive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5F1B07">
              <w:rPr>
                <w:rFonts w:ascii="Calibri" w:eastAsia="Times New Roman" w:hAnsi="Calibri" w:cs="Times New Roman"/>
                <w:highlight w:val="yellow"/>
                <w:lang w:eastAsia="en-CA"/>
              </w:rPr>
              <w:t>The character or quality of a ware includes its function.</w:t>
            </w:r>
          </w:p>
        </w:tc>
      </w:tr>
    </w:tbl>
    <w:p w:rsidR="00AC6BE5" w:rsidRPr="007C4269" w:rsidRDefault="00AC6BE5" w:rsidP="00AC6BE5">
      <w:pPr>
        <w:pStyle w:val="NoSpacing"/>
        <w:numPr>
          <w:ilvl w:val="0"/>
          <w:numId w:val="6"/>
        </w:numPr>
        <w:rPr>
          <w:i/>
        </w:rPr>
      </w:pPr>
      <w:r>
        <w:rPr>
          <w:color w:val="ED7D31" w:themeColor="accent2"/>
        </w:rPr>
        <w:t>S. 12(1)(c)</w:t>
      </w:r>
      <w:r>
        <w:t>: Cannot be names in any language of any of the wares/services (e.g. GUK, Korean for soup), but clearly descriptive marks other than in English or French are OK (e.g. MAS-ISSNEUN: Korean for delicious)</w:t>
      </w:r>
    </w:p>
    <w:p w:rsidR="00AC6BE5" w:rsidRDefault="00AC6BE5" w:rsidP="00AC6BE5">
      <w:pPr>
        <w:pStyle w:val="Heading2"/>
      </w:pPr>
      <w:bookmarkStart w:id="27" w:name="_Toc405051842"/>
      <w:r>
        <w:t>6.0 Confusion</w:t>
      </w:r>
      <w:bookmarkEnd w:id="27"/>
    </w:p>
    <w:p w:rsidR="00AC6BE5" w:rsidRDefault="00AC6BE5" w:rsidP="00AC6BE5">
      <w:pPr>
        <w:pStyle w:val="NoSpacing"/>
        <w:numPr>
          <w:ilvl w:val="0"/>
          <w:numId w:val="7"/>
        </w:numPr>
      </w:pPr>
      <w:r w:rsidRPr="005F1B07">
        <w:rPr>
          <w:color w:val="ED7D31" w:themeColor="accent2"/>
        </w:rPr>
        <w:t>S. 2</w:t>
      </w:r>
      <w:r>
        <w:t xml:space="preserve">: </w:t>
      </w:r>
      <w:r w:rsidRPr="005F1B07">
        <w:rPr>
          <w:b/>
        </w:rPr>
        <w:t>Confusing</w:t>
      </w:r>
      <w:r>
        <w:t xml:space="preserve"> = A TM the use of which would cause confusion in the manner/circumstances described in </w:t>
      </w:r>
      <w:r w:rsidRPr="005F1B07">
        <w:rPr>
          <w:color w:val="ED7D31" w:themeColor="accent2"/>
        </w:rPr>
        <w:t>s. 6</w:t>
      </w:r>
    </w:p>
    <w:p w:rsidR="00AC6BE5" w:rsidRDefault="00AC6BE5" w:rsidP="00AC6BE5">
      <w:pPr>
        <w:pStyle w:val="NoSpacing"/>
        <w:numPr>
          <w:ilvl w:val="0"/>
          <w:numId w:val="7"/>
        </w:numPr>
      </w:pPr>
      <w:r w:rsidRPr="005F1B07">
        <w:rPr>
          <w:color w:val="ED7D31" w:themeColor="accent2"/>
        </w:rPr>
        <w:t>S. 6</w:t>
      </w:r>
      <w:r>
        <w:t>: Use of a TM causes confusion with another TM if the use of both in same area is likely to lead to the inference that the wares/services associated with the TMs are made/performed by the same person</w:t>
      </w:r>
    </w:p>
    <w:p w:rsidR="00AC6BE5" w:rsidRDefault="00AC6BE5" w:rsidP="00AC6BE5">
      <w:pPr>
        <w:pStyle w:val="NoSpacing"/>
        <w:numPr>
          <w:ilvl w:val="0"/>
          <w:numId w:val="7"/>
        </w:numPr>
      </w:pPr>
      <w:r>
        <w:t>Must look at “</w:t>
      </w:r>
      <w:r w:rsidRPr="001165C5">
        <w:rPr>
          <w:b/>
        </w:rPr>
        <w:t>surrounding circumstances</w:t>
      </w:r>
      <w:r>
        <w:t xml:space="preserve">” under </w:t>
      </w:r>
      <w:r w:rsidRPr="00BB422A">
        <w:rPr>
          <w:color w:val="ED7D31" w:themeColor="accent2"/>
        </w:rPr>
        <w:t>s. 6(5)</w:t>
      </w:r>
      <w:r>
        <w:t>:</w:t>
      </w:r>
    </w:p>
    <w:p w:rsidR="00AC6BE5" w:rsidRDefault="00AC6BE5" w:rsidP="00AC6BE5">
      <w:pPr>
        <w:pStyle w:val="NoSpacing"/>
        <w:numPr>
          <w:ilvl w:val="1"/>
          <w:numId w:val="7"/>
        </w:numPr>
      </w:pPr>
      <w:r>
        <w:lastRenderedPageBreak/>
        <w:t>A) Inherent distinctiveness and extent to which they have become known</w:t>
      </w:r>
    </w:p>
    <w:p w:rsidR="00AC6BE5" w:rsidRDefault="00AC6BE5" w:rsidP="00AC6BE5">
      <w:pPr>
        <w:pStyle w:val="NoSpacing"/>
        <w:numPr>
          <w:ilvl w:val="1"/>
          <w:numId w:val="7"/>
        </w:numPr>
      </w:pPr>
      <w:r>
        <w:t>B) Length of time in use</w:t>
      </w:r>
    </w:p>
    <w:p w:rsidR="00AC6BE5" w:rsidRDefault="00AC6BE5" w:rsidP="00AC6BE5">
      <w:pPr>
        <w:pStyle w:val="NoSpacing"/>
        <w:numPr>
          <w:ilvl w:val="1"/>
          <w:numId w:val="7"/>
        </w:numPr>
      </w:pPr>
      <w:r>
        <w:t>C) Nature of wares, services, business</w:t>
      </w:r>
    </w:p>
    <w:p w:rsidR="00AC6BE5" w:rsidRDefault="00AC6BE5" w:rsidP="00AC6BE5">
      <w:pPr>
        <w:pStyle w:val="NoSpacing"/>
        <w:numPr>
          <w:ilvl w:val="1"/>
          <w:numId w:val="7"/>
        </w:numPr>
      </w:pPr>
      <w:r>
        <w:t>D) Nature of the trade</w:t>
      </w:r>
    </w:p>
    <w:p w:rsidR="00AC6BE5" w:rsidRDefault="00AC6BE5" w:rsidP="00AC6BE5">
      <w:pPr>
        <w:pStyle w:val="NoSpacing"/>
        <w:numPr>
          <w:ilvl w:val="1"/>
          <w:numId w:val="7"/>
        </w:numPr>
      </w:pPr>
      <w:r>
        <w:t>E) Degree of resemblance between marks in appearance, sound, or idea suggested</w:t>
      </w:r>
    </w:p>
    <w:p w:rsidR="00AC6BE5" w:rsidRDefault="00AC6BE5" w:rsidP="00AC6BE5">
      <w:pPr>
        <w:pStyle w:val="NoSpacing"/>
        <w:numPr>
          <w:ilvl w:val="0"/>
          <w:numId w:val="7"/>
        </w:numPr>
      </w:pPr>
      <w:r>
        <w:t>Principles of confusing TMs:</w:t>
      </w:r>
    </w:p>
    <w:p w:rsidR="00AC6BE5" w:rsidRDefault="00AC6BE5" w:rsidP="00AC6BE5">
      <w:pPr>
        <w:pStyle w:val="NoSpacing"/>
        <w:numPr>
          <w:ilvl w:val="1"/>
          <w:numId w:val="7"/>
        </w:numPr>
      </w:pPr>
      <w:r>
        <w:t>1) Distinctive marks get broader protection than less distinctive ones</w:t>
      </w:r>
    </w:p>
    <w:p w:rsidR="00AC6BE5" w:rsidRDefault="00AC6BE5" w:rsidP="00AC6BE5">
      <w:pPr>
        <w:pStyle w:val="NoSpacing"/>
        <w:numPr>
          <w:ilvl w:val="1"/>
          <w:numId w:val="7"/>
        </w:numPr>
      </w:pPr>
      <w:r>
        <w:t xml:space="preserve">2) Average consumer test: </w:t>
      </w:r>
      <w:r w:rsidRPr="00BB422A">
        <w:rPr>
          <w:b/>
        </w:rPr>
        <w:t>Imperfect recollection</w:t>
      </w:r>
    </w:p>
    <w:p w:rsidR="00AC6BE5" w:rsidRDefault="00AC6BE5" w:rsidP="00AC6BE5">
      <w:pPr>
        <w:pStyle w:val="NoSpacing"/>
        <w:numPr>
          <w:ilvl w:val="1"/>
          <w:numId w:val="7"/>
        </w:numPr>
      </w:pPr>
      <w:r>
        <w:t>3) Test of first impression</w:t>
      </w:r>
    </w:p>
    <w:p w:rsidR="00AC6BE5" w:rsidRDefault="00AC6BE5" w:rsidP="00AC6BE5">
      <w:pPr>
        <w:pStyle w:val="NoSpacing"/>
        <w:numPr>
          <w:ilvl w:val="1"/>
          <w:numId w:val="7"/>
        </w:numPr>
      </w:pPr>
      <w:r>
        <w:t>4) Look to entirety of marks. Do not dissect.</w:t>
      </w:r>
    </w:p>
    <w:p w:rsidR="00AC6BE5" w:rsidRDefault="00AC6BE5" w:rsidP="00AC6BE5">
      <w:pPr>
        <w:pStyle w:val="NoSpacing"/>
        <w:numPr>
          <w:ilvl w:val="1"/>
          <w:numId w:val="7"/>
        </w:numPr>
      </w:pPr>
      <w:r>
        <w:t xml:space="preserve">5) </w:t>
      </w:r>
      <w:r w:rsidRPr="00BB422A">
        <w:rPr>
          <w:u w:val="single"/>
        </w:rPr>
        <w:t>Confusion is to be inferred</w:t>
      </w:r>
      <w:r>
        <w:t>: Actual conflicting use in same area is not required (</w:t>
      </w:r>
      <w:r>
        <w:rPr>
          <w:i/>
        </w:rPr>
        <w:t>Masterpiece</w:t>
      </w:r>
      <w:r>
        <w:t>)</w:t>
      </w:r>
    </w:p>
    <w:p w:rsidR="00AC6BE5" w:rsidRDefault="00AC6BE5" w:rsidP="00AC6BE5">
      <w:pPr>
        <w:pStyle w:val="Heading4"/>
      </w:pPr>
      <w:bookmarkStart w:id="28" w:name="_Toc405051843"/>
      <w:r>
        <w:t>Mattel v 3894207 Canada (2006) SCC</w:t>
      </w:r>
      <w:bookmarkEnd w:id="2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P/</w:t>
            </w:r>
            <w:r w:rsidR="00F11380">
              <w:rPr>
                <w:rFonts w:ascii="Calibri" w:eastAsia="Times New Roman" w:hAnsi="Calibri" w:cs="Times New Roman"/>
                <w:lang w:eastAsia="en-CA"/>
              </w:rPr>
              <w:t xml:space="preserve">A; D/R. D tried to register </w:t>
            </w:r>
            <w:r>
              <w:rPr>
                <w:rFonts w:ascii="Calibri" w:eastAsia="Times New Roman" w:hAnsi="Calibri" w:cs="Times New Roman"/>
                <w:lang w:eastAsia="en-CA"/>
              </w:rPr>
              <w:t>TM “Barbie’s” in connection with its s</w:t>
            </w:r>
            <w:r w:rsidR="00F11380">
              <w:rPr>
                <w:rFonts w:ascii="Calibri" w:eastAsia="Times New Roman" w:hAnsi="Calibri" w:cs="Times New Roman"/>
                <w:lang w:eastAsia="en-CA"/>
              </w:rPr>
              <w:t xml:space="preserve">mall chain of Montreal </w:t>
            </w:r>
            <w:r>
              <w:rPr>
                <w:rFonts w:ascii="Calibri" w:eastAsia="Times New Roman" w:hAnsi="Calibri" w:cs="Times New Roman"/>
                <w:lang w:eastAsia="en-CA"/>
              </w:rPr>
              <w:t>restaurants. P complained about con</w:t>
            </w:r>
            <w:r w:rsidR="00F11380">
              <w:rPr>
                <w:rFonts w:ascii="Calibri" w:eastAsia="Times New Roman" w:hAnsi="Calibri" w:cs="Times New Roman"/>
                <w:lang w:eastAsia="en-CA"/>
              </w:rPr>
              <w:t xml:space="preserve">fusion, despite the </w:t>
            </w:r>
            <w:r>
              <w:rPr>
                <w:rFonts w:ascii="Calibri" w:eastAsia="Times New Roman" w:hAnsi="Calibri" w:cs="Times New Roman"/>
                <w:lang w:eastAsia="en-CA"/>
              </w:rPr>
              <w:t>different wares and services than P’s popular dolls.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What if there’s confusion between one’s wares/services and another’s?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F11380" w:rsidP="00F70A9F">
            <w:pPr>
              <w:pStyle w:val="NoSpacing"/>
              <w:tabs>
                <w:tab w:val="left" w:pos="1294"/>
              </w:tabs>
              <w:rPr>
                <w:rFonts w:ascii="Calibri" w:eastAsia="Times New Roman" w:hAnsi="Calibri" w:cs="Times New Roman"/>
                <w:lang w:eastAsia="en-CA"/>
              </w:rPr>
            </w:pPr>
            <w:r>
              <w:rPr>
                <w:rFonts w:ascii="Calibri" w:eastAsia="Times New Roman" w:hAnsi="Calibri" w:cs="Times New Roman"/>
                <w:lang w:eastAsia="en-CA"/>
              </w:rPr>
              <w:t xml:space="preserve">- Mass marketing </w:t>
            </w:r>
            <w:r w:rsidRPr="00F11380">
              <w:rPr>
                <w:rFonts w:ascii="Calibri" w:eastAsia="Times New Roman" w:hAnsi="Calibri" w:cs="Times New Roman"/>
                <w:lang w:eastAsia="en-CA"/>
              </w:rPr>
              <w:sym w:font="Wingdings" w:char="F0E0"/>
            </w:r>
            <w:r>
              <w:rPr>
                <w:rFonts w:ascii="Calibri" w:eastAsia="Times New Roman" w:hAnsi="Calibri" w:cs="Times New Roman"/>
                <w:lang w:eastAsia="en-CA"/>
              </w:rPr>
              <w:t xml:space="preserve"> S</w:t>
            </w:r>
            <w:r w:rsidR="00AC6BE5">
              <w:rPr>
                <w:rFonts w:ascii="Calibri" w:eastAsia="Times New Roman" w:hAnsi="Calibri" w:cs="Times New Roman"/>
                <w:lang w:eastAsia="en-CA"/>
              </w:rPr>
              <w:t>trong secondary meaning</w:t>
            </w:r>
            <w:r>
              <w:rPr>
                <w:rFonts w:ascii="Calibri" w:eastAsia="Times New Roman" w:hAnsi="Calibri" w:cs="Times New Roman"/>
                <w:lang w:eastAsia="en-CA"/>
              </w:rPr>
              <w:t xml:space="preserve"> </w:t>
            </w:r>
            <w:r w:rsidRPr="00F11380">
              <w:rPr>
                <w:rFonts w:ascii="Calibri" w:eastAsia="Times New Roman" w:hAnsi="Calibri" w:cs="Times New Roman"/>
                <w:lang w:eastAsia="en-CA"/>
              </w:rPr>
              <w:sym w:font="Wingdings" w:char="F0E0"/>
            </w:r>
            <w:r>
              <w:rPr>
                <w:rFonts w:ascii="Calibri" w:eastAsia="Times New Roman" w:hAnsi="Calibri" w:cs="Times New Roman"/>
                <w:lang w:eastAsia="en-CA"/>
              </w:rPr>
              <w:t xml:space="preserve"> Public associates “Barbie”</w:t>
            </w:r>
            <w:r w:rsidR="00AC6BE5">
              <w:rPr>
                <w:rFonts w:ascii="Calibri" w:eastAsia="Times New Roman" w:hAnsi="Calibri" w:cs="Times New Roman"/>
                <w:lang w:eastAsia="en-CA"/>
              </w:rPr>
              <w:t xml:space="preserve"> with P’s doll products</w:t>
            </w:r>
          </w:p>
          <w:p w:rsidR="00AC6BE5" w:rsidRDefault="00AC6BE5" w:rsidP="00F70A9F">
            <w:pPr>
              <w:pStyle w:val="NoSpacing"/>
              <w:tabs>
                <w:tab w:val="left" w:pos="1294"/>
              </w:tabs>
              <w:rPr>
                <w:rFonts w:ascii="Calibri" w:eastAsia="Times New Roman" w:hAnsi="Calibri" w:cs="Times New Roman"/>
                <w:lang w:eastAsia="en-CA"/>
              </w:rPr>
            </w:pPr>
            <w:r>
              <w:rPr>
                <w:rFonts w:ascii="Calibri" w:eastAsia="Times New Roman" w:hAnsi="Calibri" w:cs="Times New Roman"/>
                <w:lang w:eastAsia="en-CA"/>
              </w:rPr>
              <w:t>- Absence of evidence of</w:t>
            </w:r>
            <w:r w:rsidR="00F11380">
              <w:rPr>
                <w:rFonts w:ascii="Calibri" w:eastAsia="Times New Roman" w:hAnsi="Calibri" w:cs="Times New Roman"/>
                <w:lang w:eastAsia="en-CA"/>
              </w:rPr>
              <w:t xml:space="preserve"> actual confusion; </w:t>
            </w:r>
            <w:r>
              <w:rPr>
                <w:rFonts w:ascii="Calibri" w:eastAsia="Times New Roman" w:hAnsi="Calibri" w:cs="Times New Roman"/>
                <w:lang w:eastAsia="en-CA"/>
              </w:rPr>
              <w:t>use survey to assess confusion</w:t>
            </w:r>
          </w:p>
          <w:p w:rsidR="00AC6BE5" w:rsidRPr="00E72B7A" w:rsidRDefault="00AC6BE5" w:rsidP="00F70A9F">
            <w:pPr>
              <w:pStyle w:val="NoSpacing"/>
              <w:tabs>
                <w:tab w:val="left" w:pos="1294"/>
              </w:tabs>
              <w:rPr>
                <w:rFonts w:ascii="Calibri" w:eastAsia="Times New Roman" w:hAnsi="Calibri" w:cs="Times New Roman"/>
                <w:lang w:eastAsia="en-CA"/>
              </w:rPr>
            </w:pPr>
            <w:r>
              <w:rPr>
                <w:rFonts w:ascii="Calibri" w:eastAsia="Times New Roman" w:hAnsi="Calibri" w:cs="Times New Roman"/>
                <w:lang w:eastAsia="en-CA"/>
              </w:rPr>
              <w:t xml:space="preserve">- </w:t>
            </w:r>
            <w:r w:rsidRPr="00BB422A">
              <w:rPr>
                <w:rFonts w:ascii="Calibri" w:eastAsia="Times New Roman" w:hAnsi="Calibri" w:cs="Times New Roman"/>
                <w:i/>
                <w:lang w:eastAsia="en-CA"/>
              </w:rPr>
              <w:t>Mens rea</w:t>
            </w:r>
            <w:r>
              <w:rPr>
                <w:rFonts w:ascii="Calibri" w:eastAsia="Times New Roman" w:hAnsi="Calibri" w:cs="Times New Roman"/>
                <w:lang w:eastAsia="en-CA"/>
              </w:rPr>
              <w:t xml:space="preserve"> irrelevant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BB422A" w:rsidRDefault="00AC6BE5" w:rsidP="00F70A9F">
            <w:pPr>
              <w:pStyle w:val="NoSpacing"/>
              <w:rPr>
                <w:rFonts w:ascii="Calibri" w:eastAsia="Times New Roman" w:hAnsi="Calibri" w:cs="Times New Roman"/>
                <w:highlight w:val="yellow"/>
                <w:lang w:eastAsia="en-CA"/>
              </w:rPr>
            </w:pPr>
            <w:r w:rsidRPr="00BB422A">
              <w:rPr>
                <w:rFonts w:ascii="Calibri" w:eastAsia="Times New Roman" w:hAnsi="Calibri" w:cs="Times New Roman"/>
                <w:highlight w:val="yellow"/>
                <w:lang w:eastAsia="en-CA"/>
              </w:rPr>
              <w:t xml:space="preserve">If </w:t>
            </w:r>
            <w:r w:rsidRPr="00F11380">
              <w:rPr>
                <w:rFonts w:ascii="Calibri" w:eastAsia="Times New Roman" w:hAnsi="Calibri" w:cs="Times New Roman"/>
                <w:highlight w:val="yellow"/>
                <w:u w:val="single"/>
                <w:lang w:eastAsia="en-CA"/>
              </w:rPr>
              <w:t>confusion</w:t>
            </w:r>
            <w:r w:rsidRPr="00BB422A">
              <w:rPr>
                <w:rFonts w:ascii="Calibri" w:eastAsia="Times New Roman" w:hAnsi="Calibri" w:cs="Times New Roman"/>
                <w:highlight w:val="yellow"/>
                <w:lang w:eastAsia="en-CA"/>
              </w:rPr>
              <w:t xml:space="preserve"> could be generated that one TM holder might have anything to do with the wares/services of the offending TM applicant, then the applicant cannot get that TM approved.</w:t>
            </w:r>
          </w:p>
          <w:p w:rsidR="00AC6BE5" w:rsidRPr="00E72B7A" w:rsidRDefault="00AC6BE5" w:rsidP="00F70A9F">
            <w:pPr>
              <w:pStyle w:val="NoSpacing"/>
              <w:rPr>
                <w:rFonts w:ascii="Calibri" w:eastAsia="Times New Roman" w:hAnsi="Calibri" w:cs="Times New Roman"/>
                <w:lang w:eastAsia="en-CA"/>
              </w:rPr>
            </w:pPr>
            <w:r w:rsidRPr="00BB422A">
              <w:rPr>
                <w:rFonts w:ascii="Calibri" w:eastAsia="Times New Roman" w:hAnsi="Calibri" w:cs="Times New Roman"/>
                <w:highlight w:val="yellow"/>
                <w:lang w:eastAsia="en-CA"/>
              </w:rPr>
              <w:t xml:space="preserve">Needs to be a </w:t>
            </w:r>
            <w:r w:rsidRPr="00F11380">
              <w:rPr>
                <w:rFonts w:ascii="Calibri" w:eastAsia="Times New Roman" w:hAnsi="Calibri" w:cs="Times New Roman"/>
                <w:highlight w:val="yellow"/>
                <w:u w:val="single"/>
                <w:lang w:eastAsia="en-CA"/>
              </w:rPr>
              <w:t>likelihood of mistaken inference/link by a consumer</w:t>
            </w:r>
            <w:r w:rsidRPr="00BB422A">
              <w:rPr>
                <w:rFonts w:ascii="Calibri" w:eastAsia="Times New Roman" w:hAnsi="Calibri" w:cs="Times New Roman"/>
                <w:highlight w:val="yellow"/>
                <w:lang w:eastAsia="en-CA"/>
              </w:rPr>
              <w:t xml:space="preserve"> between the source of the well-known products and the source of the less well-known products.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Appeal dismissed. Not likely that prospective consumers will draw a mistaken inference to </w:t>
            </w:r>
            <w:proofErr w:type="spellStart"/>
            <w:r>
              <w:rPr>
                <w:rFonts w:ascii="Calibri" w:eastAsia="Times New Roman" w:hAnsi="Calibri" w:cs="Times New Roman"/>
                <w:lang w:eastAsia="en-CA"/>
              </w:rPr>
              <w:t>Barbies</w:t>
            </w:r>
            <w:proofErr w:type="spellEnd"/>
            <w:r>
              <w:rPr>
                <w:rFonts w:ascii="Calibri" w:eastAsia="Times New Roman" w:hAnsi="Calibri" w:cs="Times New Roman"/>
                <w:lang w:eastAsia="en-CA"/>
              </w:rPr>
              <w:t>.</w:t>
            </w:r>
          </w:p>
        </w:tc>
      </w:tr>
    </w:tbl>
    <w:p w:rsidR="00AC6BE5" w:rsidRDefault="00AC6BE5" w:rsidP="00AC6BE5">
      <w:pPr>
        <w:pStyle w:val="Heading4"/>
      </w:pPr>
      <w:bookmarkStart w:id="29" w:name="_Toc405051844"/>
      <w:r>
        <w:t>Masterpiece Inc v Alavida Lifestyles (2011) SCC</w:t>
      </w:r>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D registered TM “masterpiece living” in Ont. P had some unregistered TM in AB (e.g. “Masterpiece the Art of Living”. Both companies are in the retirement residence industry.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Was there confusion between the two TMs in terms of </w:t>
            </w:r>
            <w:r w:rsidRPr="00F11380">
              <w:rPr>
                <w:rFonts w:ascii="Calibri" w:eastAsia="Times New Roman" w:hAnsi="Calibri" w:cs="Times New Roman"/>
                <w:color w:val="ED7D31" w:themeColor="accent2"/>
                <w:lang w:eastAsia="en-CA"/>
              </w:rPr>
              <w:t>s. 6</w:t>
            </w:r>
            <w:r>
              <w:rPr>
                <w:rFonts w:ascii="Calibri" w:eastAsia="Times New Roman" w:hAnsi="Calibri" w:cs="Times New Roman"/>
                <w:lang w:eastAsia="en-CA"/>
              </w:rPr>
              <w:t>? Do any of the circumstances reduce the likelihood of confusion to the point that confusion is not likely to occur?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SCC: “Masterpiece” becomes distinctive when intending to distinguish the retirement residence services of one owner from those of others; no acquired distinctiveness though</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2102CF" w:rsidRDefault="00AC6BE5" w:rsidP="00F70A9F">
            <w:pPr>
              <w:pStyle w:val="NoSpacing"/>
              <w:rPr>
                <w:rFonts w:ascii="Calibri" w:eastAsia="Times New Roman" w:hAnsi="Calibri" w:cs="Times New Roman"/>
                <w:highlight w:val="yellow"/>
                <w:lang w:eastAsia="en-CA"/>
              </w:rPr>
            </w:pPr>
            <w:r w:rsidRPr="002102CF">
              <w:rPr>
                <w:rFonts w:ascii="Calibri" w:eastAsia="Times New Roman" w:hAnsi="Calibri" w:cs="Times New Roman"/>
                <w:highlight w:val="yellow"/>
                <w:lang w:eastAsia="en-CA"/>
              </w:rPr>
              <w:t>Test for confusion analysis:</w:t>
            </w:r>
          </w:p>
          <w:p w:rsidR="00AC6BE5" w:rsidRPr="002102CF" w:rsidRDefault="00AC6BE5" w:rsidP="00F70A9F">
            <w:pPr>
              <w:pStyle w:val="NoSpacing"/>
              <w:rPr>
                <w:rFonts w:ascii="Calibri" w:eastAsia="Times New Roman" w:hAnsi="Calibri" w:cs="Times New Roman"/>
                <w:highlight w:val="yellow"/>
                <w:lang w:eastAsia="en-CA"/>
              </w:rPr>
            </w:pPr>
            <w:r w:rsidRPr="002102CF">
              <w:rPr>
                <w:rFonts w:ascii="Calibri" w:eastAsia="Times New Roman" w:hAnsi="Calibri" w:cs="Times New Roman"/>
                <w:highlight w:val="yellow"/>
                <w:lang w:eastAsia="en-CA"/>
              </w:rPr>
              <w:t>- Importance of testing for resemblance: Checking dominant or striking aspects of marks</w:t>
            </w:r>
          </w:p>
          <w:p w:rsidR="00AC6BE5" w:rsidRPr="002102CF" w:rsidRDefault="00AC6BE5" w:rsidP="00F70A9F">
            <w:pPr>
              <w:pStyle w:val="NoSpacing"/>
              <w:rPr>
                <w:rFonts w:ascii="Calibri" w:eastAsia="Times New Roman" w:hAnsi="Calibri" w:cs="Times New Roman"/>
                <w:highlight w:val="yellow"/>
                <w:lang w:eastAsia="en-CA"/>
              </w:rPr>
            </w:pPr>
            <w:r w:rsidRPr="002102CF">
              <w:rPr>
                <w:rFonts w:ascii="Calibri" w:eastAsia="Times New Roman" w:hAnsi="Calibri" w:cs="Times New Roman"/>
                <w:highlight w:val="yellow"/>
                <w:lang w:eastAsia="en-CA"/>
              </w:rPr>
              <w:t>- Geographic locations where marks are used is irrelevant</w:t>
            </w:r>
          </w:p>
          <w:p w:rsidR="00AC6BE5" w:rsidRPr="002102CF" w:rsidRDefault="00AC6BE5" w:rsidP="00F70A9F">
            <w:pPr>
              <w:pStyle w:val="NoSpacing"/>
              <w:rPr>
                <w:rFonts w:ascii="Calibri" w:eastAsia="Times New Roman" w:hAnsi="Calibri" w:cs="Times New Roman"/>
                <w:highlight w:val="yellow"/>
                <w:lang w:eastAsia="en-CA"/>
              </w:rPr>
            </w:pPr>
            <w:r w:rsidRPr="002102CF">
              <w:rPr>
                <w:rFonts w:ascii="Calibri" w:eastAsia="Times New Roman" w:hAnsi="Calibri" w:cs="Times New Roman"/>
                <w:highlight w:val="yellow"/>
                <w:lang w:eastAsia="en-CA"/>
              </w:rPr>
              <w:t>- Consider the mark applied for vs. as used</w:t>
            </w:r>
          </w:p>
          <w:p w:rsidR="00AC6BE5" w:rsidRPr="002102CF" w:rsidRDefault="00AC6BE5" w:rsidP="00F70A9F">
            <w:pPr>
              <w:pStyle w:val="NoSpacing"/>
              <w:rPr>
                <w:rFonts w:ascii="Calibri" w:eastAsia="Times New Roman" w:hAnsi="Calibri" w:cs="Times New Roman"/>
                <w:highlight w:val="yellow"/>
                <w:lang w:eastAsia="en-CA"/>
              </w:rPr>
            </w:pPr>
            <w:r w:rsidRPr="002102CF">
              <w:rPr>
                <w:rFonts w:ascii="Calibri" w:eastAsia="Times New Roman" w:hAnsi="Calibri" w:cs="Times New Roman"/>
                <w:highlight w:val="yellow"/>
                <w:lang w:eastAsia="en-CA"/>
              </w:rPr>
              <w:t>- Relevance of nature and cost of wares/services</w:t>
            </w:r>
          </w:p>
          <w:p w:rsidR="00AC6BE5" w:rsidRPr="00E72B7A" w:rsidRDefault="00AC6BE5" w:rsidP="00F70A9F">
            <w:pPr>
              <w:pStyle w:val="NoSpacing"/>
              <w:rPr>
                <w:rFonts w:ascii="Calibri" w:eastAsia="Times New Roman" w:hAnsi="Calibri" w:cs="Times New Roman"/>
                <w:lang w:eastAsia="en-CA"/>
              </w:rPr>
            </w:pPr>
            <w:r w:rsidRPr="002102CF">
              <w:rPr>
                <w:rFonts w:ascii="Calibri" w:eastAsia="Times New Roman" w:hAnsi="Calibri" w:cs="Times New Roman"/>
                <w:highlight w:val="yellow"/>
                <w:lang w:eastAsia="en-CA"/>
              </w:rPr>
              <w:t xml:space="preserve">Criteria for determining </w:t>
            </w:r>
            <w:r w:rsidRPr="00EB47AA">
              <w:rPr>
                <w:rFonts w:ascii="Calibri" w:eastAsia="Times New Roman" w:hAnsi="Calibri" w:cs="Times New Roman"/>
                <w:highlight w:val="yellow"/>
                <w:u w:val="single"/>
                <w:lang w:eastAsia="en-CA"/>
              </w:rPr>
              <w:t>confusion</w:t>
            </w:r>
            <w:r w:rsidRPr="002102CF">
              <w:rPr>
                <w:rFonts w:ascii="Calibri" w:eastAsia="Times New Roman" w:hAnsi="Calibri" w:cs="Times New Roman"/>
                <w:highlight w:val="yellow"/>
                <w:lang w:eastAsia="en-CA"/>
              </w:rPr>
              <w:t xml:space="preserve">: </w:t>
            </w:r>
            <w:r w:rsidRPr="00355A25">
              <w:rPr>
                <w:rFonts w:ascii="Calibri" w:eastAsia="Times New Roman" w:hAnsi="Calibri" w:cs="Times New Roman"/>
                <w:b/>
                <w:highlight w:val="yellow"/>
                <w:lang w:eastAsia="en-CA"/>
              </w:rPr>
              <w:t>First impression in the mind of a casual consumer</w:t>
            </w:r>
            <w:r w:rsidRPr="002102CF">
              <w:rPr>
                <w:rFonts w:ascii="Calibri" w:eastAsia="Times New Roman" w:hAnsi="Calibri" w:cs="Times New Roman"/>
                <w:highlight w:val="yellow"/>
                <w:lang w:eastAsia="en-CA"/>
              </w:rPr>
              <w:t xml:space="preserve"> who sees the mark (thus no more than an </w:t>
            </w:r>
            <w:r w:rsidRPr="00AC58DF">
              <w:rPr>
                <w:rFonts w:ascii="Calibri" w:eastAsia="Times New Roman" w:hAnsi="Calibri" w:cs="Times New Roman"/>
                <w:highlight w:val="yellow"/>
                <w:u w:val="single"/>
                <w:lang w:eastAsia="en-CA"/>
              </w:rPr>
              <w:t>imperfect recollection</w:t>
            </w:r>
            <w:r w:rsidRPr="002102CF">
              <w:rPr>
                <w:rFonts w:ascii="Calibri" w:eastAsia="Times New Roman" w:hAnsi="Calibri" w:cs="Times New Roman"/>
                <w:highlight w:val="yellow"/>
                <w:lang w:eastAsia="en-CA"/>
              </w:rPr>
              <w:t xml:space="preserve"> of the prior TMs), doesn’t pause to scrutinize for long, and doesn’t examine closely the similarities and differences between the marks.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Appeal allowed. They’re very similar marks.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Trial history: P unsuccessful in FC (rejected due to different post-</w:t>
            </w:r>
            <w:proofErr w:type="spellStart"/>
            <w:r>
              <w:rPr>
                <w:rFonts w:ascii="Calibri" w:eastAsia="Times New Roman" w:hAnsi="Calibri" w:cs="Times New Roman"/>
                <w:lang w:eastAsia="en-CA"/>
              </w:rPr>
              <w:t>reg</w:t>
            </w:r>
            <w:proofErr w:type="spellEnd"/>
            <w:r>
              <w:rPr>
                <w:rFonts w:ascii="Calibri" w:eastAsia="Times New Roman" w:hAnsi="Calibri" w:cs="Times New Roman"/>
                <w:lang w:eastAsia="en-CA"/>
              </w:rPr>
              <w:t xml:space="preserve"> uses of the marks in design and ads focus), and then FCA (P’s unexecuted plans to expand into central Canadian market at time of D’s TM application = Merely possibility of future confusion = Not relevant to assessment of confusion).</w:t>
            </w:r>
          </w:p>
        </w:tc>
      </w:tr>
    </w:tbl>
    <w:p w:rsidR="00AC6BE5" w:rsidRDefault="00AC6BE5" w:rsidP="00AC6BE5">
      <w:pPr>
        <w:pStyle w:val="Heading2"/>
        <w:numPr>
          <w:ilvl w:val="0"/>
          <w:numId w:val="33"/>
        </w:numPr>
      </w:pPr>
      <w:bookmarkStart w:id="30" w:name="_Toc405051845"/>
      <w:r>
        <w:t>Official and Prohibited Marks</w:t>
      </w:r>
      <w:bookmarkEnd w:id="30"/>
    </w:p>
    <w:p w:rsidR="00AC6BE5" w:rsidRDefault="00AC6BE5" w:rsidP="00AC6BE5">
      <w:pPr>
        <w:pStyle w:val="NoSpacing"/>
        <w:numPr>
          <w:ilvl w:val="0"/>
          <w:numId w:val="8"/>
        </w:numPr>
      </w:pPr>
      <w:r w:rsidRPr="0007171C">
        <w:rPr>
          <w:color w:val="ED7D31" w:themeColor="accent2"/>
        </w:rPr>
        <w:t>S. 12(1)(e)</w:t>
      </w:r>
      <w:r>
        <w:t xml:space="preserve"> mentions that there are marks prohibited by </w:t>
      </w:r>
      <w:r w:rsidRPr="0007171C">
        <w:rPr>
          <w:color w:val="ED7D31" w:themeColor="accent2"/>
        </w:rPr>
        <w:t xml:space="preserve">s. 9 </w:t>
      </w:r>
      <w:r>
        <w:t>that are thus not registrable, such as:</w:t>
      </w:r>
    </w:p>
    <w:p w:rsidR="00AC6BE5" w:rsidRPr="0007171C" w:rsidRDefault="00AC6BE5" w:rsidP="00AC6BE5">
      <w:pPr>
        <w:pStyle w:val="NoSpacing"/>
        <w:numPr>
          <w:ilvl w:val="1"/>
          <w:numId w:val="8"/>
        </w:numPr>
        <w:rPr>
          <w:color w:val="ED7D31" w:themeColor="accent2"/>
        </w:rPr>
      </w:pPr>
      <w:r>
        <w:lastRenderedPageBreak/>
        <w:t xml:space="preserve">Govt or royal crests, flags; words/symbols indicating or likely to lead to the belief of govt/royal approval: </w:t>
      </w:r>
      <w:r w:rsidRPr="0007171C">
        <w:rPr>
          <w:color w:val="ED7D31" w:themeColor="accent2"/>
        </w:rPr>
        <w:t>s. 9(1)(a)-(</w:t>
      </w:r>
      <w:proofErr w:type="spellStart"/>
      <w:r w:rsidRPr="0007171C">
        <w:rPr>
          <w:color w:val="ED7D31" w:themeColor="accent2"/>
        </w:rPr>
        <w:t>i</w:t>
      </w:r>
      <w:proofErr w:type="spellEnd"/>
      <w:r w:rsidRPr="0007171C">
        <w:rPr>
          <w:color w:val="ED7D31" w:themeColor="accent2"/>
        </w:rPr>
        <w:t>), (m), (n)(</w:t>
      </w:r>
      <w:proofErr w:type="spellStart"/>
      <w:r w:rsidRPr="0007171C">
        <w:rPr>
          <w:color w:val="ED7D31" w:themeColor="accent2"/>
        </w:rPr>
        <w:t>i</w:t>
      </w:r>
      <w:proofErr w:type="spellEnd"/>
      <w:r w:rsidRPr="0007171C">
        <w:rPr>
          <w:color w:val="ED7D31" w:themeColor="accent2"/>
        </w:rPr>
        <w:t>), (o)</w:t>
      </w:r>
    </w:p>
    <w:p w:rsidR="00AC6BE5" w:rsidRDefault="00AC6BE5" w:rsidP="00AC6BE5">
      <w:pPr>
        <w:pStyle w:val="NoSpacing"/>
        <w:numPr>
          <w:ilvl w:val="1"/>
          <w:numId w:val="8"/>
        </w:numPr>
      </w:pPr>
      <w:r>
        <w:t xml:space="preserve">Marks of universities: </w:t>
      </w:r>
      <w:r w:rsidRPr="0007171C">
        <w:rPr>
          <w:color w:val="ED7D31" w:themeColor="accent2"/>
        </w:rPr>
        <w:t>s. 9(1)(n)(ii)</w:t>
      </w:r>
    </w:p>
    <w:p w:rsidR="00AC6BE5" w:rsidRDefault="00AC6BE5" w:rsidP="00AC6BE5">
      <w:pPr>
        <w:pStyle w:val="NoSpacing"/>
        <w:numPr>
          <w:ilvl w:val="1"/>
          <w:numId w:val="8"/>
        </w:numPr>
      </w:pPr>
      <w:r>
        <w:t xml:space="preserve">Official marks of public authorities: </w:t>
      </w:r>
      <w:r w:rsidRPr="0007171C">
        <w:rPr>
          <w:color w:val="ED7D31" w:themeColor="accent2"/>
        </w:rPr>
        <w:t>s. 9(1)(n)(iii)</w:t>
      </w:r>
    </w:p>
    <w:p w:rsidR="00AC6BE5" w:rsidRDefault="00AC6BE5" w:rsidP="00AC6BE5">
      <w:pPr>
        <w:pStyle w:val="NoSpacing"/>
        <w:numPr>
          <w:ilvl w:val="1"/>
          <w:numId w:val="8"/>
        </w:numPr>
      </w:pPr>
      <w:r>
        <w:t xml:space="preserve">Scandalous, obscene, or immoral words or devices (e.g. FUCK CANCER): </w:t>
      </w:r>
      <w:r w:rsidRPr="0007171C">
        <w:rPr>
          <w:color w:val="ED7D31" w:themeColor="accent2"/>
        </w:rPr>
        <w:t>s. 9(1)(j)</w:t>
      </w:r>
    </w:p>
    <w:p w:rsidR="00AC6BE5" w:rsidRDefault="00AC6BE5" w:rsidP="00AC6BE5">
      <w:pPr>
        <w:pStyle w:val="NoSpacing"/>
        <w:numPr>
          <w:ilvl w:val="1"/>
          <w:numId w:val="8"/>
        </w:numPr>
      </w:pPr>
      <w:r>
        <w:t xml:space="preserve">Any matter falsely suggesting a connection with a living individual: </w:t>
      </w:r>
      <w:r w:rsidRPr="0007171C">
        <w:rPr>
          <w:color w:val="ED7D31" w:themeColor="accent2"/>
        </w:rPr>
        <w:t>s. 9(1)(k)</w:t>
      </w:r>
    </w:p>
    <w:p w:rsidR="00AC6BE5" w:rsidRDefault="00AC6BE5" w:rsidP="00AC6BE5">
      <w:pPr>
        <w:pStyle w:val="NoSpacing"/>
        <w:numPr>
          <w:ilvl w:val="2"/>
          <w:numId w:val="8"/>
        </w:numPr>
      </w:pPr>
      <w:r>
        <w:t>E.g. HERE’S JONNY for porta-potties (Johnny Carson), FARA for women’s wear (Farah Fawcett)</w:t>
      </w:r>
    </w:p>
    <w:p w:rsidR="00AC6BE5" w:rsidRDefault="00AC6BE5" w:rsidP="00AC6BE5">
      <w:pPr>
        <w:pStyle w:val="NoSpacing"/>
        <w:numPr>
          <w:ilvl w:val="1"/>
          <w:numId w:val="8"/>
        </w:numPr>
      </w:pPr>
      <w:r>
        <w:t xml:space="preserve">Portrait, signature of an individual who is living or has died in the past 30 years: </w:t>
      </w:r>
      <w:r w:rsidRPr="0007171C">
        <w:rPr>
          <w:color w:val="ED7D31" w:themeColor="accent2"/>
        </w:rPr>
        <w:t>s. 9(1)(l)</w:t>
      </w:r>
    </w:p>
    <w:p w:rsidR="00AC6BE5" w:rsidRDefault="00AC6BE5" w:rsidP="00AC6BE5">
      <w:pPr>
        <w:pStyle w:val="NoSpacing"/>
        <w:numPr>
          <w:ilvl w:val="0"/>
          <w:numId w:val="8"/>
        </w:numPr>
      </w:pPr>
      <w:r w:rsidRPr="0007171C">
        <w:rPr>
          <w:b/>
        </w:rPr>
        <w:t>University Marks</w:t>
      </w:r>
      <w:r>
        <w:t>: University must first request TM Registrar to give public notice of adoption and use (through publication in Trademarks Journal)</w:t>
      </w:r>
    </w:p>
    <w:p w:rsidR="00AC6BE5" w:rsidRDefault="00AC6BE5" w:rsidP="00AC6BE5">
      <w:pPr>
        <w:pStyle w:val="NoSpacing"/>
        <w:numPr>
          <w:ilvl w:val="1"/>
          <w:numId w:val="8"/>
        </w:numPr>
      </w:pPr>
      <w:r>
        <w:t xml:space="preserve">Not defined in </w:t>
      </w:r>
      <w:r w:rsidRPr="002B4A28">
        <w:rPr>
          <w:i/>
          <w:color w:val="FF0000"/>
        </w:rPr>
        <w:t>Trade-marks Act</w:t>
      </w:r>
      <w:r w:rsidRPr="002B4A28">
        <w:rPr>
          <w:color w:val="FF0000"/>
        </w:rPr>
        <w:t xml:space="preserve"> </w:t>
      </w:r>
      <w:r>
        <w:t xml:space="preserve">or </w:t>
      </w:r>
      <w:r w:rsidRPr="002B4A28">
        <w:rPr>
          <w:i/>
          <w:color w:val="FF0000"/>
        </w:rPr>
        <w:t>Trade-marks Regulations</w:t>
      </w:r>
      <w:r>
        <w:t>, no judicial interpretation yet</w:t>
      </w:r>
    </w:p>
    <w:p w:rsidR="00AC6BE5" w:rsidRDefault="00AC6BE5" w:rsidP="00AC6BE5">
      <w:pPr>
        <w:pStyle w:val="NoSpacing"/>
        <w:numPr>
          <w:ilvl w:val="1"/>
          <w:numId w:val="8"/>
        </w:numPr>
      </w:pPr>
      <w:r>
        <w:t xml:space="preserve">Public but non-universities (e.g. VCC, BCIT) have registered marks as official marks under </w:t>
      </w:r>
      <w:r w:rsidRPr="0007171C">
        <w:rPr>
          <w:color w:val="ED7D31" w:themeColor="accent2"/>
        </w:rPr>
        <w:t>s. 9(1)(n)(iii)</w:t>
      </w:r>
    </w:p>
    <w:p w:rsidR="00AC6BE5" w:rsidRPr="002B4A28" w:rsidRDefault="00AC6BE5" w:rsidP="00AC6BE5">
      <w:pPr>
        <w:pStyle w:val="NoSpacing"/>
        <w:numPr>
          <w:ilvl w:val="1"/>
          <w:numId w:val="8"/>
        </w:numPr>
      </w:pPr>
      <w:r>
        <w:t>Priv</w:t>
      </w:r>
      <w:r w:rsidR="00311AE6">
        <w:t xml:space="preserve">ate </w:t>
      </w:r>
      <w:r>
        <w:t>institutions (e.g. TWU, private hairdressing schools) have applied for regular TM applications</w:t>
      </w:r>
    </w:p>
    <w:p w:rsidR="00AC6BE5" w:rsidRDefault="00AC6BE5" w:rsidP="00AC6BE5">
      <w:pPr>
        <w:pStyle w:val="NoSpacing"/>
        <w:numPr>
          <w:ilvl w:val="0"/>
          <w:numId w:val="8"/>
        </w:numPr>
      </w:pPr>
      <w:r w:rsidRPr="0007171C">
        <w:rPr>
          <w:b/>
        </w:rPr>
        <w:t>Public Authority Marks</w:t>
      </w:r>
      <w:r>
        <w:t>: Public authority must first request TM Registrar to give public notice of adoption and use (through publication in Trademarks Journal)</w:t>
      </w:r>
    </w:p>
    <w:p w:rsidR="00AC6BE5" w:rsidRDefault="00AC6BE5" w:rsidP="00AC6BE5">
      <w:pPr>
        <w:pStyle w:val="Heading4"/>
      </w:pPr>
      <w:bookmarkStart w:id="31" w:name="_Toc405051846"/>
      <w:r>
        <w:t>Ontario Assn. of Architects v Assn. of Architectural Technologists of Ontario (2002) FCA</w:t>
      </w:r>
      <w:bookmarkEnd w:id="3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tabs>
                <w:tab w:val="left" w:pos="6655"/>
              </w:tabs>
              <w:rPr>
                <w:rFonts w:ascii="Calibri" w:eastAsia="Times New Roman" w:hAnsi="Calibri" w:cs="Times New Roman"/>
                <w:lang w:eastAsia="en-CA"/>
              </w:rPr>
            </w:pPr>
            <w:r>
              <w:rPr>
                <w:rFonts w:ascii="Calibri" w:eastAsia="Times New Roman" w:hAnsi="Calibri" w:cs="Times New Roman"/>
                <w:lang w:eastAsia="en-CA"/>
              </w:rPr>
              <w:t>P/A; D/R. D had adopted and used as official marks for services “Arc</w:t>
            </w:r>
            <w:r w:rsidR="00311AE6">
              <w:rPr>
                <w:rFonts w:ascii="Calibri" w:eastAsia="Times New Roman" w:hAnsi="Calibri" w:cs="Times New Roman"/>
                <w:lang w:eastAsia="en-CA"/>
              </w:rPr>
              <w:t>hitectural Technician”,</w:t>
            </w:r>
            <w:r>
              <w:rPr>
                <w:rFonts w:ascii="Calibri" w:eastAsia="Times New Roman" w:hAnsi="Calibri" w:cs="Times New Roman"/>
                <w:lang w:eastAsia="en-CA"/>
              </w:rPr>
              <w:t xml:space="preserve"> “Architectural Technologist” and French equivalents. As a result, P can’t use those words for their own professional services unless they had started to use them before Apr 28, 1999.</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 a self-regulatory professional body like D a public authority and thus capable of requesting the Registrar give public notice of its adoption and use of an official mark?</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FF2E51" w:rsidRDefault="00AC6BE5" w:rsidP="00F70A9F">
            <w:pPr>
              <w:pStyle w:val="NoSpacing"/>
              <w:rPr>
                <w:rFonts w:ascii="Calibri" w:eastAsia="Times New Roman" w:hAnsi="Calibri" w:cs="Times New Roman"/>
                <w:highlight w:val="yellow"/>
                <w:lang w:eastAsia="en-CA"/>
              </w:rPr>
            </w:pPr>
            <w:r w:rsidRPr="00FF2E51">
              <w:rPr>
                <w:rFonts w:ascii="Calibri" w:eastAsia="Times New Roman" w:hAnsi="Calibri" w:cs="Times New Roman"/>
                <w:highlight w:val="yellow"/>
                <w:lang w:eastAsia="en-CA"/>
              </w:rPr>
              <w:t xml:space="preserve">Test for </w:t>
            </w:r>
            <w:r w:rsidRPr="00FF2E51">
              <w:rPr>
                <w:rFonts w:ascii="Calibri" w:eastAsia="Times New Roman" w:hAnsi="Calibri" w:cs="Times New Roman"/>
                <w:b/>
                <w:highlight w:val="yellow"/>
                <w:lang w:eastAsia="en-CA"/>
              </w:rPr>
              <w:t>public authority</w:t>
            </w:r>
            <w:r w:rsidRPr="00FF2E51">
              <w:rPr>
                <w:rFonts w:ascii="Calibri" w:eastAsia="Times New Roman" w:hAnsi="Calibri" w:cs="Times New Roman"/>
                <w:highlight w:val="yellow"/>
                <w:lang w:eastAsia="en-CA"/>
              </w:rPr>
              <w:t>:</w:t>
            </w:r>
          </w:p>
          <w:p w:rsidR="00AC6BE5" w:rsidRPr="00FF2E51" w:rsidRDefault="00AC6BE5" w:rsidP="00F70A9F">
            <w:pPr>
              <w:pStyle w:val="NoSpacing"/>
              <w:rPr>
                <w:rFonts w:ascii="Calibri" w:eastAsia="Times New Roman" w:hAnsi="Calibri" w:cs="Times New Roman"/>
                <w:highlight w:val="yellow"/>
                <w:lang w:eastAsia="en-CA"/>
              </w:rPr>
            </w:pPr>
            <w:r>
              <w:rPr>
                <w:rFonts w:ascii="Calibri" w:eastAsia="Times New Roman" w:hAnsi="Calibri" w:cs="Times New Roman"/>
                <w:highlight w:val="yellow"/>
                <w:lang w:eastAsia="en-CA"/>
              </w:rPr>
              <w:t>1</w:t>
            </w:r>
            <w:r w:rsidRPr="00FF2E51">
              <w:rPr>
                <w:rFonts w:ascii="Calibri" w:eastAsia="Times New Roman" w:hAnsi="Calibri" w:cs="Times New Roman"/>
                <w:highlight w:val="yellow"/>
                <w:lang w:eastAsia="en-CA"/>
              </w:rPr>
              <w:t xml:space="preserve">) Significant degree of </w:t>
            </w:r>
            <w:r w:rsidRPr="00FF2E51">
              <w:rPr>
                <w:rFonts w:ascii="Calibri" w:eastAsia="Times New Roman" w:hAnsi="Calibri" w:cs="Times New Roman"/>
                <w:highlight w:val="yellow"/>
                <w:u w:val="single"/>
                <w:lang w:eastAsia="en-CA"/>
              </w:rPr>
              <w:t>governmental control</w:t>
            </w:r>
            <w:r w:rsidRPr="00FF2E51">
              <w:rPr>
                <w:rFonts w:ascii="Calibri" w:eastAsia="Times New Roman" w:hAnsi="Calibri" w:cs="Times New Roman"/>
                <w:highlight w:val="yellow"/>
                <w:lang w:eastAsia="en-CA"/>
              </w:rPr>
              <w:t xml:space="preserve"> by a level of govt in Canada (</w:t>
            </w:r>
            <w:r w:rsidRPr="00FF2E51">
              <w:rPr>
                <w:rFonts w:ascii="Calibri" w:eastAsia="Times New Roman" w:hAnsi="Calibri" w:cs="Times New Roman"/>
                <w:i/>
                <w:highlight w:val="yellow"/>
                <w:lang w:eastAsia="en-CA"/>
              </w:rPr>
              <w:t>Canada Post v USPS</w:t>
            </w:r>
            <w:r w:rsidRPr="00FF2E51">
              <w:rPr>
                <w:rFonts w:ascii="Calibri" w:eastAsia="Times New Roman" w:hAnsi="Calibri" w:cs="Times New Roman"/>
                <w:highlight w:val="yellow"/>
                <w:lang w:eastAsia="en-CA"/>
              </w:rPr>
              <w:t>), AND</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highlight w:val="yellow"/>
                <w:lang w:eastAsia="en-CA"/>
              </w:rPr>
              <w:t>2</w:t>
            </w:r>
            <w:r w:rsidRPr="00FF2E51">
              <w:rPr>
                <w:rFonts w:ascii="Calibri" w:eastAsia="Times New Roman" w:hAnsi="Calibri" w:cs="Times New Roman"/>
                <w:highlight w:val="yellow"/>
                <w:lang w:eastAsia="en-CA"/>
              </w:rPr>
              <w:t xml:space="preserve">) Any profit earned must be for </w:t>
            </w:r>
            <w:r w:rsidRPr="00FF2E51">
              <w:rPr>
                <w:rFonts w:ascii="Calibri" w:eastAsia="Times New Roman" w:hAnsi="Calibri" w:cs="Times New Roman"/>
                <w:highlight w:val="yellow"/>
                <w:u w:val="single"/>
                <w:lang w:eastAsia="en-CA"/>
              </w:rPr>
              <w:t>public benefit</w:t>
            </w:r>
            <w:r w:rsidRPr="00FF2E51">
              <w:rPr>
                <w:rFonts w:ascii="Calibri" w:eastAsia="Times New Roman" w:hAnsi="Calibri" w:cs="Times New Roman"/>
                <w:highlight w:val="yellow"/>
                <w:lang w:eastAsia="en-CA"/>
              </w:rPr>
              <w:t xml:space="preserve"> and not for private benefit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Appeal allowed. Public notice set aside.</w:t>
            </w:r>
          </w:p>
        </w:tc>
      </w:tr>
    </w:tbl>
    <w:p w:rsidR="00AC6BE5" w:rsidRDefault="00AC6BE5" w:rsidP="00AC6BE5">
      <w:pPr>
        <w:pStyle w:val="Heading4"/>
      </w:pPr>
      <w:bookmarkStart w:id="32" w:name="_Toc405051847"/>
      <w:r>
        <w:t>~Canada Post v US Postal Service (2005) FC</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311AE6">
            <w:pPr>
              <w:pStyle w:val="NoSpacing"/>
              <w:rPr>
                <w:rFonts w:ascii="Calibri" w:eastAsia="Times New Roman" w:hAnsi="Calibri" w:cs="Times New Roman"/>
                <w:lang w:eastAsia="en-CA"/>
              </w:rPr>
            </w:pPr>
            <w:r>
              <w:rPr>
                <w:rFonts w:ascii="Calibri" w:eastAsia="Times New Roman" w:hAnsi="Calibri" w:cs="Times New Roman"/>
                <w:lang w:eastAsia="en-CA"/>
              </w:rPr>
              <w:t xml:space="preserve">D adopted and used 13 official marks that the Registrar gave public notice of. P thus can’t use any of these marks (or those resembling them) </w:t>
            </w:r>
            <w:r w:rsidR="00311AE6">
              <w:rPr>
                <w:rFonts w:ascii="Calibri" w:eastAsia="Times New Roman" w:hAnsi="Calibri" w:cs="Times New Roman"/>
                <w:lang w:eastAsia="en-CA"/>
              </w:rPr>
              <w:t xml:space="preserve">for </w:t>
            </w:r>
            <w:r>
              <w:rPr>
                <w:rFonts w:ascii="Calibri" w:eastAsia="Times New Roman" w:hAnsi="Calibri" w:cs="Times New Roman"/>
                <w:lang w:eastAsia="en-CA"/>
              </w:rPr>
              <w:t>its own postal</w:t>
            </w:r>
            <w:r w:rsidR="00311AE6">
              <w:rPr>
                <w:rFonts w:ascii="Calibri" w:eastAsia="Times New Roman" w:hAnsi="Calibri" w:cs="Times New Roman"/>
                <w:lang w:eastAsia="en-CA"/>
              </w:rPr>
              <w:t xml:space="preserve"> wares and services unless </w:t>
            </w:r>
            <w:r>
              <w:rPr>
                <w:rFonts w:ascii="Calibri" w:eastAsia="Times New Roman" w:hAnsi="Calibri" w:cs="Times New Roman"/>
                <w:lang w:eastAsia="en-CA"/>
              </w:rPr>
              <w:t xml:space="preserve">had already been using </w:t>
            </w:r>
            <w:r w:rsidR="00311AE6">
              <w:rPr>
                <w:rFonts w:ascii="Calibri" w:eastAsia="Times New Roman" w:hAnsi="Calibri" w:cs="Times New Roman"/>
                <w:lang w:eastAsia="en-CA"/>
              </w:rPr>
              <w:t>them prior to the dates of</w:t>
            </w:r>
            <w:r>
              <w:rPr>
                <w:rFonts w:ascii="Calibri" w:eastAsia="Times New Roman" w:hAnsi="Calibri" w:cs="Times New Roman"/>
                <w:lang w:eastAsia="en-CA"/>
              </w:rPr>
              <w:t xml:space="preserve"> public notice</w:t>
            </w:r>
            <w:r w:rsidR="00311AE6">
              <w:rPr>
                <w:rFonts w:ascii="Calibri" w:eastAsia="Times New Roman" w:hAnsi="Calibri" w:cs="Times New Roman"/>
                <w:lang w:eastAsia="en-CA"/>
              </w:rPr>
              <w:t xml:space="preserve"> </w:t>
            </w:r>
            <w:r>
              <w:rPr>
                <w:rFonts w:ascii="Calibri" w:eastAsia="Times New Roman" w:hAnsi="Calibri" w:cs="Times New Roman"/>
                <w:lang w:eastAsia="en-CA"/>
              </w:rPr>
              <w:t>in Can</w:t>
            </w:r>
            <w:r w:rsidR="00311AE6">
              <w:rPr>
                <w:rFonts w:ascii="Calibri" w:eastAsia="Times New Roman" w:hAnsi="Calibri" w:cs="Times New Roman"/>
                <w:lang w:eastAsia="en-CA"/>
              </w:rPr>
              <w:t>ada</w:t>
            </w:r>
            <w:r>
              <w:rPr>
                <w:rFonts w:ascii="Calibri" w:eastAsia="Times New Roman" w:hAnsi="Calibri" w:cs="Times New Roman"/>
                <w:lang w:eastAsia="en-CA"/>
              </w:rPr>
              <w:t>. P/A; D/R.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Is a US institution a public authority for the purposes of </w:t>
            </w:r>
            <w:r w:rsidRPr="006A0F02">
              <w:rPr>
                <w:rFonts w:ascii="Calibri" w:eastAsia="Times New Roman" w:hAnsi="Calibri" w:cs="Times New Roman"/>
                <w:color w:val="ED7D31" w:themeColor="accent2"/>
                <w:lang w:eastAsia="en-CA"/>
              </w:rPr>
              <w:t>s. 9(1</w:t>
            </w:r>
            <w:proofErr w:type="gramStart"/>
            <w:r w:rsidRPr="006A0F02">
              <w:rPr>
                <w:rFonts w:ascii="Calibri" w:eastAsia="Times New Roman" w:hAnsi="Calibri" w:cs="Times New Roman"/>
                <w:color w:val="ED7D31" w:themeColor="accent2"/>
                <w:lang w:eastAsia="en-CA"/>
              </w:rPr>
              <w:t>)(</w:t>
            </w:r>
            <w:proofErr w:type="gramEnd"/>
            <w:r w:rsidRPr="006A0F02">
              <w:rPr>
                <w:rFonts w:ascii="Calibri" w:eastAsia="Times New Roman" w:hAnsi="Calibri" w:cs="Times New Roman"/>
                <w:color w:val="ED7D31" w:themeColor="accent2"/>
                <w:lang w:eastAsia="en-CA"/>
              </w:rPr>
              <w:t>n)(iii)</w:t>
            </w:r>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311AE6"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 P: These marks = </w:t>
            </w:r>
            <w:r w:rsidR="00AC6BE5">
              <w:rPr>
                <w:rFonts w:ascii="Calibri" w:eastAsia="Times New Roman" w:hAnsi="Calibri" w:cs="Times New Roman"/>
                <w:lang w:eastAsia="en-CA"/>
              </w:rPr>
              <w:t>contrary to p</w:t>
            </w:r>
            <w:r>
              <w:rPr>
                <w:rFonts w:ascii="Calibri" w:eastAsia="Times New Roman" w:hAnsi="Calibri" w:cs="Times New Roman"/>
                <w:lang w:eastAsia="en-CA"/>
              </w:rPr>
              <w:t xml:space="preserve">ublic order since they’re </w:t>
            </w:r>
            <w:r w:rsidR="00AC6BE5">
              <w:rPr>
                <w:rFonts w:ascii="Calibri" w:eastAsia="Times New Roman" w:hAnsi="Calibri" w:cs="Times New Roman"/>
                <w:lang w:eastAsia="en-CA"/>
              </w:rPr>
              <w:t>used commonly by other postal authorities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6A0F02">
              <w:rPr>
                <w:rFonts w:ascii="Calibri" w:eastAsia="Times New Roman" w:hAnsi="Calibri" w:cs="Times New Roman"/>
                <w:highlight w:val="yellow"/>
                <w:lang w:eastAsia="en-CA"/>
              </w:rPr>
              <w:t xml:space="preserve">To be entitled to be an official mark, the institution claiming it must be a public authority in Canada. That means it must be </w:t>
            </w:r>
            <w:r w:rsidRPr="00311AE6">
              <w:rPr>
                <w:rFonts w:ascii="Calibri" w:eastAsia="Times New Roman" w:hAnsi="Calibri" w:cs="Times New Roman"/>
                <w:highlight w:val="yellow"/>
                <w:u w:val="single"/>
                <w:lang w:eastAsia="en-CA"/>
              </w:rPr>
              <w:t>subject to govt control within Canada</w:t>
            </w:r>
            <w:r w:rsidRPr="006A0F02">
              <w:rPr>
                <w:rFonts w:ascii="Calibri" w:eastAsia="Times New Roman" w:hAnsi="Calibri" w:cs="Times New Roman"/>
                <w:highlight w:val="yellow"/>
                <w:lang w:eastAsia="en-CA"/>
              </w:rPr>
              <w:t>.</w:t>
            </w:r>
          </w:p>
        </w:tc>
      </w:tr>
    </w:tbl>
    <w:p w:rsidR="00AC6BE5" w:rsidRDefault="00AC6BE5" w:rsidP="00AC6BE5">
      <w:pPr>
        <w:pStyle w:val="NoSpacing"/>
        <w:numPr>
          <w:ilvl w:val="0"/>
          <w:numId w:val="8"/>
        </w:numPr>
      </w:pPr>
      <w:r w:rsidRPr="00D36F46">
        <w:rPr>
          <w:b/>
        </w:rPr>
        <w:t>Test of confusion</w:t>
      </w:r>
      <w:r>
        <w:t xml:space="preserve"> in </w:t>
      </w:r>
      <w:r w:rsidRPr="00D36F46">
        <w:rPr>
          <w:color w:val="ED7D31" w:themeColor="accent2"/>
        </w:rPr>
        <w:t>s. 9(1)</w:t>
      </w:r>
      <w:r>
        <w:t>: “Consisting of, or so nearly resembling, as to be likely to be mistaken for…”</w:t>
      </w:r>
    </w:p>
    <w:p w:rsidR="00AC6BE5" w:rsidRDefault="00AC6BE5" w:rsidP="00311AE6">
      <w:pPr>
        <w:pStyle w:val="NoSpacing"/>
        <w:numPr>
          <w:ilvl w:val="1"/>
          <w:numId w:val="8"/>
        </w:numPr>
      </w:pPr>
      <w:r>
        <w:t xml:space="preserve">Only factor is </w:t>
      </w:r>
      <w:r w:rsidRPr="00311AE6">
        <w:rPr>
          <w:u w:val="single"/>
        </w:rPr>
        <w:t>resemblance of marks</w:t>
      </w:r>
      <w:r w:rsidR="00311AE6">
        <w:t>; thus n</w:t>
      </w:r>
      <w:r>
        <w:t>o restriction to particular goods or services</w:t>
      </w:r>
    </w:p>
    <w:p w:rsidR="00AC6BE5" w:rsidRDefault="00AC6BE5" w:rsidP="00AC6BE5">
      <w:pPr>
        <w:pStyle w:val="NoSpacing"/>
        <w:numPr>
          <w:ilvl w:val="0"/>
          <w:numId w:val="8"/>
        </w:numPr>
      </w:pPr>
      <w:r>
        <w:t xml:space="preserve">Exception under </w:t>
      </w:r>
      <w:r w:rsidRPr="00D36F46">
        <w:rPr>
          <w:color w:val="ED7D31" w:themeColor="accent2"/>
        </w:rPr>
        <w:t xml:space="preserve">s 9(2)(a) </w:t>
      </w:r>
      <w:r>
        <w:t xml:space="preserve">if the business obtains </w:t>
      </w:r>
      <w:r>
        <w:rPr>
          <w:u w:val="single"/>
        </w:rPr>
        <w:t>consent from</w:t>
      </w:r>
      <w:r w:rsidRPr="00D36F46">
        <w:rPr>
          <w:u w:val="single"/>
        </w:rPr>
        <w:t xml:space="preserve"> the Queen</w:t>
      </w:r>
      <w:r>
        <w:t xml:space="preserve"> or anyone who may be considered to have been intended to be protected by </w:t>
      </w:r>
      <w:r w:rsidRPr="00D36F46">
        <w:rPr>
          <w:color w:val="ED7D31" w:themeColor="accent2"/>
        </w:rPr>
        <w:t>s. 9(1)</w:t>
      </w:r>
      <w:r>
        <w:rPr>
          <w:color w:val="ED7D31" w:themeColor="accent2"/>
        </w:rPr>
        <w:t xml:space="preserve"> </w:t>
      </w:r>
      <w:r w:rsidRPr="006A0F02">
        <w:t>(e.g. Tabasco sauce, Hunter boots</w:t>
      </w:r>
      <w:r w:rsidR="00311AE6">
        <w:t xml:space="preserve"> with Royal Seal</w:t>
      </w:r>
      <w:r w:rsidRPr="006A0F02">
        <w:t>)</w:t>
      </w:r>
    </w:p>
    <w:p w:rsidR="00AC6BE5" w:rsidRDefault="00AC6BE5" w:rsidP="00AC6BE5">
      <w:pPr>
        <w:pStyle w:val="Heading2"/>
      </w:pPr>
      <w:bookmarkStart w:id="33" w:name="_Toc405051848"/>
      <w:r>
        <w:t>8.0 Certification Marks</w:t>
      </w:r>
      <w:bookmarkEnd w:id="33"/>
    </w:p>
    <w:p w:rsidR="00AC6BE5" w:rsidRDefault="00AC6BE5" w:rsidP="00AC6BE5">
      <w:pPr>
        <w:pStyle w:val="NoSpacing"/>
        <w:numPr>
          <w:ilvl w:val="0"/>
          <w:numId w:val="9"/>
        </w:numPr>
      </w:pPr>
      <w:r>
        <w:t xml:space="preserve">Purpose of </w:t>
      </w:r>
      <w:r w:rsidRPr="006A0F02">
        <w:rPr>
          <w:b/>
        </w:rPr>
        <w:t>certification marks</w:t>
      </w:r>
      <w:r>
        <w:t>: Distinguish goods or services of a specified standard from goods or services that do not meet the standard; NOT to distinguish one trader’s goods or services from those of others</w:t>
      </w:r>
    </w:p>
    <w:p w:rsidR="00AC6BE5" w:rsidRDefault="00AC6BE5" w:rsidP="00AC6BE5">
      <w:pPr>
        <w:pStyle w:val="NoSpacing"/>
        <w:numPr>
          <w:ilvl w:val="1"/>
          <w:numId w:val="9"/>
        </w:numPr>
      </w:pPr>
      <w:r>
        <w:t>Example: BC Vintners Quality Alliance, quality standard for BC wines, must pass taste test by qualified panel and have 100% BC-grown grapes</w:t>
      </w:r>
    </w:p>
    <w:p w:rsidR="00AC6BE5" w:rsidRDefault="00AC6BE5" w:rsidP="00AC6BE5">
      <w:pPr>
        <w:pStyle w:val="NoSpacing"/>
        <w:numPr>
          <w:ilvl w:val="0"/>
          <w:numId w:val="9"/>
        </w:numPr>
      </w:pPr>
      <w:r>
        <w:t>Features of certification marks:</w:t>
      </w:r>
    </w:p>
    <w:p w:rsidR="00AC6BE5" w:rsidRDefault="00AC6BE5" w:rsidP="00AC6BE5">
      <w:pPr>
        <w:pStyle w:val="NoSpacing"/>
        <w:numPr>
          <w:ilvl w:val="1"/>
          <w:numId w:val="9"/>
        </w:numPr>
      </w:pPr>
      <w:r>
        <w:t>Adoption and registration only by a person who is not engaged in producing the goods/services</w:t>
      </w:r>
    </w:p>
    <w:p w:rsidR="00AC6BE5" w:rsidRDefault="00AC6BE5" w:rsidP="00AC6BE5">
      <w:pPr>
        <w:pStyle w:val="NoSpacing"/>
        <w:numPr>
          <w:ilvl w:val="1"/>
          <w:numId w:val="9"/>
        </w:numPr>
      </w:pPr>
      <w:r>
        <w:t xml:space="preserve">Actual use is by </w:t>
      </w:r>
      <w:r w:rsidRPr="006A0F02">
        <w:rPr>
          <w:b/>
        </w:rPr>
        <w:t>licensees</w:t>
      </w:r>
    </w:p>
    <w:p w:rsidR="00AC6BE5" w:rsidRDefault="00AC6BE5" w:rsidP="00AC6BE5">
      <w:pPr>
        <w:pStyle w:val="NoSpacing"/>
        <w:numPr>
          <w:ilvl w:val="1"/>
          <w:numId w:val="9"/>
        </w:numPr>
      </w:pPr>
      <w:r>
        <w:t>Owner is not obliged to license everyone who meets the standard</w:t>
      </w:r>
    </w:p>
    <w:p w:rsidR="00AC6BE5" w:rsidRDefault="00AC6BE5" w:rsidP="00AC6BE5">
      <w:pPr>
        <w:pStyle w:val="NoSpacing"/>
        <w:numPr>
          <w:ilvl w:val="1"/>
          <w:numId w:val="9"/>
        </w:numPr>
      </w:pPr>
      <w:r>
        <w:t>Mark must be in use at date of application</w:t>
      </w:r>
    </w:p>
    <w:p w:rsidR="00AC6BE5" w:rsidRDefault="00AC6BE5" w:rsidP="00AC6BE5">
      <w:pPr>
        <w:pStyle w:val="Heading4"/>
      </w:pPr>
      <w:bookmarkStart w:id="34" w:name="_Toc405051849"/>
      <w:r>
        <w:lastRenderedPageBreak/>
        <w:t>Wool Bureau of Canada v Queenswear (1980) FC, Trial Div</w:t>
      </w:r>
      <w:bookmarkEnd w:id="3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A’s registered TMs (Wool Mark and Wool Blend Mark) are certification marks and may also be categorized as design marks.</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Who gets to sue if there is infringement?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9E6C67">
              <w:rPr>
                <w:rFonts w:ascii="Calibri" w:eastAsia="Times New Roman" w:hAnsi="Calibri" w:cs="Times New Roman"/>
                <w:highlight w:val="yellow"/>
                <w:u w:val="single"/>
                <w:lang w:eastAsia="en-CA"/>
              </w:rPr>
              <w:t>Owner of certification mark</w:t>
            </w:r>
            <w:r w:rsidRPr="006A0F02">
              <w:rPr>
                <w:rFonts w:ascii="Calibri" w:eastAsia="Times New Roman" w:hAnsi="Calibri" w:cs="Times New Roman"/>
                <w:highlight w:val="yellow"/>
                <w:lang w:eastAsia="en-CA"/>
              </w:rPr>
              <w:t xml:space="preserve"> stands in the place of the actual user for purposes of opposing registration or use of a confusing mark.</w:t>
            </w:r>
          </w:p>
        </w:tc>
      </w:tr>
    </w:tbl>
    <w:p w:rsidR="00AC6BE5" w:rsidRDefault="00AC6BE5" w:rsidP="00AC6BE5">
      <w:pPr>
        <w:pStyle w:val="NoSpacing"/>
        <w:numPr>
          <w:ilvl w:val="0"/>
          <w:numId w:val="9"/>
        </w:numPr>
      </w:pPr>
      <w:r w:rsidRPr="006A0F02">
        <w:rPr>
          <w:u w:val="single"/>
        </w:rPr>
        <w:t>Geographically descriptive</w:t>
      </w:r>
      <w:r>
        <w:t xml:space="preserve"> certification marks (</w:t>
      </w:r>
      <w:r w:rsidRPr="006A0F02">
        <w:rPr>
          <w:color w:val="ED7D31" w:themeColor="accent2"/>
        </w:rPr>
        <w:t>s. 25</w:t>
      </w:r>
      <w:r>
        <w:t>):</w:t>
      </w:r>
    </w:p>
    <w:p w:rsidR="00AC6BE5" w:rsidRDefault="00AC6BE5" w:rsidP="00AC6BE5">
      <w:pPr>
        <w:pStyle w:val="NoSpacing"/>
        <w:numPr>
          <w:ilvl w:val="1"/>
          <w:numId w:val="9"/>
        </w:numPr>
      </w:pPr>
      <w:r>
        <w:t>Administrative authority or commercial association in an area can register a certification mark descriptive of the place of origin of the goods/services</w:t>
      </w:r>
    </w:p>
    <w:p w:rsidR="00AC6BE5" w:rsidRDefault="00AC6BE5" w:rsidP="00AC6BE5">
      <w:pPr>
        <w:pStyle w:val="NoSpacing"/>
        <w:numPr>
          <w:ilvl w:val="1"/>
          <w:numId w:val="9"/>
        </w:numPr>
      </w:pPr>
      <w:r>
        <w:t>Owner must permit use of mark for all goods/services produced in the area</w:t>
      </w:r>
    </w:p>
    <w:p w:rsidR="00AC6BE5" w:rsidRDefault="00AC6BE5" w:rsidP="00AC6BE5">
      <w:pPr>
        <w:pStyle w:val="Heading2"/>
      </w:pPr>
      <w:bookmarkStart w:id="35" w:name="_Toc405051850"/>
      <w:r>
        <w:t>9.0 Non-Use</w:t>
      </w:r>
      <w:bookmarkEnd w:id="35"/>
    </w:p>
    <w:p w:rsidR="00AC6BE5" w:rsidRDefault="00AC6BE5" w:rsidP="00AC6BE5">
      <w:pPr>
        <w:pStyle w:val="NoSpacing"/>
        <w:numPr>
          <w:ilvl w:val="0"/>
          <w:numId w:val="10"/>
        </w:numPr>
      </w:pPr>
      <w:r>
        <w:t>TM registr</w:t>
      </w:r>
      <w:r w:rsidR="00C51ED4">
        <w:t xml:space="preserve">ation can be lost if there’s </w:t>
      </w:r>
      <w:r w:rsidR="00C51ED4" w:rsidRPr="00C51ED4">
        <w:rPr>
          <w:b/>
        </w:rPr>
        <w:t>non-use</w:t>
      </w:r>
      <w:r w:rsidR="00C51ED4">
        <w:t xml:space="preserve"> of TM:</w:t>
      </w:r>
    </w:p>
    <w:p w:rsidR="00AC6BE5" w:rsidRDefault="00AC6BE5" w:rsidP="00AC6BE5">
      <w:pPr>
        <w:pStyle w:val="NoSpacing"/>
        <w:numPr>
          <w:ilvl w:val="1"/>
          <w:numId w:val="10"/>
        </w:numPr>
      </w:pPr>
      <w:r>
        <w:t xml:space="preserve">Summary </w:t>
      </w:r>
      <w:proofErr w:type="spellStart"/>
      <w:r>
        <w:t>expungement</w:t>
      </w:r>
      <w:proofErr w:type="spellEnd"/>
      <w:r>
        <w:t xml:space="preserve"> under </w:t>
      </w:r>
      <w:r w:rsidRPr="006A0F02">
        <w:rPr>
          <w:color w:val="ED7D31" w:themeColor="accent2"/>
        </w:rPr>
        <w:t>s. 45</w:t>
      </w:r>
      <w:r w:rsidR="00F11380">
        <w:rPr>
          <w:color w:val="ED7D31" w:themeColor="accent2"/>
        </w:rPr>
        <w:t>(3)</w:t>
      </w:r>
    </w:p>
    <w:p w:rsidR="00AC6BE5" w:rsidRDefault="00AC6BE5" w:rsidP="00AC6BE5">
      <w:pPr>
        <w:pStyle w:val="NoSpacing"/>
        <w:numPr>
          <w:ilvl w:val="1"/>
          <w:numId w:val="10"/>
        </w:numPr>
      </w:pPr>
      <w:r>
        <w:t xml:space="preserve">Invalidation under </w:t>
      </w:r>
      <w:r w:rsidRPr="006A0F02">
        <w:rPr>
          <w:color w:val="ED7D31" w:themeColor="accent2"/>
        </w:rPr>
        <w:t>s. 18</w:t>
      </w:r>
    </w:p>
    <w:p w:rsidR="00AC6BE5" w:rsidRDefault="00AC6BE5" w:rsidP="00AC6BE5">
      <w:pPr>
        <w:pStyle w:val="Heading4"/>
      </w:pPr>
      <w:bookmarkStart w:id="36" w:name="_Toc405051851"/>
      <w:r>
        <w:t>Wolfville v Holland Bakery (1964) Ex Ct</w:t>
      </w:r>
      <w:bookmarkEnd w:id="3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proofErr w:type="spellStart"/>
            <w:r w:rsidRPr="006A0F02">
              <w:rPr>
                <w:rFonts w:ascii="Calibri" w:eastAsia="Times New Roman" w:hAnsi="Calibri" w:cs="Times New Roman"/>
                <w:highlight w:val="yellow"/>
                <w:lang w:eastAsia="en-CA"/>
              </w:rPr>
              <w:t>Expungement</w:t>
            </w:r>
            <w:proofErr w:type="spellEnd"/>
            <w:r w:rsidRPr="006A0F02">
              <w:rPr>
                <w:rFonts w:ascii="Calibri" w:eastAsia="Times New Roman" w:hAnsi="Calibri" w:cs="Times New Roman"/>
                <w:highlight w:val="yellow"/>
                <w:lang w:eastAsia="en-CA"/>
              </w:rPr>
              <w:t xml:space="preserve"> </w:t>
            </w:r>
            <w:r>
              <w:rPr>
                <w:rFonts w:ascii="Calibri" w:eastAsia="Times New Roman" w:hAnsi="Calibri" w:cs="Times New Roman"/>
                <w:highlight w:val="yellow"/>
                <w:lang w:eastAsia="en-CA"/>
              </w:rPr>
              <w:t>(</w:t>
            </w:r>
            <w:r w:rsidRPr="00AB35A2">
              <w:rPr>
                <w:rFonts w:ascii="Calibri" w:eastAsia="Times New Roman" w:hAnsi="Calibri" w:cs="Times New Roman"/>
                <w:color w:val="ED7D31" w:themeColor="accent2"/>
                <w:highlight w:val="yellow"/>
                <w:lang w:eastAsia="en-CA"/>
              </w:rPr>
              <w:t>s. 45</w:t>
            </w:r>
            <w:r>
              <w:rPr>
                <w:rFonts w:ascii="Calibri" w:eastAsia="Times New Roman" w:hAnsi="Calibri" w:cs="Times New Roman"/>
                <w:highlight w:val="yellow"/>
                <w:lang w:eastAsia="en-CA"/>
              </w:rPr>
              <w:t xml:space="preserve">) </w:t>
            </w:r>
            <w:r w:rsidRPr="006A0F02">
              <w:rPr>
                <w:rFonts w:ascii="Calibri" w:eastAsia="Times New Roman" w:hAnsi="Calibri" w:cs="Times New Roman"/>
                <w:highlight w:val="yellow"/>
                <w:lang w:eastAsia="en-CA"/>
              </w:rPr>
              <w:t>is necessary to remove dead</w:t>
            </w:r>
            <w:r>
              <w:rPr>
                <w:rFonts w:ascii="Calibri" w:eastAsia="Times New Roman" w:hAnsi="Calibri" w:cs="Times New Roman"/>
                <w:highlight w:val="yellow"/>
                <w:lang w:eastAsia="en-CA"/>
              </w:rPr>
              <w:t xml:space="preserve"> </w:t>
            </w:r>
            <w:r w:rsidRPr="006A0F02">
              <w:rPr>
                <w:rFonts w:ascii="Calibri" w:eastAsia="Times New Roman" w:hAnsi="Calibri" w:cs="Times New Roman"/>
                <w:highlight w:val="yellow"/>
                <w:lang w:eastAsia="en-CA"/>
              </w:rPr>
              <w:t>wood</w:t>
            </w:r>
            <w:r>
              <w:rPr>
                <w:rFonts w:ascii="Calibri" w:eastAsia="Times New Roman" w:hAnsi="Calibri" w:cs="Times New Roman"/>
                <w:highlight w:val="yellow"/>
                <w:lang w:eastAsia="en-CA"/>
              </w:rPr>
              <w:t xml:space="preserve"> marks</w:t>
            </w:r>
            <w:r w:rsidRPr="006A0F02">
              <w:rPr>
                <w:rFonts w:ascii="Calibri" w:eastAsia="Times New Roman" w:hAnsi="Calibri" w:cs="Times New Roman"/>
                <w:highlight w:val="yellow"/>
                <w:lang w:eastAsia="en-CA"/>
              </w:rPr>
              <w:t xml:space="preserve"> from the register. Other people may wish to adopt same or similar trademark.</w:t>
            </w:r>
          </w:p>
        </w:tc>
      </w:tr>
    </w:tbl>
    <w:p w:rsidR="00AC6BE5" w:rsidRDefault="00AC6BE5" w:rsidP="00AC6BE5">
      <w:pPr>
        <w:pStyle w:val="Heading3"/>
      </w:pPr>
      <w:bookmarkStart w:id="37" w:name="_Toc405051852"/>
      <w:r>
        <w:t>9.1 Expungement Under S. 45</w:t>
      </w:r>
      <w:bookmarkEnd w:id="37"/>
    </w:p>
    <w:p w:rsidR="00AC6BE5" w:rsidRDefault="00AC6BE5" w:rsidP="00AC6BE5">
      <w:pPr>
        <w:pStyle w:val="NoSpacing"/>
        <w:numPr>
          <w:ilvl w:val="0"/>
          <w:numId w:val="10"/>
        </w:numPr>
      </w:pPr>
      <w:r w:rsidRPr="00AB35A2">
        <w:rPr>
          <w:color w:val="ED7D31" w:themeColor="accent2"/>
        </w:rPr>
        <w:t xml:space="preserve">S. 45(1) </w:t>
      </w:r>
      <w:r>
        <w:t>outlines a simple administrative procedure:</w:t>
      </w:r>
    </w:p>
    <w:p w:rsidR="00AC6BE5" w:rsidRDefault="00AC6BE5" w:rsidP="00AC6BE5">
      <w:pPr>
        <w:pStyle w:val="NoSpacing"/>
        <w:numPr>
          <w:ilvl w:val="1"/>
          <w:numId w:val="10"/>
        </w:numPr>
      </w:pPr>
      <w:r>
        <w:t>1) Person (who pays prescribed fee) makes request to Registrar to send notice to registered owner of the TM asking for an affidavit or a statutory declaration</w:t>
      </w:r>
    </w:p>
    <w:p w:rsidR="00AC6BE5" w:rsidRDefault="00AC6BE5" w:rsidP="00AC6BE5">
      <w:pPr>
        <w:pStyle w:val="NoSpacing"/>
        <w:numPr>
          <w:ilvl w:val="1"/>
          <w:numId w:val="10"/>
        </w:numPr>
      </w:pPr>
      <w:r>
        <w:t xml:space="preserve">2) Owner must show “use” </w:t>
      </w:r>
      <w:r w:rsidR="009659C3">
        <w:t>(</w:t>
      </w:r>
      <w:r>
        <w:t>within 3 months of the notice</w:t>
      </w:r>
      <w:r w:rsidR="009659C3">
        <w:t>)</w:t>
      </w:r>
      <w:r>
        <w:t xml:space="preserve"> </w:t>
      </w:r>
      <w:r w:rsidR="009659C3">
        <w:t xml:space="preserve">in </w:t>
      </w:r>
      <w:r>
        <w:t>the last three years for EACH ware/service, or special circumstances excusing non-use (and date since last use)</w:t>
      </w:r>
    </w:p>
    <w:p w:rsidR="00AC6BE5" w:rsidRDefault="00AC6BE5" w:rsidP="00AC6BE5">
      <w:pPr>
        <w:pStyle w:val="NoSpacing"/>
        <w:numPr>
          <w:ilvl w:val="1"/>
          <w:numId w:val="10"/>
        </w:numPr>
      </w:pPr>
      <w:r>
        <w:t>3) Requestor and owner may file written submissions</w:t>
      </w:r>
    </w:p>
    <w:p w:rsidR="00AC6BE5" w:rsidRDefault="00AC6BE5" w:rsidP="00AC6BE5">
      <w:pPr>
        <w:pStyle w:val="NoSpacing"/>
        <w:numPr>
          <w:ilvl w:val="0"/>
          <w:numId w:val="10"/>
        </w:numPr>
      </w:pPr>
      <w:r>
        <w:t>Three-year grace period after date of registration</w:t>
      </w:r>
    </w:p>
    <w:p w:rsidR="00AC6BE5" w:rsidRDefault="00AC6BE5" w:rsidP="00AC6BE5">
      <w:pPr>
        <w:pStyle w:val="Heading4"/>
      </w:pPr>
      <w:bookmarkStart w:id="38" w:name="_Toc405051853"/>
      <w:r>
        <w:t>John Labatt v Cotton Club Bottling (1976) FC Trial Div</w:t>
      </w:r>
      <w:bookmarkEnd w:id="3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C51ED4">
              <w:rPr>
                <w:rFonts w:ascii="Calibri" w:eastAsia="Times New Roman" w:hAnsi="Calibri" w:cs="Times New Roman"/>
                <w:highlight w:val="yellow"/>
                <w:u w:val="single"/>
                <w:lang w:eastAsia="en-CA"/>
              </w:rPr>
              <w:t>Excusable absence of use</w:t>
            </w:r>
            <w:r w:rsidRPr="00AB35A2">
              <w:rPr>
                <w:rFonts w:ascii="Calibri" w:eastAsia="Times New Roman" w:hAnsi="Calibri" w:cs="Times New Roman"/>
                <w:highlight w:val="yellow"/>
                <w:lang w:eastAsia="en-CA"/>
              </w:rPr>
              <w:t xml:space="preserve"> must be the result of an external force,</w:t>
            </w:r>
            <w:r>
              <w:rPr>
                <w:rFonts w:ascii="Calibri" w:eastAsia="Times New Roman" w:hAnsi="Calibri" w:cs="Times New Roman"/>
                <w:highlight w:val="yellow"/>
                <w:lang w:eastAsia="en-CA"/>
              </w:rPr>
              <w:t xml:space="preserve"> not voluntary acts of TM owner or due to bad market conditions.</w:t>
            </w:r>
          </w:p>
        </w:tc>
      </w:tr>
    </w:tbl>
    <w:p w:rsidR="00AC6BE5" w:rsidRDefault="00AC6BE5" w:rsidP="00805220">
      <w:pPr>
        <w:pStyle w:val="NoSpacing"/>
        <w:numPr>
          <w:ilvl w:val="0"/>
          <w:numId w:val="45"/>
        </w:numPr>
      </w:pPr>
      <w:r w:rsidRPr="00805220">
        <w:rPr>
          <w:i/>
        </w:rPr>
        <w:t>Plough v Aerosol Fillers</w:t>
      </w:r>
      <w:r>
        <w:t xml:space="preserve"> (1980) FCA</w:t>
      </w:r>
      <w:r w:rsidR="00805220">
        <w:t xml:space="preserve">: </w:t>
      </w:r>
      <w:r w:rsidR="00805220" w:rsidRPr="002F2475">
        <w:rPr>
          <w:rFonts w:ascii="Calibri" w:eastAsia="Times New Roman" w:hAnsi="Calibri" w:cs="Times New Roman"/>
          <w:highlight w:val="yellow"/>
          <w:lang w:eastAsia="en-CA"/>
        </w:rPr>
        <w:t>Cannot just claim use. Have to give evidence of use.</w:t>
      </w:r>
    </w:p>
    <w:p w:rsidR="009659C3" w:rsidRDefault="009659C3" w:rsidP="009659C3">
      <w:pPr>
        <w:pStyle w:val="NoSpacing"/>
        <w:numPr>
          <w:ilvl w:val="0"/>
          <w:numId w:val="10"/>
        </w:numPr>
      </w:pPr>
      <w:r w:rsidRPr="00AB35A2">
        <w:rPr>
          <w:color w:val="ED7D31" w:themeColor="accent2"/>
        </w:rPr>
        <w:t>S. 45(3)</w:t>
      </w:r>
      <w:r>
        <w:t xml:space="preserve"> does allow for “special circumstances that </w:t>
      </w:r>
      <w:r w:rsidRPr="009659C3">
        <w:rPr>
          <w:b/>
        </w:rPr>
        <w:t>excuse the absence of use</w:t>
      </w:r>
      <w:r>
        <w:t>”, like:</w:t>
      </w:r>
    </w:p>
    <w:p w:rsidR="00AC6BE5" w:rsidRDefault="00AC6BE5" w:rsidP="00AC6BE5">
      <w:pPr>
        <w:pStyle w:val="NoSpacing"/>
        <w:numPr>
          <w:ilvl w:val="1"/>
          <w:numId w:val="10"/>
        </w:numPr>
      </w:pPr>
      <w:r>
        <w:t xml:space="preserve">Use by licensee </w:t>
      </w:r>
      <w:r>
        <w:sym w:font="Wingdings" w:char="F0E0"/>
      </w:r>
      <w:r>
        <w:t xml:space="preserve"> </w:t>
      </w:r>
      <w:proofErr w:type="spellStart"/>
      <w:r>
        <w:t>Licensee</w:t>
      </w:r>
      <w:proofErr w:type="spellEnd"/>
      <w:r>
        <w:t xml:space="preserve"> goes bankrupt </w:t>
      </w:r>
      <w:r>
        <w:sym w:font="Wingdings" w:char="F0E0"/>
      </w:r>
      <w:r>
        <w:t xml:space="preserve"> Owner making definite efforts to get new licensee</w:t>
      </w:r>
    </w:p>
    <w:p w:rsidR="00AC6BE5" w:rsidRDefault="00AC6BE5" w:rsidP="00AC6BE5">
      <w:pPr>
        <w:pStyle w:val="NoSpacing"/>
        <w:numPr>
          <w:ilvl w:val="1"/>
          <w:numId w:val="10"/>
        </w:numPr>
      </w:pPr>
      <w:r>
        <w:t xml:space="preserve">Natural disaster destroys factory making the goods </w:t>
      </w:r>
      <w:r>
        <w:sym w:font="Wingdings" w:char="F0E0"/>
      </w:r>
      <w:r>
        <w:t xml:space="preserve"> Takes time to find/build new factory</w:t>
      </w:r>
    </w:p>
    <w:p w:rsidR="00AC6BE5" w:rsidRDefault="00AC6BE5" w:rsidP="00AC6BE5">
      <w:pPr>
        <w:pStyle w:val="NoSpacing"/>
        <w:numPr>
          <w:ilvl w:val="1"/>
          <w:numId w:val="10"/>
        </w:numPr>
      </w:pPr>
      <w:r>
        <w:t>Legislative or regulatory changes require product to be pulled from market for reformulation, tests, etc.</w:t>
      </w:r>
    </w:p>
    <w:p w:rsidR="00AC6BE5" w:rsidRDefault="009659C3" w:rsidP="00AC6BE5">
      <w:pPr>
        <w:pStyle w:val="NoSpacing"/>
        <w:numPr>
          <w:ilvl w:val="0"/>
          <w:numId w:val="10"/>
        </w:numPr>
      </w:pPr>
      <w:r>
        <w:t>Registrar will consider</w:t>
      </w:r>
      <w:r w:rsidR="00AC6BE5">
        <w:t xml:space="preserve"> length of non-use a</w:t>
      </w:r>
      <w:r>
        <w:t>nd evidence of serious intent</w:t>
      </w:r>
      <w:r w:rsidR="00AC6BE5">
        <w:t xml:space="preserve"> to resume use within reasonable period</w:t>
      </w:r>
    </w:p>
    <w:p w:rsidR="00AC6BE5" w:rsidRDefault="00AC6BE5" w:rsidP="00AC6BE5">
      <w:pPr>
        <w:pStyle w:val="Heading3"/>
      </w:pPr>
      <w:bookmarkStart w:id="39" w:name="_Toc405051854"/>
      <w:r>
        <w:t>9.2 Expungement for Abandonment</w:t>
      </w:r>
      <w:bookmarkEnd w:id="39"/>
    </w:p>
    <w:p w:rsidR="00AC6BE5" w:rsidRDefault="00AC6BE5" w:rsidP="00AC6BE5">
      <w:pPr>
        <w:pStyle w:val="NoSpacing"/>
        <w:numPr>
          <w:ilvl w:val="0"/>
          <w:numId w:val="11"/>
        </w:numPr>
      </w:pPr>
      <w:r w:rsidRPr="002F2475">
        <w:rPr>
          <w:color w:val="ED7D31" w:themeColor="accent2"/>
        </w:rPr>
        <w:t xml:space="preserve">S. 18(1) </w:t>
      </w:r>
      <w:r>
        <w:t xml:space="preserve">sets out the grounds for </w:t>
      </w:r>
      <w:r w:rsidRPr="002F2475">
        <w:rPr>
          <w:b/>
        </w:rPr>
        <w:t>invalidation</w:t>
      </w:r>
      <w:r>
        <w:t>:</w:t>
      </w:r>
    </w:p>
    <w:p w:rsidR="00AC6BE5" w:rsidRDefault="00AC6BE5" w:rsidP="00AC6BE5">
      <w:pPr>
        <w:pStyle w:val="NoSpacing"/>
        <w:numPr>
          <w:ilvl w:val="1"/>
          <w:numId w:val="11"/>
        </w:numPr>
      </w:pPr>
      <w:r>
        <w:t>A) Not registrable (</w:t>
      </w:r>
      <w:r w:rsidRPr="002F2475">
        <w:rPr>
          <w:color w:val="ED7D31" w:themeColor="accent2"/>
        </w:rPr>
        <w:t>s. 12</w:t>
      </w:r>
      <w:r>
        <w:t>)</w:t>
      </w:r>
    </w:p>
    <w:p w:rsidR="00AC6BE5" w:rsidRDefault="00AC6BE5" w:rsidP="00AC6BE5">
      <w:pPr>
        <w:pStyle w:val="NoSpacing"/>
        <w:numPr>
          <w:ilvl w:val="1"/>
          <w:numId w:val="11"/>
        </w:numPr>
      </w:pPr>
      <w:r>
        <w:t>B) Not distinctive (</w:t>
      </w:r>
      <w:r w:rsidRPr="002F2475">
        <w:rPr>
          <w:color w:val="ED7D31" w:themeColor="accent2"/>
        </w:rPr>
        <w:t>s. 2</w:t>
      </w:r>
      <w:r>
        <w:t>)</w:t>
      </w:r>
    </w:p>
    <w:p w:rsidR="00AC6BE5" w:rsidRDefault="00AC6BE5" w:rsidP="00AC6BE5">
      <w:pPr>
        <w:pStyle w:val="NoSpacing"/>
        <w:numPr>
          <w:ilvl w:val="1"/>
          <w:numId w:val="11"/>
        </w:numPr>
      </w:pPr>
      <w:r>
        <w:t xml:space="preserve">C) </w:t>
      </w:r>
      <w:r w:rsidRPr="002F2475">
        <w:rPr>
          <w:b/>
        </w:rPr>
        <w:t>Abandoned</w:t>
      </w:r>
    </w:p>
    <w:p w:rsidR="00AC6BE5" w:rsidRDefault="00AC6BE5" w:rsidP="00AC6BE5">
      <w:pPr>
        <w:pStyle w:val="NoSpacing"/>
        <w:numPr>
          <w:ilvl w:val="1"/>
          <w:numId w:val="11"/>
        </w:numPr>
      </w:pPr>
      <w:r>
        <w:t>D) Not entitled (</w:t>
      </w:r>
      <w:r w:rsidRPr="002F2475">
        <w:rPr>
          <w:color w:val="ED7D31" w:themeColor="accent2"/>
        </w:rPr>
        <w:t>s. 16</w:t>
      </w:r>
      <w:r>
        <w:t>)</w:t>
      </w:r>
    </w:p>
    <w:p w:rsidR="00AC6BE5" w:rsidRDefault="00AC6BE5" w:rsidP="00AC6BE5">
      <w:pPr>
        <w:pStyle w:val="NoSpacing"/>
        <w:numPr>
          <w:ilvl w:val="0"/>
          <w:numId w:val="11"/>
        </w:numPr>
      </w:pPr>
      <w:r w:rsidRPr="002F2475">
        <w:rPr>
          <w:color w:val="ED7D31" w:themeColor="accent2"/>
        </w:rPr>
        <w:t>S. 57</w:t>
      </w:r>
      <w:r>
        <w:t>: Federal Court has exclusive jurisdiction in invalidation proceedings</w:t>
      </w:r>
    </w:p>
    <w:p w:rsidR="00AC6BE5" w:rsidRDefault="00AC6BE5" w:rsidP="00AC6BE5">
      <w:pPr>
        <w:pStyle w:val="Heading4"/>
      </w:pPr>
      <w:bookmarkStart w:id="40" w:name="_Toc405051855"/>
      <w:r>
        <w:t>Philip Morris v Imperial Tobacco (1987) FCA</w:t>
      </w:r>
      <w:bookmarkEnd w:id="40"/>
    </w:p>
    <w:tbl>
      <w:tblPr>
        <w:tblW w:w="0" w:type="auto"/>
        <w:tblInd w:w="28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C51ED4">
            <w:pPr>
              <w:pStyle w:val="NoSpacing"/>
              <w:rPr>
                <w:rFonts w:ascii="Calibri" w:eastAsia="Times New Roman" w:hAnsi="Calibri" w:cs="Times New Roman"/>
                <w:lang w:eastAsia="en-CA"/>
              </w:rPr>
            </w:pPr>
            <w:r>
              <w:rPr>
                <w:rFonts w:ascii="Calibri" w:eastAsia="Times New Roman" w:hAnsi="Calibri" w:cs="Times New Roman"/>
                <w:lang w:eastAsia="en-CA"/>
              </w:rPr>
              <w:t>- P did make some sales in Canada</w:t>
            </w:r>
            <w:r w:rsidR="00C51ED4">
              <w:rPr>
                <w:rFonts w:ascii="Calibri" w:eastAsia="Times New Roman" w:hAnsi="Calibri" w:cs="Times New Roman"/>
                <w:lang w:eastAsia="en-CA"/>
              </w:rPr>
              <w:t xml:space="preserve">, </w:t>
            </w:r>
            <w:r>
              <w:rPr>
                <w:rFonts w:ascii="Calibri" w:eastAsia="Times New Roman" w:hAnsi="Calibri" w:cs="Times New Roman"/>
                <w:lang w:eastAsia="en-CA"/>
              </w:rPr>
              <w:t>D validly used “</w:t>
            </w:r>
            <w:proofErr w:type="spellStart"/>
            <w:r>
              <w:rPr>
                <w:rFonts w:ascii="Calibri" w:eastAsia="Times New Roman" w:hAnsi="Calibri" w:cs="Times New Roman"/>
                <w:lang w:eastAsia="en-CA"/>
              </w:rPr>
              <w:t>Malboro</w:t>
            </w:r>
            <w:proofErr w:type="spellEnd"/>
            <w:r>
              <w:rPr>
                <w:rFonts w:ascii="Calibri" w:eastAsia="Times New Roman" w:hAnsi="Calibri" w:cs="Times New Roman"/>
                <w:lang w:eastAsia="en-CA"/>
              </w:rPr>
              <w:t>” in Canada</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C33F08" w:rsidRDefault="00AC6BE5" w:rsidP="00F70A9F">
            <w:pPr>
              <w:pStyle w:val="NoSpacing"/>
              <w:rPr>
                <w:highlight w:val="yellow"/>
              </w:rPr>
            </w:pPr>
            <w:r w:rsidRPr="00C33F08">
              <w:rPr>
                <w:highlight w:val="yellow"/>
              </w:rPr>
              <w:t xml:space="preserve">Abandonment of a TM registration under </w:t>
            </w:r>
            <w:r w:rsidRPr="00C33F08">
              <w:rPr>
                <w:color w:val="ED7D31" w:themeColor="accent2"/>
                <w:highlight w:val="yellow"/>
              </w:rPr>
              <w:t xml:space="preserve">s. 18(1)(c) </w:t>
            </w:r>
            <w:r w:rsidRPr="00C33F08">
              <w:rPr>
                <w:highlight w:val="yellow"/>
              </w:rPr>
              <w:t>requires:</w:t>
            </w:r>
          </w:p>
          <w:p w:rsidR="00AC6BE5" w:rsidRPr="00C33F08" w:rsidRDefault="00AC6BE5" w:rsidP="00F70A9F">
            <w:pPr>
              <w:pStyle w:val="NoSpacing"/>
              <w:rPr>
                <w:highlight w:val="yellow"/>
              </w:rPr>
            </w:pPr>
            <w:r w:rsidRPr="00C33F08">
              <w:rPr>
                <w:highlight w:val="yellow"/>
              </w:rPr>
              <w:t>1) Non-use, AND</w:t>
            </w:r>
          </w:p>
          <w:p w:rsidR="00AC6BE5" w:rsidRPr="00E72B7A" w:rsidRDefault="00AC6BE5" w:rsidP="00F70A9F">
            <w:pPr>
              <w:pStyle w:val="NoSpacing"/>
              <w:rPr>
                <w:rFonts w:ascii="Calibri" w:eastAsia="Times New Roman" w:hAnsi="Calibri" w:cs="Times New Roman"/>
                <w:lang w:eastAsia="en-CA"/>
              </w:rPr>
            </w:pPr>
            <w:r w:rsidRPr="00C33F08">
              <w:rPr>
                <w:highlight w:val="yellow"/>
              </w:rPr>
              <w:t>2) Intention to abandon (can be inferred)</w:t>
            </w:r>
          </w:p>
        </w:tc>
      </w:tr>
    </w:tbl>
    <w:p w:rsidR="00AC6BE5" w:rsidRDefault="00AC6BE5" w:rsidP="00AC6BE5">
      <w:pPr>
        <w:pStyle w:val="Heading3"/>
      </w:pPr>
      <w:bookmarkStart w:id="41" w:name="_Toc405051856"/>
      <w:r>
        <w:lastRenderedPageBreak/>
        <w:t>9.3 Use of Trademark Varying from Registration</w:t>
      </w:r>
      <w:bookmarkEnd w:id="41"/>
    </w:p>
    <w:p w:rsidR="00AC6BE5" w:rsidRDefault="00C51ED4" w:rsidP="009E6C67">
      <w:pPr>
        <w:pStyle w:val="NoSpacing"/>
        <w:numPr>
          <w:ilvl w:val="0"/>
          <w:numId w:val="12"/>
        </w:numPr>
      </w:pPr>
      <w:r>
        <w:t xml:space="preserve">Use of mark varying from registered mark can be non-use, since can’t change </w:t>
      </w:r>
      <w:r w:rsidR="00AC6BE5">
        <w:t>mark midway through registration</w:t>
      </w:r>
    </w:p>
    <w:p w:rsidR="00AC6BE5" w:rsidRDefault="00AC6BE5" w:rsidP="00AC6BE5">
      <w:pPr>
        <w:pStyle w:val="Heading4"/>
      </w:pPr>
      <w:bookmarkStart w:id="42" w:name="_Toc405051857"/>
      <w:r>
        <w:t>Registrar of Trade Marks v Cie. Internationale pour L’Informatique CII Honeywell Bull (1985) FCA</w:t>
      </w:r>
      <w:bookmarkEnd w:id="4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C33F08">
              <w:rPr>
                <w:rFonts w:ascii="Calibri" w:eastAsia="Times New Roman" w:hAnsi="Calibri" w:cs="Times New Roman"/>
                <w:highlight w:val="yellow"/>
                <w:lang w:eastAsia="en-CA"/>
              </w:rPr>
              <w:t>There would be use if the mark had not lost its identity and become unrecognizable.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Non-use: D’s use of “CII Honeywell BULL” did not make sufficient use of P’s registered mark “BULL”.</w:t>
            </w:r>
          </w:p>
        </w:tc>
      </w:tr>
    </w:tbl>
    <w:p w:rsidR="00AC6BE5" w:rsidRDefault="00AC6BE5" w:rsidP="00AC6BE5">
      <w:pPr>
        <w:pStyle w:val="Heading4"/>
      </w:pPr>
      <w:bookmarkStart w:id="43" w:name="_Toc405051858"/>
      <w:r>
        <w:t>Promofil Canada v Munsingwear (1992) FCA</w:t>
      </w:r>
      <w:bookmarkEnd w:id="4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Facts</w:t>
            </w:r>
            <w:r w:rsidRPr="00E72B7A">
              <w:rPr>
                <w:rFonts w:ascii="Calibri" w:eastAsia="Times New Roman" w:hAnsi="Calibri" w:cs="Times New Roman"/>
                <w:lang w:eastAsia="en-CA"/>
              </w:rPr>
              <w:t xml:space="preserve">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Registered mark: Skinny penguin. Actual use: Corpulent penguin</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C33F08">
              <w:rPr>
                <w:rFonts w:ascii="Calibri" w:eastAsia="Times New Roman" w:hAnsi="Calibri" w:cs="Times New Roman"/>
                <w:highlight w:val="yellow"/>
                <w:lang w:eastAsia="en-CA"/>
              </w:rPr>
              <w:t xml:space="preserve">Test: Use if </w:t>
            </w:r>
            <w:r w:rsidRPr="00C51ED4">
              <w:rPr>
                <w:rFonts w:ascii="Calibri" w:eastAsia="Times New Roman" w:hAnsi="Calibri" w:cs="Times New Roman"/>
                <w:highlight w:val="yellow"/>
                <w:u w:val="single"/>
                <w:lang w:eastAsia="en-CA"/>
              </w:rPr>
              <w:t>dominant features maintained</w:t>
            </w:r>
            <w:r w:rsidRPr="00C33F08">
              <w:rPr>
                <w:rFonts w:ascii="Calibri" w:eastAsia="Times New Roman" w:hAnsi="Calibri" w:cs="Times New Roman"/>
                <w:highlight w:val="yellow"/>
                <w:lang w:eastAsia="en-CA"/>
              </w:rPr>
              <w:t xml:space="preserve"> and differences are so unimportant as </w:t>
            </w:r>
            <w:r w:rsidRPr="00C51ED4">
              <w:rPr>
                <w:rFonts w:ascii="Calibri" w:eastAsia="Times New Roman" w:hAnsi="Calibri" w:cs="Times New Roman"/>
                <w:highlight w:val="yellow"/>
                <w:u w:val="single"/>
                <w:lang w:eastAsia="en-CA"/>
              </w:rPr>
              <w:t xml:space="preserve">not to mislead </w:t>
            </w:r>
            <w:r w:rsidRPr="00C33F08">
              <w:rPr>
                <w:rFonts w:ascii="Calibri" w:eastAsia="Times New Roman" w:hAnsi="Calibri" w:cs="Times New Roman"/>
                <w:highlight w:val="yellow"/>
                <w:lang w:eastAsia="en-CA"/>
              </w:rPr>
              <w:t>an unaware purchaser.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Use is found. Slight change is ok.</w:t>
            </w:r>
          </w:p>
        </w:tc>
      </w:tr>
    </w:tbl>
    <w:p w:rsidR="00AC6BE5" w:rsidRDefault="00AC6BE5" w:rsidP="00AC6BE5">
      <w:pPr>
        <w:pStyle w:val="Heading2"/>
      </w:pPr>
      <w:bookmarkStart w:id="44" w:name="_Toc405051859"/>
      <w:r>
        <w:t>10.0 Infringement</w:t>
      </w:r>
      <w:bookmarkEnd w:id="44"/>
    </w:p>
    <w:p w:rsidR="00AC6BE5" w:rsidRDefault="00AC6BE5" w:rsidP="00AC6BE5">
      <w:pPr>
        <w:pStyle w:val="NoSpacing"/>
        <w:numPr>
          <w:ilvl w:val="0"/>
          <w:numId w:val="13"/>
        </w:numPr>
      </w:pPr>
      <w:r>
        <w:t xml:space="preserve">Who can sue for </w:t>
      </w:r>
      <w:r w:rsidRPr="00C33F08">
        <w:rPr>
          <w:b/>
        </w:rPr>
        <w:t>infringement</w:t>
      </w:r>
      <w:r>
        <w:t>?</w:t>
      </w:r>
    </w:p>
    <w:p w:rsidR="00AC6BE5" w:rsidRDefault="00AC6BE5" w:rsidP="00AC6BE5">
      <w:pPr>
        <w:pStyle w:val="NoSpacing"/>
        <w:numPr>
          <w:ilvl w:val="1"/>
          <w:numId w:val="13"/>
        </w:numPr>
      </w:pPr>
      <w:r>
        <w:t>Registered owner</w:t>
      </w:r>
      <w:r w:rsidR="009E6C67">
        <w:t xml:space="preserve"> only can avail of </w:t>
      </w:r>
      <w:r w:rsidR="009E6C67" w:rsidRPr="00315661">
        <w:rPr>
          <w:color w:val="ED7D31" w:themeColor="accent2"/>
        </w:rPr>
        <w:t xml:space="preserve">s. 19 </w:t>
      </w:r>
      <w:r w:rsidR="009E6C67">
        <w:t xml:space="preserve">and </w:t>
      </w:r>
      <w:r w:rsidR="009E6C67" w:rsidRPr="00315661">
        <w:rPr>
          <w:color w:val="ED7D31" w:themeColor="accent2"/>
        </w:rPr>
        <w:t>s. 20</w:t>
      </w:r>
    </w:p>
    <w:p w:rsidR="00AC6BE5" w:rsidRDefault="00AC6BE5" w:rsidP="00AC6BE5">
      <w:pPr>
        <w:pStyle w:val="NoSpacing"/>
        <w:numPr>
          <w:ilvl w:val="1"/>
          <w:numId w:val="13"/>
        </w:numPr>
      </w:pPr>
      <w:r w:rsidRPr="00C33F08">
        <w:rPr>
          <w:b/>
        </w:rPr>
        <w:t>Licensee</w:t>
      </w:r>
      <w:r>
        <w:t xml:space="preserve">, by </w:t>
      </w:r>
      <w:r w:rsidRPr="00C33F08">
        <w:rPr>
          <w:color w:val="ED7D31" w:themeColor="accent2"/>
        </w:rPr>
        <w:t xml:space="preserve">s. 50(3) </w:t>
      </w:r>
      <w:r>
        <w:t>(where owner refuses to take proceedings for infringement within 2 months of being requested by licensee, licensee may institute proceedings in its own name)</w:t>
      </w:r>
    </w:p>
    <w:p w:rsidR="00AC6BE5" w:rsidRDefault="00AC6BE5" w:rsidP="00AC6BE5">
      <w:pPr>
        <w:pStyle w:val="NoSpacing"/>
        <w:numPr>
          <w:ilvl w:val="0"/>
          <w:numId w:val="13"/>
        </w:numPr>
      </w:pPr>
      <w:r>
        <w:t xml:space="preserve">A) </w:t>
      </w:r>
      <w:r w:rsidRPr="002B4A28">
        <w:rPr>
          <w:b/>
        </w:rPr>
        <w:t>Identical TM</w:t>
      </w:r>
      <w:r>
        <w:t xml:space="preserve"> situation: Registration of a TM for goods/services gives the TM owner the exclusive right to the use throughout Canada of the TM in respect of those goods or services (</w:t>
      </w:r>
      <w:r w:rsidRPr="00C33F08">
        <w:rPr>
          <w:color w:val="ED7D31" w:themeColor="accent2"/>
        </w:rPr>
        <w:t>s. 19</w:t>
      </w:r>
      <w:r>
        <w:t>)</w:t>
      </w:r>
    </w:p>
    <w:p w:rsidR="00AC6BE5" w:rsidRDefault="00AC6BE5" w:rsidP="00AC6BE5">
      <w:pPr>
        <w:pStyle w:val="NoSpacing"/>
        <w:numPr>
          <w:ilvl w:val="0"/>
          <w:numId w:val="13"/>
        </w:numPr>
      </w:pPr>
      <w:r>
        <w:t>Three requirements:</w:t>
      </w:r>
    </w:p>
    <w:p w:rsidR="00AC6BE5" w:rsidRDefault="00AC6BE5" w:rsidP="00AC6BE5">
      <w:pPr>
        <w:pStyle w:val="NoSpacing"/>
        <w:numPr>
          <w:ilvl w:val="1"/>
          <w:numId w:val="13"/>
        </w:numPr>
      </w:pPr>
      <w:r>
        <w:t>1) Valid TM registration (</w:t>
      </w:r>
      <w:r w:rsidRPr="00C33F08">
        <w:rPr>
          <w:color w:val="ED7D31" w:themeColor="accent2"/>
        </w:rPr>
        <w:t>s. 18</w:t>
      </w:r>
      <w:r>
        <w:t>)</w:t>
      </w:r>
    </w:p>
    <w:p w:rsidR="00AC6BE5" w:rsidRDefault="00AC6BE5" w:rsidP="00AC6BE5">
      <w:pPr>
        <w:pStyle w:val="NoSpacing"/>
        <w:numPr>
          <w:ilvl w:val="1"/>
          <w:numId w:val="13"/>
        </w:numPr>
      </w:pPr>
      <w:r>
        <w:t xml:space="preserve">2) Unauthorized use (within meaning of </w:t>
      </w:r>
      <w:r w:rsidRPr="00C33F08">
        <w:rPr>
          <w:color w:val="ED7D31" w:themeColor="accent2"/>
        </w:rPr>
        <w:t>s. 4</w:t>
      </w:r>
      <w:r>
        <w:t xml:space="preserve">) of identical mark: </w:t>
      </w:r>
      <w:proofErr w:type="spellStart"/>
      <w:r w:rsidRPr="00C33F08">
        <w:rPr>
          <w:i/>
        </w:rPr>
        <w:t>Mido</w:t>
      </w:r>
      <w:proofErr w:type="spellEnd"/>
      <w:r w:rsidRPr="00C33F08">
        <w:rPr>
          <w:i/>
        </w:rPr>
        <w:t xml:space="preserve"> v </w:t>
      </w:r>
      <w:proofErr w:type="spellStart"/>
      <w:r w:rsidRPr="00C33F08">
        <w:rPr>
          <w:i/>
        </w:rPr>
        <w:t>Turcotte</w:t>
      </w:r>
      <w:proofErr w:type="spellEnd"/>
    </w:p>
    <w:p w:rsidR="00AC6BE5" w:rsidRDefault="00AC6BE5" w:rsidP="00AC6BE5">
      <w:pPr>
        <w:pStyle w:val="NoSpacing"/>
        <w:numPr>
          <w:ilvl w:val="1"/>
          <w:numId w:val="13"/>
        </w:numPr>
      </w:pPr>
      <w:r>
        <w:t xml:space="preserve">3) Identical goods/services as those covered by the registration: </w:t>
      </w:r>
      <w:r w:rsidRPr="00C33F08">
        <w:rPr>
          <w:i/>
        </w:rPr>
        <w:t>Bonus Foods v Essex Packers</w:t>
      </w:r>
    </w:p>
    <w:p w:rsidR="00AC6BE5" w:rsidRDefault="00AC6BE5" w:rsidP="00AC6BE5">
      <w:pPr>
        <w:pStyle w:val="NoSpacing"/>
        <w:numPr>
          <w:ilvl w:val="0"/>
          <w:numId w:val="13"/>
        </w:numPr>
      </w:pPr>
      <w:r>
        <w:t xml:space="preserve">Defending a TM infringements suit: Attack validity of registration under </w:t>
      </w:r>
      <w:r w:rsidRPr="00C33F08">
        <w:rPr>
          <w:color w:val="ED7D31" w:themeColor="accent2"/>
        </w:rPr>
        <w:t>s. 18</w:t>
      </w:r>
      <w:r>
        <w:t>:</w:t>
      </w:r>
    </w:p>
    <w:p w:rsidR="00AC6BE5" w:rsidRDefault="00AC6BE5" w:rsidP="00AC6BE5">
      <w:pPr>
        <w:pStyle w:val="NoSpacing"/>
        <w:numPr>
          <w:ilvl w:val="1"/>
          <w:numId w:val="13"/>
        </w:numPr>
      </w:pPr>
      <w:r>
        <w:t xml:space="preserve">(a) not registrable: </w:t>
      </w:r>
      <w:r w:rsidRPr="00C33F08">
        <w:rPr>
          <w:color w:val="ED7D31" w:themeColor="accent2"/>
        </w:rPr>
        <w:t>s. 12</w:t>
      </w:r>
    </w:p>
    <w:p w:rsidR="00AC6BE5" w:rsidRDefault="00AC6BE5" w:rsidP="00AC6BE5">
      <w:pPr>
        <w:pStyle w:val="NoSpacing"/>
        <w:numPr>
          <w:ilvl w:val="1"/>
          <w:numId w:val="13"/>
        </w:numPr>
      </w:pPr>
      <w:r>
        <w:t xml:space="preserve">(b) not distinctive: </w:t>
      </w:r>
      <w:r w:rsidRPr="00C33F08">
        <w:rPr>
          <w:color w:val="ED7D31" w:themeColor="accent2"/>
        </w:rPr>
        <w:t>s. 2</w:t>
      </w:r>
    </w:p>
    <w:p w:rsidR="00AC6BE5" w:rsidRDefault="00AC6BE5" w:rsidP="00AC6BE5">
      <w:pPr>
        <w:pStyle w:val="NoSpacing"/>
        <w:numPr>
          <w:ilvl w:val="1"/>
          <w:numId w:val="13"/>
        </w:numPr>
      </w:pPr>
      <w:r>
        <w:t>(c) abandoned</w:t>
      </w:r>
    </w:p>
    <w:p w:rsidR="00AC6BE5" w:rsidRDefault="00AC6BE5" w:rsidP="00AC6BE5">
      <w:pPr>
        <w:pStyle w:val="NoSpacing"/>
        <w:numPr>
          <w:ilvl w:val="1"/>
          <w:numId w:val="13"/>
        </w:numPr>
      </w:pPr>
      <w:r>
        <w:t xml:space="preserve">(d) applicant not entitled to register: </w:t>
      </w:r>
      <w:r w:rsidRPr="00C33F08">
        <w:rPr>
          <w:color w:val="ED7D31" w:themeColor="accent2"/>
        </w:rPr>
        <w:t>s. 19</w:t>
      </w:r>
    </w:p>
    <w:p w:rsidR="001165C5" w:rsidRDefault="00AC6BE5" w:rsidP="001165C5">
      <w:pPr>
        <w:pStyle w:val="NoSpacing"/>
        <w:numPr>
          <w:ilvl w:val="0"/>
          <w:numId w:val="13"/>
        </w:numPr>
      </w:pPr>
      <w:proofErr w:type="spellStart"/>
      <w:r w:rsidRPr="001165C5">
        <w:rPr>
          <w:i/>
        </w:rPr>
        <w:t>Mido</w:t>
      </w:r>
      <w:proofErr w:type="spellEnd"/>
      <w:r w:rsidRPr="001165C5">
        <w:rPr>
          <w:i/>
        </w:rPr>
        <w:t xml:space="preserve"> G </w:t>
      </w:r>
      <w:proofErr w:type="spellStart"/>
      <w:r w:rsidRPr="001165C5">
        <w:rPr>
          <w:i/>
        </w:rPr>
        <w:t>Schearen</w:t>
      </w:r>
      <w:proofErr w:type="spellEnd"/>
      <w:r w:rsidRPr="001165C5">
        <w:rPr>
          <w:i/>
        </w:rPr>
        <w:t xml:space="preserve"> v </w:t>
      </w:r>
      <w:proofErr w:type="spellStart"/>
      <w:r w:rsidRPr="001165C5">
        <w:rPr>
          <w:i/>
        </w:rPr>
        <w:t>Turcotte</w:t>
      </w:r>
      <w:proofErr w:type="spellEnd"/>
      <w:r w:rsidRPr="001165C5">
        <w:rPr>
          <w:i/>
        </w:rPr>
        <w:t xml:space="preserve"> and </w:t>
      </w:r>
      <w:proofErr w:type="spellStart"/>
      <w:r w:rsidRPr="001165C5">
        <w:rPr>
          <w:i/>
        </w:rPr>
        <w:t>Vido</w:t>
      </w:r>
      <w:proofErr w:type="spellEnd"/>
      <w:r w:rsidRPr="001165C5">
        <w:rPr>
          <w:i/>
        </w:rPr>
        <w:t xml:space="preserve"> Engineering</w:t>
      </w:r>
      <w:r>
        <w:t xml:space="preserve"> (1965)</w:t>
      </w:r>
      <w:r w:rsidR="001165C5">
        <w:t xml:space="preserve">: </w:t>
      </w:r>
      <w:r w:rsidR="001165C5">
        <w:rPr>
          <w:rFonts w:ascii="Calibri" w:eastAsia="Times New Roman" w:hAnsi="Calibri" w:cs="Times New Roman"/>
          <w:lang w:eastAsia="en-CA"/>
        </w:rPr>
        <w:t xml:space="preserve">D can’t use </w:t>
      </w:r>
      <w:proofErr w:type="spellStart"/>
      <w:r w:rsidR="001165C5">
        <w:rPr>
          <w:rFonts w:ascii="Calibri" w:eastAsia="Times New Roman" w:hAnsi="Calibri" w:cs="Times New Roman"/>
          <w:lang w:eastAsia="en-CA"/>
        </w:rPr>
        <w:t>Vido</w:t>
      </w:r>
      <w:proofErr w:type="spellEnd"/>
      <w:r w:rsidR="001165C5">
        <w:rPr>
          <w:rFonts w:ascii="Calibri" w:eastAsia="Times New Roman" w:hAnsi="Calibri" w:cs="Times New Roman"/>
          <w:lang w:eastAsia="en-CA"/>
        </w:rPr>
        <w:t xml:space="preserve"> for watches after P registered </w:t>
      </w:r>
      <w:proofErr w:type="spellStart"/>
      <w:r w:rsidR="001165C5">
        <w:rPr>
          <w:rFonts w:ascii="Calibri" w:eastAsia="Times New Roman" w:hAnsi="Calibri" w:cs="Times New Roman"/>
          <w:lang w:eastAsia="en-CA"/>
        </w:rPr>
        <w:t>Mido</w:t>
      </w:r>
      <w:proofErr w:type="spellEnd"/>
      <w:r w:rsidR="001165C5">
        <w:rPr>
          <w:rFonts w:ascii="Calibri" w:eastAsia="Times New Roman" w:hAnsi="Calibri" w:cs="Times New Roman"/>
          <w:lang w:eastAsia="en-CA"/>
        </w:rPr>
        <w:t>.</w:t>
      </w:r>
    </w:p>
    <w:p w:rsidR="00AC6BE5" w:rsidRDefault="00AC6BE5" w:rsidP="001165C5">
      <w:pPr>
        <w:pStyle w:val="NoSpacing"/>
        <w:numPr>
          <w:ilvl w:val="0"/>
          <w:numId w:val="13"/>
        </w:numPr>
      </w:pPr>
      <w:r w:rsidRPr="001165C5">
        <w:rPr>
          <w:i/>
        </w:rPr>
        <w:t>Bonus Foods v Essex Packers</w:t>
      </w:r>
      <w:r>
        <w:t xml:space="preserve"> (1964)</w:t>
      </w:r>
      <w:r w:rsidR="001165C5">
        <w:t xml:space="preserve">: </w:t>
      </w:r>
      <w:r w:rsidR="001165C5">
        <w:rPr>
          <w:rFonts w:ascii="Calibri" w:eastAsia="Times New Roman" w:hAnsi="Calibri" w:cs="Times New Roman"/>
          <w:lang w:eastAsia="en-CA"/>
        </w:rPr>
        <w:t>Bonus for chicken was valid, not descriptive. Bonus for dog food infringed.</w:t>
      </w:r>
    </w:p>
    <w:p w:rsidR="00AC6BE5" w:rsidRDefault="00AC6BE5" w:rsidP="00AC6BE5">
      <w:pPr>
        <w:pStyle w:val="NoSpacing"/>
        <w:numPr>
          <w:ilvl w:val="0"/>
          <w:numId w:val="13"/>
        </w:numPr>
      </w:pPr>
      <w:r>
        <w:t xml:space="preserve">B) </w:t>
      </w:r>
      <w:r w:rsidRPr="002B4A28">
        <w:rPr>
          <w:b/>
        </w:rPr>
        <w:t>Confusing TM</w:t>
      </w:r>
      <w:r>
        <w:t xml:space="preserve"> situation: Right of the owner of a registered mark is infringed by a person who sells, distributes, or advertises wares or services in association with a confusion TM or trade name (</w:t>
      </w:r>
      <w:r w:rsidRPr="00C33F08">
        <w:rPr>
          <w:color w:val="ED7D31" w:themeColor="accent2"/>
        </w:rPr>
        <w:t>s. 20</w:t>
      </w:r>
      <w:r>
        <w:t>)</w:t>
      </w:r>
    </w:p>
    <w:p w:rsidR="00AC6BE5" w:rsidRDefault="00AC6BE5" w:rsidP="00AC6BE5">
      <w:pPr>
        <w:pStyle w:val="NoSpacing"/>
        <w:numPr>
          <w:ilvl w:val="0"/>
          <w:numId w:val="13"/>
        </w:numPr>
      </w:pPr>
      <w:r>
        <w:t>Three requirements:</w:t>
      </w:r>
    </w:p>
    <w:p w:rsidR="00AC6BE5" w:rsidRDefault="00AC6BE5" w:rsidP="00AC6BE5">
      <w:pPr>
        <w:pStyle w:val="NoSpacing"/>
        <w:numPr>
          <w:ilvl w:val="1"/>
          <w:numId w:val="13"/>
        </w:numPr>
      </w:pPr>
      <w:r>
        <w:t>1) Valid TM registration (</w:t>
      </w:r>
      <w:r w:rsidRPr="00287705">
        <w:rPr>
          <w:color w:val="ED7D31" w:themeColor="accent2"/>
        </w:rPr>
        <w:t>s. 18</w:t>
      </w:r>
      <w:r>
        <w:t>)</w:t>
      </w:r>
    </w:p>
    <w:p w:rsidR="00AC6BE5" w:rsidRDefault="00AC6BE5" w:rsidP="00AC6BE5">
      <w:pPr>
        <w:pStyle w:val="NoSpacing"/>
        <w:numPr>
          <w:ilvl w:val="1"/>
          <w:numId w:val="13"/>
        </w:numPr>
      </w:pPr>
      <w:r>
        <w:t xml:space="preserve">2) Unauthorized sale, distribution, or advertisement of any wares or services (interpreted to mean “use” within meaning of </w:t>
      </w:r>
      <w:r w:rsidRPr="00287705">
        <w:rPr>
          <w:color w:val="ED7D31" w:themeColor="accent2"/>
        </w:rPr>
        <w:t>s. 4</w:t>
      </w:r>
      <w:r>
        <w:t>)</w:t>
      </w:r>
    </w:p>
    <w:p w:rsidR="00AC6BE5" w:rsidRDefault="00AC6BE5" w:rsidP="00AC6BE5">
      <w:pPr>
        <w:pStyle w:val="NoSpacing"/>
        <w:numPr>
          <w:ilvl w:val="1"/>
          <w:numId w:val="13"/>
        </w:numPr>
      </w:pPr>
      <w:r>
        <w:t>3) Confusing TM or trade name (</w:t>
      </w:r>
      <w:r w:rsidRPr="00287705">
        <w:rPr>
          <w:color w:val="ED7D31" w:themeColor="accent2"/>
        </w:rPr>
        <w:t xml:space="preserve">s. 6(5) </w:t>
      </w:r>
      <w:r>
        <w:t>factors</w:t>
      </w:r>
      <w:r w:rsidR="001165C5">
        <w:t>, pg</w:t>
      </w:r>
      <w:r w:rsidR="00E44F64">
        <w:t>.</w:t>
      </w:r>
      <w:r w:rsidR="001165C5">
        <w:t xml:space="preserve"> 8</w:t>
      </w:r>
      <w:r>
        <w:t>)</w:t>
      </w:r>
    </w:p>
    <w:p w:rsidR="00AC6BE5" w:rsidRDefault="00AC6BE5" w:rsidP="00AC6BE5">
      <w:pPr>
        <w:pStyle w:val="NoSpacing"/>
        <w:numPr>
          <w:ilvl w:val="0"/>
          <w:numId w:val="13"/>
        </w:numPr>
      </w:pPr>
      <w:r>
        <w:t xml:space="preserve">Exceptions in </w:t>
      </w:r>
      <w:r w:rsidRPr="00287705">
        <w:rPr>
          <w:color w:val="ED7D31" w:themeColor="accent2"/>
        </w:rPr>
        <w:t>s. 20</w:t>
      </w:r>
      <w:r>
        <w:t>:</w:t>
      </w:r>
    </w:p>
    <w:p w:rsidR="00AC6BE5" w:rsidRDefault="00AC6BE5" w:rsidP="00AC6BE5">
      <w:pPr>
        <w:pStyle w:val="NoSpacing"/>
        <w:numPr>
          <w:ilvl w:val="1"/>
          <w:numId w:val="13"/>
        </w:numPr>
      </w:pPr>
      <w:r>
        <w:t xml:space="preserve">(a) </w:t>
      </w:r>
      <w:r w:rsidRPr="001165C5">
        <w:rPr>
          <w:i/>
        </w:rPr>
        <w:t>Bona fide</w:t>
      </w:r>
      <w:r>
        <w:t xml:space="preserve"> use of personal name as a trade name</w:t>
      </w:r>
    </w:p>
    <w:p w:rsidR="00AC6BE5" w:rsidRDefault="00AC6BE5" w:rsidP="00AC6BE5">
      <w:pPr>
        <w:pStyle w:val="NoSpacing"/>
        <w:numPr>
          <w:ilvl w:val="1"/>
          <w:numId w:val="13"/>
        </w:numPr>
      </w:pPr>
      <w:r>
        <w:t xml:space="preserve">(b) </w:t>
      </w:r>
      <w:r w:rsidRPr="001165C5">
        <w:rPr>
          <w:i/>
        </w:rPr>
        <w:t>Bona fide</w:t>
      </w:r>
      <w:r>
        <w:t xml:space="preserve"> use, other than as a TM, of (</w:t>
      </w:r>
      <w:proofErr w:type="spellStart"/>
      <w:r>
        <w:t>i</w:t>
      </w:r>
      <w:proofErr w:type="spellEnd"/>
      <w:r>
        <w:t>) the geographical name of his place of business, OR (ii) any accurate description of the character or quality of his wares of services, in such a manner as is not likely to have the effect of depreciating the value of the goodwill</w:t>
      </w:r>
    </w:p>
    <w:p w:rsidR="00AC6BE5" w:rsidRDefault="00AC6BE5" w:rsidP="00AC6BE5">
      <w:pPr>
        <w:pStyle w:val="NoSpacing"/>
        <w:numPr>
          <w:ilvl w:val="0"/>
          <w:numId w:val="13"/>
        </w:numPr>
      </w:pPr>
      <w:r>
        <w:t xml:space="preserve">General exceptions to </w:t>
      </w:r>
      <w:r w:rsidRPr="00287705">
        <w:rPr>
          <w:color w:val="ED7D31" w:themeColor="accent2"/>
        </w:rPr>
        <w:t>ss. 19-20</w:t>
      </w:r>
      <w:r>
        <w:t>:</w:t>
      </w:r>
    </w:p>
    <w:p w:rsidR="00AC6BE5" w:rsidRDefault="00AC6BE5" w:rsidP="00AC6BE5">
      <w:pPr>
        <w:pStyle w:val="NoSpacing"/>
        <w:numPr>
          <w:ilvl w:val="1"/>
          <w:numId w:val="13"/>
        </w:numPr>
      </w:pPr>
      <w:r w:rsidRPr="00287705">
        <w:rPr>
          <w:color w:val="ED7D31" w:themeColor="accent2"/>
        </w:rPr>
        <w:t>S. 21</w:t>
      </w:r>
      <w:r>
        <w:t xml:space="preserve">: Concurrent use of confusing mark – </w:t>
      </w:r>
      <w:r w:rsidRPr="00AD6A4E">
        <w:rPr>
          <w:i/>
        </w:rPr>
        <w:t>Bona fide</w:t>
      </w:r>
      <w:r>
        <w:t xml:space="preserve"> use of confusing mark by other party prior to registrant filing TM application</w:t>
      </w:r>
    </w:p>
    <w:p w:rsidR="00AC6BE5" w:rsidRDefault="00AC6BE5" w:rsidP="00AC6BE5">
      <w:pPr>
        <w:pStyle w:val="NoSpacing"/>
        <w:numPr>
          <w:ilvl w:val="1"/>
          <w:numId w:val="13"/>
        </w:numPr>
      </w:pPr>
      <w:r w:rsidRPr="00287705">
        <w:rPr>
          <w:color w:val="ED7D31" w:themeColor="accent2"/>
        </w:rPr>
        <w:t>S. 32</w:t>
      </w:r>
      <w:r>
        <w:t xml:space="preserve">: Territorially-restricted marks – </w:t>
      </w:r>
      <w:r w:rsidRPr="00287705">
        <w:rPr>
          <w:color w:val="ED7D31" w:themeColor="accent2"/>
        </w:rPr>
        <w:t xml:space="preserve">S. 12(2) </w:t>
      </w:r>
      <w:r>
        <w:t>marks with acquired distinctiveness may be territorially restricted</w:t>
      </w:r>
    </w:p>
    <w:p w:rsidR="00AC6BE5" w:rsidRDefault="00AC6BE5" w:rsidP="00AC6BE5">
      <w:pPr>
        <w:pStyle w:val="Heading2"/>
      </w:pPr>
      <w:bookmarkStart w:id="45" w:name="_Toc405051860"/>
      <w:r>
        <w:t>11.0 Depreciation of Good Will</w:t>
      </w:r>
      <w:bookmarkEnd w:id="45"/>
    </w:p>
    <w:p w:rsidR="00AC6BE5" w:rsidRDefault="00AC6BE5" w:rsidP="00AC6BE5">
      <w:pPr>
        <w:pStyle w:val="NoSpacing"/>
        <w:numPr>
          <w:ilvl w:val="0"/>
          <w:numId w:val="14"/>
        </w:numPr>
      </w:pPr>
      <w:r w:rsidRPr="002B4A28">
        <w:rPr>
          <w:b/>
        </w:rPr>
        <w:t>Goodwill</w:t>
      </w:r>
      <w:r>
        <w:t>: Ability of a TM to induce customers to continue to buy the goods/services identified by the mark</w:t>
      </w:r>
    </w:p>
    <w:p w:rsidR="00AC6BE5" w:rsidRDefault="00AC6BE5" w:rsidP="00AC6BE5">
      <w:pPr>
        <w:pStyle w:val="NoSpacing"/>
        <w:numPr>
          <w:ilvl w:val="0"/>
          <w:numId w:val="14"/>
        </w:numPr>
      </w:pPr>
      <w:r w:rsidRPr="002B4A28">
        <w:rPr>
          <w:b/>
        </w:rPr>
        <w:t>Depreciation of goodwill</w:t>
      </w:r>
      <w:r>
        <w:t xml:space="preserve"> occurs when customers’ habit of buying the brand they bought before is weakened</w:t>
      </w:r>
    </w:p>
    <w:p w:rsidR="00AC6BE5" w:rsidRDefault="00AC6BE5" w:rsidP="00AC6BE5">
      <w:pPr>
        <w:pStyle w:val="NoSpacing"/>
        <w:numPr>
          <w:ilvl w:val="0"/>
          <w:numId w:val="14"/>
        </w:numPr>
      </w:pPr>
      <w:r w:rsidRPr="002B4A28">
        <w:rPr>
          <w:color w:val="ED7D31" w:themeColor="accent2"/>
        </w:rPr>
        <w:lastRenderedPageBreak/>
        <w:t>S. 22(1)</w:t>
      </w:r>
      <w:r>
        <w:t>: No person shall use a TM registered by another person in a manner that is likely to have the effect of depreciating the value of the goodwill attaching thereto</w:t>
      </w:r>
      <w:r w:rsidR="00777439">
        <w:t xml:space="preserve"> (doesn’t matter if registered or not/CL!)</w:t>
      </w:r>
    </w:p>
    <w:p w:rsidR="00AC6BE5" w:rsidRDefault="00AC6BE5" w:rsidP="00AC6BE5">
      <w:pPr>
        <w:pStyle w:val="Heading4"/>
      </w:pPr>
      <w:bookmarkStart w:id="46" w:name="_Toc405051861"/>
      <w:r>
        <w:t>Veuve Clicquot Ponsardin v Boutiques Cliquot Ltee (2006) SCC</w:t>
      </w:r>
      <w:bookmarkEnd w:id="4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P/A; D/R. P complains about the likelihood of D’s marks on women’s clothing being confused with P’s mark on fine champagne, and that D’s mark robs P’s ware of some of its lustre (contrary to </w:t>
            </w:r>
            <w:r w:rsidRPr="002B4A28">
              <w:rPr>
                <w:rFonts w:ascii="Calibri" w:eastAsia="Times New Roman" w:hAnsi="Calibri" w:cs="Times New Roman"/>
                <w:color w:val="ED7D31" w:themeColor="accent2"/>
                <w:lang w:eastAsia="en-CA"/>
              </w:rPr>
              <w:t>s. 22</w:t>
            </w:r>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D6A4E" w:rsidP="00F70A9F">
            <w:pPr>
              <w:pStyle w:val="NoSpacing"/>
              <w:rPr>
                <w:rFonts w:ascii="Calibri" w:eastAsia="Times New Roman" w:hAnsi="Calibri" w:cs="Times New Roman"/>
                <w:lang w:eastAsia="en-CA"/>
              </w:rPr>
            </w:pPr>
            <w:r>
              <w:rPr>
                <w:rFonts w:ascii="Calibri" w:eastAsia="Times New Roman" w:hAnsi="Calibri" w:cs="Times New Roman"/>
                <w:lang w:eastAsia="en-CA"/>
              </w:rPr>
              <w:t>Could use of D’s TM make</w:t>
            </w:r>
            <w:r w:rsidR="006C66E6">
              <w:rPr>
                <w:rFonts w:ascii="Calibri" w:eastAsia="Times New Roman" w:hAnsi="Calibri" w:cs="Times New Roman"/>
                <w:lang w:eastAsia="en-CA"/>
              </w:rPr>
              <w:t xml:space="preserve"> buy</w:t>
            </w:r>
            <w:r>
              <w:rPr>
                <w:rFonts w:ascii="Calibri" w:eastAsia="Times New Roman" w:hAnsi="Calibri" w:cs="Times New Roman"/>
                <w:lang w:eastAsia="en-CA"/>
              </w:rPr>
              <w:t xml:space="preserve">er have </w:t>
            </w:r>
            <w:r w:rsidR="00AC6BE5">
              <w:rPr>
                <w:rFonts w:ascii="Calibri" w:eastAsia="Times New Roman" w:hAnsi="Calibri" w:cs="Times New Roman"/>
                <w:lang w:eastAsia="en-CA"/>
              </w:rPr>
              <w:t>im</w:t>
            </w:r>
            <w:r w:rsidR="006C66E6">
              <w:rPr>
                <w:rFonts w:ascii="Calibri" w:eastAsia="Times New Roman" w:hAnsi="Calibri" w:cs="Times New Roman"/>
                <w:lang w:eastAsia="en-CA"/>
              </w:rPr>
              <w:t>perfect recollection of P’s TM</w:t>
            </w:r>
            <w:r w:rsidR="00AC6BE5">
              <w:rPr>
                <w:rFonts w:ascii="Calibri" w:eastAsia="Times New Roman" w:hAnsi="Calibri" w:cs="Times New Roman"/>
                <w:lang w:eastAsia="en-CA"/>
              </w:rPr>
              <w:t xml:space="preserve"> to confuse one for the other?</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Issue of fame, not logic behind confusing one ware for the other very different type</w:t>
            </w:r>
          </w:p>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Onus of proof of establishing likelihood of such depreciation rests on P</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2B4A28" w:rsidRDefault="00AC6BE5" w:rsidP="00F70A9F">
            <w:pPr>
              <w:pStyle w:val="NoSpacing"/>
              <w:rPr>
                <w:rFonts w:ascii="Calibri" w:eastAsia="Times New Roman" w:hAnsi="Calibri" w:cs="Times New Roman"/>
                <w:highlight w:val="yellow"/>
                <w:lang w:eastAsia="en-CA"/>
              </w:rPr>
            </w:pPr>
            <w:r w:rsidRPr="002B4A28">
              <w:rPr>
                <w:rFonts w:ascii="Calibri" w:eastAsia="Times New Roman" w:hAnsi="Calibri" w:cs="Times New Roman"/>
                <w:highlight w:val="yellow"/>
                <w:lang w:eastAsia="en-CA"/>
              </w:rPr>
              <w:t xml:space="preserve">Depreciation of goodwill under </w:t>
            </w:r>
            <w:r w:rsidRPr="002B4A28">
              <w:rPr>
                <w:rFonts w:ascii="Calibri" w:eastAsia="Times New Roman" w:hAnsi="Calibri" w:cs="Times New Roman"/>
                <w:color w:val="ED7D31" w:themeColor="accent2"/>
                <w:highlight w:val="yellow"/>
                <w:lang w:eastAsia="en-CA"/>
              </w:rPr>
              <w:t xml:space="preserve">s. 22 </w:t>
            </w:r>
            <w:r w:rsidRPr="002B4A28">
              <w:rPr>
                <w:rFonts w:ascii="Calibri" w:eastAsia="Times New Roman" w:hAnsi="Calibri" w:cs="Times New Roman"/>
                <w:highlight w:val="yellow"/>
                <w:lang w:eastAsia="en-CA"/>
              </w:rPr>
              <w:t>requires claimant to prove:</w:t>
            </w:r>
          </w:p>
          <w:p w:rsidR="00AC6BE5" w:rsidRPr="002B4A28" w:rsidRDefault="00AC6BE5" w:rsidP="00F70A9F">
            <w:pPr>
              <w:pStyle w:val="NoSpacing"/>
              <w:rPr>
                <w:rFonts w:ascii="Calibri" w:eastAsia="Times New Roman" w:hAnsi="Calibri" w:cs="Times New Roman"/>
                <w:highlight w:val="yellow"/>
                <w:lang w:eastAsia="en-CA"/>
              </w:rPr>
            </w:pPr>
            <w:r w:rsidRPr="002B4A28">
              <w:rPr>
                <w:rFonts w:ascii="Calibri" w:eastAsia="Times New Roman" w:hAnsi="Calibri" w:cs="Times New Roman"/>
                <w:highlight w:val="yellow"/>
                <w:lang w:eastAsia="en-CA"/>
              </w:rPr>
              <w:t xml:space="preserve">1) Use of claimant’s registered mark: a) Use under </w:t>
            </w:r>
            <w:r w:rsidRPr="002B4A28">
              <w:rPr>
                <w:rFonts w:ascii="Calibri" w:eastAsia="Times New Roman" w:hAnsi="Calibri" w:cs="Times New Roman"/>
                <w:color w:val="ED7D31" w:themeColor="accent2"/>
                <w:highlight w:val="yellow"/>
                <w:lang w:eastAsia="en-CA"/>
              </w:rPr>
              <w:t>s. 4</w:t>
            </w:r>
            <w:r w:rsidRPr="002B4A28">
              <w:rPr>
                <w:rFonts w:ascii="Calibri" w:eastAsia="Times New Roman" w:hAnsi="Calibri" w:cs="Times New Roman"/>
                <w:highlight w:val="yellow"/>
                <w:lang w:eastAsia="en-CA"/>
              </w:rPr>
              <w:t>; b) Need not be identical, but distinguishing feature must at least be similar</w:t>
            </w:r>
          </w:p>
          <w:p w:rsidR="00AC6BE5" w:rsidRPr="002B4A28" w:rsidRDefault="00AC6BE5" w:rsidP="00F70A9F">
            <w:pPr>
              <w:pStyle w:val="NoSpacing"/>
              <w:rPr>
                <w:rFonts w:ascii="Calibri" w:eastAsia="Times New Roman" w:hAnsi="Calibri" w:cs="Times New Roman"/>
                <w:highlight w:val="yellow"/>
                <w:lang w:eastAsia="en-CA"/>
              </w:rPr>
            </w:pPr>
            <w:r w:rsidRPr="002B4A28">
              <w:rPr>
                <w:rFonts w:ascii="Calibri" w:eastAsia="Times New Roman" w:hAnsi="Calibri" w:cs="Times New Roman"/>
                <w:highlight w:val="yellow"/>
                <w:lang w:eastAsia="en-CA"/>
              </w:rPr>
              <w:t>2) Proof of goodwill: a) “Fame” is not required; b) Must be “significant”</w:t>
            </w:r>
          </w:p>
          <w:p w:rsidR="00AC6BE5" w:rsidRPr="002B4A28" w:rsidRDefault="00AC6BE5" w:rsidP="00F70A9F">
            <w:pPr>
              <w:pStyle w:val="NoSpacing"/>
              <w:rPr>
                <w:rFonts w:ascii="Calibri" w:eastAsia="Times New Roman" w:hAnsi="Calibri" w:cs="Times New Roman"/>
                <w:highlight w:val="yellow"/>
                <w:lang w:eastAsia="en-CA"/>
              </w:rPr>
            </w:pPr>
            <w:r w:rsidRPr="002B4A28">
              <w:rPr>
                <w:rFonts w:ascii="Calibri" w:eastAsia="Times New Roman" w:hAnsi="Calibri" w:cs="Times New Roman"/>
                <w:highlight w:val="yellow"/>
                <w:lang w:eastAsia="en-CA"/>
              </w:rPr>
              <w:t>3) Likely connection between claimant’s and defendant’s use of the mark in consumer’s mind</w:t>
            </w:r>
          </w:p>
          <w:p w:rsidR="00AC6BE5" w:rsidRPr="00E72B7A" w:rsidRDefault="00AC6BE5" w:rsidP="00F70A9F">
            <w:pPr>
              <w:pStyle w:val="NoSpacing"/>
              <w:rPr>
                <w:rFonts w:ascii="Calibri" w:eastAsia="Times New Roman" w:hAnsi="Calibri" w:cs="Times New Roman"/>
                <w:lang w:eastAsia="en-CA"/>
              </w:rPr>
            </w:pPr>
            <w:r w:rsidRPr="002B4A28">
              <w:rPr>
                <w:rFonts w:ascii="Calibri" w:eastAsia="Times New Roman" w:hAnsi="Calibri" w:cs="Times New Roman"/>
                <w:highlight w:val="yellow"/>
                <w:lang w:eastAsia="en-CA"/>
              </w:rPr>
              <w:t>4) Likelihood of depreciation: a) Depreciation = loss of distinctiveness, disparagement, etc.; b) Not “could” there be depreciation, but does evidence show “likelihood” of depreciation</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Neither claim has been established. Appeal dismissed.</w:t>
            </w:r>
          </w:p>
        </w:tc>
      </w:tr>
    </w:tbl>
    <w:p w:rsidR="00AC6BE5" w:rsidRDefault="00AC6BE5" w:rsidP="00AC6BE5">
      <w:pPr>
        <w:pStyle w:val="Heading4"/>
      </w:pPr>
      <w:bookmarkStart w:id="47" w:name="_Toc405051862"/>
      <w:r>
        <w:t>Source Perrier v Fira-Less Marketing</w:t>
      </w:r>
      <w:bookmarkEnd w:id="4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Depreciation of goodwill by using a registered TM in a parody or satire.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xml:space="preserve">Is parody/satire a defence under </w:t>
            </w:r>
            <w:r w:rsidRPr="00C23A39">
              <w:rPr>
                <w:rFonts w:ascii="Calibri" w:eastAsia="Times New Roman" w:hAnsi="Calibri" w:cs="Times New Roman"/>
                <w:color w:val="ED7D31" w:themeColor="accent2"/>
                <w:lang w:eastAsia="en-CA"/>
              </w:rPr>
              <w:t>s. 22</w:t>
            </w:r>
            <w:r>
              <w:rPr>
                <w:rFonts w:ascii="Calibri" w:eastAsia="Times New Roman" w:hAnsi="Calibri" w:cs="Times New Roman"/>
                <w:lang w:eastAsia="en-CA"/>
              </w:rPr>
              <w:t>?</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D’s mark is familiar enough (1), meant to be a parody (2), pretty likely to get the two confused (3)</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273B80" w:rsidP="00F70A9F">
            <w:pPr>
              <w:pStyle w:val="NoSpacing"/>
              <w:rPr>
                <w:rFonts w:ascii="Calibri" w:eastAsia="Times New Roman" w:hAnsi="Calibri" w:cs="Times New Roman"/>
                <w:lang w:eastAsia="en-CA"/>
              </w:rPr>
            </w:pPr>
            <w:r>
              <w:rPr>
                <w:rFonts w:ascii="Calibri" w:eastAsia="Times New Roman" w:hAnsi="Calibri" w:cs="Times New Roman"/>
                <w:highlight w:val="yellow"/>
                <w:lang w:eastAsia="en-CA"/>
              </w:rPr>
              <w:t xml:space="preserve">Neither </w:t>
            </w:r>
            <w:r>
              <w:rPr>
                <w:rFonts w:ascii="Calibri" w:eastAsia="Times New Roman" w:hAnsi="Calibri" w:cs="Times New Roman"/>
                <w:b/>
                <w:highlight w:val="yellow"/>
                <w:lang w:eastAsia="en-CA"/>
              </w:rPr>
              <w:t>p</w:t>
            </w:r>
            <w:r w:rsidR="00AC6BE5" w:rsidRPr="00C23A39">
              <w:rPr>
                <w:rFonts w:ascii="Calibri" w:eastAsia="Times New Roman" w:hAnsi="Calibri" w:cs="Times New Roman"/>
                <w:b/>
                <w:highlight w:val="yellow"/>
                <w:lang w:eastAsia="en-CA"/>
              </w:rPr>
              <w:t>arody/satire</w:t>
            </w:r>
            <w:r w:rsidR="00AC6BE5" w:rsidRPr="00C23A39">
              <w:rPr>
                <w:rFonts w:ascii="Calibri" w:eastAsia="Times New Roman" w:hAnsi="Calibri" w:cs="Times New Roman"/>
                <w:highlight w:val="yellow"/>
                <w:lang w:eastAsia="en-CA"/>
              </w:rPr>
              <w:t xml:space="preserve"> </w:t>
            </w:r>
            <w:r>
              <w:rPr>
                <w:rFonts w:ascii="Calibri" w:eastAsia="Times New Roman" w:hAnsi="Calibri" w:cs="Times New Roman"/>
                <w:highlight w:val="yellow"/>
                <w:lang w:eastAsia="en-CA"/>
              </w:rPr>
              <w:t>nor freedom of expression is</w:t>
            </w:r>
            <w:r w:rsidR="00AC6BE5" w:rsidRPr="00C23A39">
              <w:rPr>
                <w:rFonts w:ascii="Calibri" w:eastAsia="Times New Roman" w:hAnsi="Calibri" w:cs="Times New Roman"/>
                <w:highlight w:val="yellow"/>
                <w:lang w:eastAsia="en-CA"/>
              </w:rPr>
              <w:t xml:space="preserve"> a defence for TM infringement in Canada.</w:t>
            </w:r>
          </w:p>
        </w:tc>
      </w:tr>
    </w:tbl>
    <w:p w:rsidR="00AC6BE5" w:rsidRDefault="00AC6BE5" w:rsidP="00AC6BE5">
      <w:pPr>
        <w:pStyle w:val="Heading2"/>
      </w:pPr>
      <w:bookmarkStart w:id="48" w:name="_Toc405051863"/>
      <w:r>
        <w:t>12.0 Unfair Competition</w:t>
      </w:r>
      <w:bookmarkEnd w:id="48"/>
    </w:p>
    <w:p w:rsidR="00AC6BE5" w:rsidRDefault="00AC6BE5" w:rsidP="00AC6BE5">
      <w:pPr>
        <w:pStyle w:val="Heading3"/>
      </w:pPr>
      <w:bookmarkStart w:id="49" w:name="_Toc405051864"/>
      <w:r>
        <w:t>12.1 Passing Off at Common Law</w:t>
      </w:r>
      <w:bookmarkEnd w:id="49"/>
    </w:p>
    <w:p w:rsidR="00777439" w:rsidRPr="00777439" w:rsidRDefault="00777439" w:rsidP="00777439">
      <w:pPr>
        <w:pStyle w:val="NoSpacing"/>
        <w:numPr>
          <w:ilvl w:val="0"/>
          <w:numId w:val="46"/>
        </w:numPr>
      </w:pPr>
      <w:r>
        <w:t>Available for all trademarks, both registered and unregistered/common law</w:t>
      </w:r>
    </w:p>
    <w:p w:rsidR="00AC6BE5" w:rsidRPr="00E44F00" w:rsidRDefault="00AC6BE5" w:rsidP="00AC6BE5">
      <w:pPr>
        <w:pStyle w:val="Heading4"/>
      </w:pPr>
      <w:bookmarkStart w:id="50" w:name="_Toc405051865"/>
      <w:r>
        <w:t>Ciba Geigy Canada v Apotex (1992) SCC</w:t>
      </w:r>
      <w:bookmarkEnd w:id="5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C23A39" w:rsidRDefault="00AC6BE5" w:rsidP="00F70A9F">
            <w:pPr>
              <w:pStyle w:val="NoSpacing"/>
              <w:rPr>
                <w:rFonts w:ascii="Calibri" w:eastAsia="Times New Roman" w:hAnsi="Calibri" w:cs="Times New Roman"/>
                <w:highlight w:val="yellow"/>
                <w:lang w:eastAsia="en-CA"/>
              </w:rPr>
            </w:pPr>
            <w:r w:rsidRPr="00C23A39">
              <w:rPr>
                <w:rFonts w:ascii="Calibri" w:eastAsia="Times New Roman" w:hAnsi="Calibri" w:cs="Times New Roman"/>
                <w:highlight w:val="yellow"/>
                <w:lang w:eastAsia="en-CA"/>
              </w:rPr>
              <w:t xml:space="preserve">Three requirements to prove </w:t>
            </w:r>
            <w:r w:rsidRPr="00C23A39">
              <w:rPr>
                <w:rFonts w:ascii="Calibri" w:eastAsia="Times New Roman" w:hAnsi="Calibri" w:cs="Times New Roman"/>
                <w:b/>
                <w:highlight w:val="yellow"/>
                <w:lang w:eastAsia="en-CA"/>
              </w:rPr>
              <w:t>passing off</w:t>
            </w:r>
            <w:r w:rsidRPr="00C23A39">
              <w:rPr>
                <w:rFonts w:ascii="Calibri" w:eastAsia="Times New Roman" w:hAnsi="Calibri" w:cs="Times New Roman"/>
                <w:highlight w:val="yellow"/>
                <w:lang w:eastAsia="en-CA"/>
              </w:rPr>
              <w:t>:</w:t>
            </w:r>
          </w:p>
          <w:p w:rsidR="00AC6BE5" w:rsidRPr="00C23A39" w:rsidRDefault="00AC6BE5" w:rsidP="00F70A9F">
            <w:pPr>
              <w:pStyle w:val="NoSpacing"/>
              <w:rPr>
                <w:rFonts w:ascii="Calibri" w:eastAsia="Times New Roman" w:hAnsi="Calibri" w:cs="Times New Roman"/>
                <w:highlight w:val="yellow"/>
                <w:lang w:eastAsia="en-CA"/>
              </w:rPr>
            </w:pPr>
            <w:r w:rsidRPr="00C23A39">
              <w:rPr>
                <w:rFonts w:ascii="Calibri" w:eastAsia="Times New Roman" w:hAnsi="Calibri" w:cs="Times New Roman"/>
                <w:highlight w:val="yellow"/>
                <w:lang w:eastAsia="en-CA"/>
              </w:rPr>
              <w:t>1) Goodwill: Public recognizes get-up as distinctive of P’s goods/services at the date D s</w:t>
            </w:r>
            <w:r w:rsidR="00273B80">
              <w:rPr>
                <w:rFonts w:ascii="Calibri" w:eastAsia="Times New Roman" w:hAnsi="Calibri" w:cs="Times New Roman"/>
                <w:highlight w:val="yellow"/>
                <w:lang w:eastAsia="en-CA"/>
              </w:rPr>
              <w:t>tarts using its impugned get-up (</w:t>
            </w:r>
            <w:r w:rsidR="00273B80">
              <w:rPr>
                <w:rFonts w:ascii="Calibri" w:eastAsia="Times New Roman" w:hAnsi="Calibri" w:cs="Times New Roman"/>
                <w:b/>
                <w:highlight w:val="yellow"/>
                <w:lang w:eastAsia="en-CA"/>
              </w:rPr>
              <w:t>ge</w:t>
            </w:r>
            <w:r w:rsidRPr="00C23A39">
              <w:rPr>
                <w:rFonts w:ascii="Calibri" w:eastAsia="Times New Roman" w:hAnsi="Calibri" w:cs="Times New Roman"/>
                <w:b/>
                <w:highlight w:val="yellow"/>
                <w:lang w:eastAsia="en-CA"/>
              </w:rPr>
              <w:t>t-up</w:t>
            </w:r>
            <w:r w:rsidRPr="00C23A39">
              <w:rPr>
                <w:rFonts w:ascii="Calibri" w:eastAsia="Times New Roman" w:hAnsi="Calibri" w:cs="Times New Roman"/>
                <w:highlight w:val="yellow"/>
                <w:lang w:eastAsia="en-CA"/>
              </w:rPr>
              <w:t>” includes TMs, features of labelling/packaging/ads, etc.</w:t>
            </w:r>
            <w:r w:rsidR="00273B80">
              <w:rPr>
                <w:rFonts w:ascii="Calibri" w:eastAsia="Times New Roman" w:hAnsi="Calibri" w:cs="Times New Roman"/>
                <w:highlight w:val="yellow"/>
                <w:lang w:eastAsia="en-CA"/>
              </w:rPr>
              <w:t>)</w:t>
            </w:r>
          </w:p>
          <w:p w:rsidR="00AC6BE5" w:rsidRPr="00C23A39" w:rsidRDefault="00AC6BE5" w:rsidP="00F70A9F">
            <w:pPr>
              <w:pStyle w:val="NoSpacing"/>
              <w:rPr>
                <w:rFonts w:ascii="Calibri" w:eastAsia="Times New Roman" w:hAnsi="Calibri" w:cs="Times New Roman"/>
                <w:highlight w:val="yellow"/>
                <w:lang w:eastAsia="en-CA"/>
              </w:rPr>
            </w:pPr>
            <w:r w:rsidRPr="00C23A39">
              <w:rPr>
                <w:rFonts w:ascii="Calibri" w:eastAsia="Times New Roman" w:hAnsi="Calibri" w:cs="Times New Roman"/>
                <w:highlight w:val="yellow"/>
                <w:lang w:eastAsia="en-CA"/>
              </w:rPr>
              <w:t>2) Misrepresentation causes deception of public: D’s use of get-up amounts to a misrepresentation that P is the source of the goods/services, or that D is associated with P</w:t>
            </w:r>
          </w:p>
          <w:p w:rsidR="00AC6BE5" w:rsidRPr="00C23A39" w:rsidRDefault="00AC6BE5" w:rsidP="00F70A9F">
            <w:pPr>
              <w:pStyle w:val="NoSpacing"/>
              <w:rPr>
                <w:rFonts w:ascii="Calibri" w:eastAsia="Times New Roman" w:hAnsi="Calibri" w:cs="Times New Roman"/>
                <w:highlight w:val="yellow"/>
                <w:lang w:eastAsia="en-CA"/>
              </w:rPr>
            </w:pPr>
            <w:r w:rsidRPr="00C23A39">
              <w:rPr>
                <w:rFonts w:ascii="Calibri" w:eastAsia="Times New Roman" w:hAnsi="Calibri" w:cs="Times New Roman"/>
                <w:highlight w:val="yellow"/>
                <w:lang w:eastAsia="en-CA"/>
              </w:rPr>
              <w:t>- Deceptive intent is NOT required, i.e. may be unintentional</w:t>
            </w:r>
          </w:p>
          <w:p w:rsidR="00AC6BE5" w:rsidRPr="00E72B7A" w:rsidRDefault="00AC6BE5" w:rsidP="00F70A9F">
            <w:pPr>
              <w:pStyle w:val="NoSpacing"/>
              <w:rPr>
                <w:rFonts w:ascii="Calibri" w:eastAsia="Times New Roman" w:hAnsi="Calibri" w:cs="Times New Roman"/>
                <w:lang w:eastAsia="en-CA"/>
              </w:rPr>
            </w:pPr>
            <w:r w:rsidRPr="00C23A39">
              <w:rPr>
                <w:rFonts w:ascii="Calibri" w:eastAsia="Times New Roman" w:hAnsi="Calibri" w:cs="Times New Roman"/>
                <w:highlight w:val="yellow"/>
                <w:lang w:eastAsia="en-CA"/>
              </w:rPr>
              <w:t>3) Damage: e.g. lost sales, damage to reputation, loss of control over the use of the get-up</w:t>
            </w:r>
          </w:p>
        </w:tc>
      </w:tr>
    </w:tbl>
    <w:p w:rsidR="00AC6BE5" w:rsidRDefault="00AC6BE5" w:rsidP="00805220">
      <w:pPr>
        <w:pStyle w:val="NoSpacing"/>
        <w:numPr>
          <w:ilvl w:val="0"/>
          <w:numId w:val="44"/>
        </w:numPr>
      </w:pPr>
      <w:proofErr w:type="spellStart"/>
      <w:r w:rsidRPr="00805220">
        <w:rPr>
          <w:i/>
        </w:rPr>
        <w:t>Orkin</w:t>
      </w:r>
      <w:proofErr w:type="spellEnd"/>
      <w:r w:rsidRPr="00805220">
        <w:rPr>
          <w:i/>
        </w:rPr>
        <w:t xml:space="preserve"> Exterminating v </w:t>
      </w:r>
      <w:proofErr w:type="spellStart"/>
      <w:r w:rsidRPr="00805220">
        <w:rPr>
          <w:i/>
        </w:rPr>
        <w:t>Pest</w:t>
      </w:r>
      <w:r w:rsidR="00273B80">
        <w:rPr>
          <w:i/>
        </w:rPr>
        <w:t>co</w:t>
      </w:r>
      <w:proofErr w:type="spellEnd"/>
      <w:r>
        <w:t xml:space="preserve"> (1985) ONCA</w:t>
      </w:r>
      <w:r w:rsidR="00805220">
        <w:t xml:space="preserve"> (</w:t>
      </w:r>
      <w:r w:rsidR="00273B80">
        <w:t xml:space="preserve">D used </w:t>
      </w:r>
      <w:r w:rsidR="00273B80">
        <w:rPr>
          <w:rFonts w:ascii="Calibri" w:eastAsia="Times New Roman" w:hAnsi="Calibri" w:cs="Times New Roman"/>
          <w:lang w:eastAsia="en-CA"/>
        </w:rPr>
        <w:t>“</w:t>
      </w:r>
      <w:proofErr w:type="spellStart"/>
      <w:r w:rsidR="00273B80">
        <w:rPr>
          <w:rFonts w:ascii="Calibri" w:eastAsia="Times New Roman" w:hAnsi="Calibri" w:cs="Times New Roman"/>
          <w:lang w:eastAsia="en-CA"/>
        </w:rPr>
        <w:t>Orkin</w:t>
      </w:r>
      <w:proofErr w:type="spellEnd"/>
      <w:r w:rsidR="00273B80">
        <w:rPr>
          <w:rFonts w:ascii="Calibri" w:eastAsia="Times New Roman" w:hAnsi="Calibri" w:cs="Times New Roman"/>
          <w:lang w:eastAsia="en-CA"/>
        </w:rPr>
        <w:t>”</w:t>
      </w:r>
      <w:r w:rsidR="00805220">
        <w:rPr>
          <w:rFonts w:ascii="Calibri" w:eastAsia="Times New Roman" w:hAnsi="Calibri" w:cs="Times New Roman"/>
          <w:lang w:eastAsia="en-CA"/>
        </w:rPr>
        <w:t xml:space="preserve">): </w:t>
      </w:r>
      <w:r w:rsidR="00273B80">
        <w:rPr>
          <w:rFonts w:ascii="Calibri" w:eastAsia="Times New Roman" w:hAnsi="Calibri" w:cs="Times New Roman"/>
          <w:highlight w:val="yellow"/>
          <w:lang w:eastAsia="en-CA"/>
        </w:rPr>
        <w:t>If P has reputation, D should pick another name</w:t>
      </w:r>
    </w:p>
    <w:p w:rsidR="00AC6BE5" w:rsidRDefault="00AC6BE5" w:rsidP="00AC6BE5">
      <w:pPr>
        <w:pStyle w:val="Heading3"/>
      </w:pPr>
      <w:bookmarkStart w:id="51" w:name="_Toc405051866"/>
      <w:r>
        <w:t>12.2 Statutory Passing off under S. 7</w:t>
      </w:r>
      <w:bookmarkEnd w:id="51"/>
    </w:p>
    <w:p w:rsidR="00805220" w:rsidRDefault="00AC6BE5" w:rsidP="00805220">
      <w:pPr>
        <w:pStyle w:val="NoSpacing"/>
        <w:numPr>
          <w:ilvl w:val="0"/>
          <w:numId w:val="43"/>
        </w:numPr>
      </w:pPr>
      <w:r w:rsidRPr="00C23A39">
        <w:rPr>
          <w:color w:val="ED7D31" w:themeColor="accent2"/>
        </w:rPr>
        <w:t>S. 7(b)</w:t>
      </w:r>
      <w:r>
        <w:t>: Direct public attention to his wares, services, or business in such a way as to cause or be likely to cause confusion in Canada, at the time he commenced so to direct attention to them, between his wares/services/business and the wares/services/business of another</w:t>
      </w:r>
    </w:p>
    <w:p w:rsidR="00AC6BE5" w:rsidRPr="00B770FB" w:rsidRDefault="00AC6BE5" w:rsidP="00805220">
      <w:pPr>
        <w:pStyle w:val="NoSpacing"/>
        <w:numPr>
          <w:ilvl w:val="0"/>
          <w:numId w:val="43"/>
        </w:numPr>
      </w:pPr>
      <w:r w:rsidRPr="00805220">
        <w:rPr>
          <w:i/>
        </w:rPr>
        <w:t>Molson Breweries v Moosehead Breweries</w:t>
      </w:r>
      <w:r>
        <w:t xml:space="preserve"> (1990) FC Trial </w:t>
      </w:r>
      <w:proofErr w:type="spellStart"/>
      <w:r>
        <w:t>Div</w:t>
      </w:r>
      <w:proofErr w:type="spellEnd"/>
      <w:r w:rsidR="00805220">
        <w:t xml:space="preserve"> (</w:t>
      </w:r>
      <w:r w:rsidR="00805220">
        <w:rPr>
          <w:rFonts w:ascii="Calibri" w:eastAsia="Times New Roman" w:hAnsi="Calibri" w:cs="Times New Roman"/>
          <w:lang w:eastAsia="en-CA"/>
        </w:rPr>
        <w:t xml:space="preserve">Similar get-ups for dry beer, but on first impression they are not confusing. P loses): </w:t>
      </w:r>
      <w:r w:rsidR="00805220" w:rsidRPr="00A91426">
        <w:rPr>
          <w:rFonts w:ascii="Calibri" w:eastAsia="Times New Roman" w:hAnsi="Calibri" w:cs="Times New Roman"/>
          <w:highlight w:val="yellow"/>
          <w:lang w:eastAsia="en-CA"/>
        </w:rPr>
        <w:t>Based on first impression.</w:t>
      </w:r>
    </w:p>
    <w:p w:rsidR="00AC6BE5" w:rsidRDefault="00AC6BE5" w:rsidP="00AC6BE5">
      <w:pPr>
        <w:pStyle w:val="Heading2"/>
      </w:pPr>
      <w:bookmarkStart w:id="52" w:name="_Toc405051867"/>
      <w:r>
        <w:t>13.0 Licensing</w:t>
      </w:r>
      <w:bookmarkEnd w:id="52"/>
    </w:p>
    <w:p w:rsidR="00AC6BE5" w:rsidRDefault="00AC6BE5" w:rsidP="00AC6BE5">
      <w:pPr>
        <w:pStyle w:val="NoSpacing"/>
        <w:numPr>
          <w:ilvl w:val="0"/>
          <w:numId w:val="15"/>
        </w:numPr>
      </w:pPr>
      <w:r>
        <w:t xml:space="preserve">Typical </w:t>
      </w:r>
      <w:r w:rsidRPr="00A91426">
        <w:rPr>
          <w:b/>
        </w:rPr>
        <w:t>licensing</w:t>
      </w:r>
      <w:r>
        <w:t xml:space="preserve"> situations:</w:t>
      </w:r>
    </w:p>
    <w:p w:rsidR="00AC6BE5" w:rsidRDefault="00AC6BE5" w:rsidP="00AC6BE5">
      <w:pPr>
        <w:pStyle w:val="NoSpacing"/>
        <w:numPr>
          <w:ilvl w:val="1"/>
          <w:numId w:val="15"/>
        </w:numPr>
      </w:pPr>
      <w:r>
        <w:t xml:space="preserve">Licensing for franchise (e.g. Subway, Tim </w:t>
      </w:r>
      <w:proofErr w:type="spellStart"/>
      <w:r>
        <w:t>Hortons</w:t>
      </w:r>
      <w:proofErr w:type="spellEnd"/>
      <w:r>
        <w:t>)</w:t>
      </w:r>
    </w:p>
    <w:p w:rsidR="00AC6BE5" w:rsidRDefault="00AC6BE5" w:rsidP="00AC6BE5">
      <w:pPr>
        <w:pStyle w:val="NoSpacing"/>
        <w:numPr>
          <w:ilvl w:val="1"/>
          <w:numId w:val="15"/>
        </w:numPr>
      </w:pPr>
      <w:r>
        <w:t>Licensing for merchandising (e.g. Star Wars Lego toys)</w:t>
      </w:r>
    </w:p>
    <w:p w:rsidR="00AC6BE5" w:rsidRDefault="00AC6BE5" w:rsidP="00AC6BE5">
      <w:pPr>
        <w:pStyle w:val="NoSpacing"/>
        <w:numPr>
          <w:ilvl w:val="1"/>
          <w:numId w:val="15"/>
        </w:numPr>
      </w:pPr>
      <w:r>
        <w:t>Multinational company licenses a national subsidiary</w:t>
      </w:r>
    </w:p>
    <w:p w:rsidR="00AC6BE5" w:rsidRDefault="00AC6BE5" w:rsidP="00AC6BE5">
      <w:pPr>
        <w:pStyle w:val="NoSpacing"/>
        <w:numPr>
          <w:ilvl w:val="0"/>
          <w:numId w:val="15"/>
        </w:numPr>
      </w:pPr>
      <w:r w:rsidRPr="00A91426">
        <w:rPr>
          <w:color w:val="ED7D31" w:themeColor="accent2"/>
        </w:rPr>
        <w:lastRenderedPageBreak/>
        <w:t>S. 50</w:t>
      </w:r>
      <w:r>
        <w:t xml:space="preserve">: Use of TM by licensee, where owner has control over the character or quality of the goods/services, has the </w:t>
      </w:r>
      <w:r w:rsidRPr="00273B80">
        <w:rPr>
          <w:u w:val="single"/>
        </w:rPr>
        <w:t>same effect as use by the owner</w:t>
      </w:r>
    </w:p>
    <w:p w:rsidR="00AC6BE5" w:rsidRDefault="00AC6BE5" w:rsidP="00AC6BE5">
      <w:pPr>
        <w:pStyle w:val="NoSpacing"/>
        <w:numPr>
          <w:ilvl w:val="0"/>
          <w:numId w:val="15"/>
        </w:numPr>
      </w:pPr>
      <w:r>
        <w:t xml:space="preserve">Example: </w:t>
      </w:r>
      <w:r w:rsidRPr="00A91426">
        <w:rPr>
          <w:b/>
        </w:rPr>
        <w:t xml:space="preserve">Registrant </w:t>
      </w:r>
      <w:r>
        <w:t xml:space="preserve">(the “Licensor” or owner) Doctor’s Associates </w:t>
      </w:r>
      <w:r w:rsidR="00273B80">
        <w:t xml:space="preserve">controls the character and quality of services by licensees AND </w:t>
      </w:r>
      <w:r>
        <w:t>licenses the Subway mark for use by David’</w:t>
      </w:r>
      <w:r w:rsidR="00273B80">
        <w:t>s Small Biz (the “</w:t>
      </w:r>
      <w:r w:rsidR="00273B80" w:rsidRPr="00273B80">
        <w:rPr>
          <w:b/>
        </w:rPr>
        <w:t>Licensee</w:t>
      </w:r>
      <w:r w:rsidR="00273B80">
        <w:t>”), which</w:t>
      </w:r>
      <w:r>
        <w:t xml:space="preserve"> provides restaurant services in association with the Subway mark</w:t>
      </w:r>
    </w:p>
    <w:p w:rsidR="00AC6BE5" w:rsidRDefault="00AC6BE5" w:rsidP="00AC6BE5">
      <w:pPr>
        <w:pStyle w:val="NoSpacing"/>
        <w:numPr>
          <w:ilvl w:val="1"/>
          <w:numId w:val="15"/>
        </w:numPr>
      </w:pPr>
      <w:r>
        <w:t>Even if David’s Small Biz (licensee) builds the sandwich, its source is Doctor’s Associates (owner)</w:t>
      </w:r>
    </w:p>
    <w:p w:rsidR="00AC6BE5" w:rsidRDefault="00AC6BE5" w:rsidP="00AC6BE5">
      <w:pPr>
        <w:pStyle w:val="NoSpacing"/>
        <w:numPr>
          <w:ilvl w:val="1"/>
          <w:numId w:val="15"/>
        </w:numPr>
      </w:pPr>
      <w:r>
        <w:t>If David (licensee) turns his Subway shop into a sushi shop: Consumer gets confused… “Subway Sushi”?</w:t>
      </w:r>
    </w:p>
    <w:p w:rsidR="00AC6BE5" w:rsidRDefault="00AC6BE5" w:rsidP="00AC6BE5">
      <w:pPr>
        <w:pStyle w:val="NoSpacing"/>
        <w:numPr>
          <w:ilvl w:val="2"/>
          <w:numId w:val="15"/>
        </w:numPr>
      </w:pPr>
      <w:r>
        <w:t>This means Subway (owner of “Subway” TM) has lost control over the quality of the services</w:t>
      </w:r>
    </w:p>
    <w:p w:rsidR="00AC6BE5" w:rsidRDefault="00AC6BE5" w:rsidP="00AC6BE5">
      <w:pPr>
        <w:pStyle w:val="NoSpacing"/>
        <w:numPr>
          <w:ilvl w:val="0"/>
          <w:numId w:val="15"/>
        </w:numPr>
      </w:pPr>
      <w:r>
        <w:t>Hello Kitty brand example: Sanrio the licensor maintains control over the quality and character of its products, even when combined with other TMs (e.g. the Nike shoes, or the Fender guitar, both with Hello Kitty on them)</w:t>
      </w:r>
    </w:p>
    <w:p w:rsidR="00AC6BE5" w:rsidRDefault="00AC6BE5" w:rsidP="00AC6BE5">
      <w:pPr>
        <w:pStyle w:val="NoSpacing"/>
        <w:numPr>
          <w:ilvl w:val="0"/>
          <w:numId w:val="15"/>
        </w:numPr>
      </w:pPr>
      <w:r>
        <w:t>Failure to control quality or character</w:t>
      </w:r>
    </w:p>
    <w:p w:rsidR="00AC6BE5" w:rsidRDefault="00AC6BE5" w:rsidP="00AC6BE5">
      <w:pPr>
        <w:pStyle w:val="NoSpacing"/>
        <w:numPr>
          <w:ilvl w:val="1"/>
          <w:numId w:val="15"/>
        </w:numPr>
      </w:pPr>
      <w:r>
        <w:t>Improper licensing</w:t>
      </w:r>
    </w:p>
    <w:p w:rsidR="00AC6BE5" w:rsidRDefault="00AC6BE5" w:rsidP="00AC6BE5">
      <w:pPr>
        <w:pStyle w:val="NoSpacing"/>
        <w:numPr>
          <w:ilvl w:val="1"/>
          <w:numId w:val="15"/>
        </w:numPr>
      </w:pPr>
      <w:r>
        <w:t>Invalida</w:t>
      </w:r>
      <w:r w:rsidR="00273B80">
        <w:t>tion of TM due to something</w:t>
      </w:r>
    </w:p>
    <w:p w:rsidR="00AC6BE5" w:rsidRDefault="00AC6BE5" w:rsidP="00AC6BE5">
      <w:pPr>
        <w:pStyle w:val="NoSpacing"/>
        <w:numPr>
          <w:ilvl w:val="0"/>
          <w:numId w:val="15"/>
        </w:numPr>
      </w:pPr>
      <w:r w:rsidRPr="005D10FF">
        <w:rPr>
          <w:color w:val="ED7D31" w:themeColor="accent2"/>
        </w:rPr>
        <w:t>S. 50(2)</w:t>
      </w:r>
      <w:r>
        <w:t xml:space="preserve">: Presumption of proper licensing if </w:t>
      </w:r>
      <w:r w:rsidRPr="00273B80">
        <w:rPr>
          <w:b/>
        </w:rPr>
        <w:t>public notice of license</w:t>
      </w:r>
      <w:r>
        <w:t xml:space="preserve"> is given</w:t>
      </w:r>
    </w:p>
    <w:p w:rsidR="00AC6BE5" w:rsidRDefault="00AC6BE5" w:rsidP="00AC6BE5">
      <w:pPr>
        <w:pStyle w:val="NoSpacing"/>
        <w:numPr>
          <w:ilvl w:val="0"/>
          <w:numId w:val="15"/>
        </w:numPr>
      </w:pPr>
      <w:r>
        <w:t xml:space="preserve">When is it licensing and when is it not? </w:t>
      </w:r>
      <w:r w:rsidRPr="005D10FF">
        <w:rPr>
          <w:b/>
        </w:rPr>
        <w:t>Distributors</w:t>
      </w:r>
      <w:r>
        <w:t>/dealers – Is TM licensing required then?</w:t>
      </w:r>
    </w:p>
    <w:p w:rsidR="00AC6BE5" w:rsidRDefault="00AC6BE5" w:rsidP="00AC6BE5">
      <w:pPr>
        <w:pStyle w:val="NoSpacing"/>
        <w:numPr>
          <w:ilvl w:val="1"/>
          <w:numId w:val="15"/>
        </w:numPr>
      </w:pPr>
      <w:r>
        <w:t>Example: Auto parts retailer is exclusive distributor of Toyota auto parts = More like conduit for sale of wares</w:t>
      </w:r>
    </w:p>
    <w:p w:rsidR="00AC6BE5" w:rsidRDefault="00AC6BE5" w:rsidP="00AC6BE5">
      <w:pPr>
        <w:pStyle w:val="NoSpacing"/>
        <w:numPr>
          <w:ilvl w:val="1"/>
          <w:numId w:val="15"/>
        </w:numPr>
      </w:pPr>
      <w:r>
        <w:t>Example: Toyota car dealership with Toyota signage and performing servicing of Toyota cars = More likely to be licensing</w:t>
      </w:r>
    </w:p>
    <w:p w:rsidR="00AC6BE5" w:rsidRDefault="00AC6BE5" w:rsidP="00AC6BE5">
      <w:pPr>
        <w:pStyle w:val="NoSpacing"/>
        <w:numPr>
          <w:ilvl w:val="1"/>
          <w:numId w:val="15"/>
        </w:numPr>
      </w:pPr>
      <w:r>
        <w:t xml:space="preserve">Example: If </w:t>
      </w:r>
      <w:proofErr w:type="spellStart"/>
      <w:r>
        <w:t>FutureShop</w:t>
      </w:r>
      <w:proofErr w:type="spellEnd"/>
      <w:r>
        <w:t xml:space="preserve"> offers deals on brand name electronics, it should depend on the degree of control the brand owner company retains</w:t>
      </w:r>
    </w:p>
    <w:p w:rsidR="00AC6BE5" w:rsidRDefault="00AC6BE5" w:rsidP="00AC6BE5">
      <w:pPr>
        <w:pStyle w:val="NoSpacing"/>
        <w:numPr>
          <w:ilvl w:val="2"/>
          <w:numId w:val="15"/>
        </w:numPr>
      </w:pPr>
      <w:r>
        <w:t>Even if you’re the exclusive distributor, you’re likely not a licensee (still conduit argument)</w:t>
      </w:r>
    </w:p>
    <w:p w:rsidR="00AC6BE5" w:rsidRDefault="00AC6BE5" w:rsidP="00AC6BE5">
      <w:pPr>
        <w:pStyle w:val="Heading2"/>
      </w:pPr>
      <w:bookmarkStart w:id="53" w:name="_Toc405051868"/>
      <w:r>
        <w:t>14.0 Assignment</w:t>
      </w:r>
      <w:bookmarkEnd w:id="53"/>
    </w:p>
    <w:p w:rsidR="00AC6BE5" w:rsidRDefault="00AC6BE5" w:rsidP="00AC6BE5">
      <w:pPr>
        <w:pStyle w:val="NoSpacing"/>
        <w:numPr>
          <w:ilvl w:val="0"/>
          <w:numId w:val="16"/>
        </w:numPr>
      </w:pPr>
      <w:r w:rsidRPr="005D10FF">
        <w:rPr>
          <w:b/>
        </w:rPr>
        <w:t>Trademarks assignment</w:t>
      </w:r>
      <w:r>
        <w:t xml:space="preserve"> = Transfer of ownership of the TM</w:t>
      </w:r>
    </w:p>
    <w:p w:rsidR="00AC6BE5" w:rsidRDefault="00AC6BE5" w:rsidP="00AC6BE5">
      <w:pPr>
        <w:pStyle w:val="NoSpacing"/>
        <w:numPr>
          <w:ilvl w:val="0"/>
          <w:numId w:val="16"/>
        </w:numPr>
      </w:pPr>
      <w:r>
        <w:t>Trademark ownership cannot be divided territorially within Canada; but licenses can be given territorially</w:t>
      </w:r>
    </w:p>
    <w:p w:rsidR="00AC6BE5" w:rsidRDefault="00AC6BE5" w:rsidP="00AC6BE5">
      <w:pPr>
        <w:pStyle w:val="Heading4"/>
      </w:pPr>
      <w:bookmarkStart w:id="54" w:name="_Toc405051869"/>
      <w:r>
        <w:t>Wilkinson Sword v Juda</w:t>
      </w:r>
      <w:bookmarkEnd w:id="5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 xml:space="preserve">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Pr>
                <w:rFonts w:ascii="Calibri" w:eastAsia="Times New Roman" w:hAnsi="Calibri" w:cs="Times New Roman"/>
                <w:lang w:eastAsia="en-CA"/>
              </w:rPr>
              <w:t>- Razor blade mark not distinctive because not clear to public which blades were made where</w:t>
            </w:r>
          </w:p>
        </w:tc>
      </w:tr>
      <w:tr w:rsidR="00AC6BE5" w:rsidRPr="00E72B7A" w:rsidTr="00F70A9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6BE5" w:rsidRPr="00E72B7A" w:rsidRDefault="00AC6BE5" w:rsidP="00F70A9F">
            <w:pPr>
              <w:pStyle w:val="NoSpacing"/>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C6BE5" w:rsidRPr="00E72B7A" w:rsidRDefault="00AC6BE5" w:rsidP="00F70A9F">
            <w:pPr>
              <w:pStyle w:val="NoSpacing"/>
              <w:rPr>
                <w:rFonts w:ascii="Calibri" w:eastAsia="Times New Roman" w:hAnsi="Calibri" w:cs="Times New Roman"/>
                <w:lang w:eastAsia="en-CA"/>
              </w:rPr>
            </w:pPr>
            <w:r w:rsidRPr="005D10FF">
              <w:rPr>
                <w:rFonts w:ascii="Calibri" w:eastAsia="Times New Roman" w:hAnsi="Calibri" w:cs="Times New Roman"/>
                <w:highlight w:val="yellow"/>
                <w:lang w:eastAsia="en-CA"/>
              </w:rPr>
              <w:t>Distinctiveness can be lost by assignment. The consumers must be informed of the change in ownership of the mark.</w:t>
            </w:r>
          </w:p>
        </w:tc>
      </w:tr>
    </w:tbl>
    <w:p w:rsidR="00F70A9F" w:rsidRDefault="00F70A9F" w:rsidP="00AC6BE5">
      <w:pPr>
        <w:pStyle w:val="NoSpacing"/>
      </w:pPr>
    </w:p>
    <w:sectPr w:rsidR="00F70A9F" w:rsidSect="00AC6BE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FF2"/>
    <w:multiLevelType w:val="hybridMultilevel"/>
    <w:tmpl w:val="D7E64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450866"/>
    <w:multiLevelType w:val="hybridMultilevel"/>
    <w:tmpl w:val="C114B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356F3F"/>
    <w:multiLevelType w:val="hybridMultilevel"/>
    <w:tmpl w:val="22160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34A4C28"/>
    <w:multiLevelType w:val="hybridMultilevel"/>
    <w:tmpl w:val="3280C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AD1DD8"/>
    <w:multiLevelType w:val="hybridMultilevel"/>
    <w:tmpl w:val="1B9ED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6367798"/>
    <w:multiLevelType w:val="hybridMultilevel"/>
    <w:tmpl w:val="A768D0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325023"/>
    <w:multiLevelType w:val="hybridMultilevel"/>
    <w:tmpl w:val="4C884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A4C27C6"/>
    <w:multiLevelType w:val="hybridMultilevel"/>
    <w:tmpl w:val="48540C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D163B0B"/>
    <w:multiLevelType w:val="hybridMultilevel"/>
    <w:tmpl w:val="A8766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410E1F"/>
    <w:multiLevelType w:val="hybridMultilevel"/>
    <w:tmpl w:val="EA6A69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5558A4"/>
    <w:multiLevelType w:val="hybridMultilevel"/>
    <w:tmpl w:val="843A3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AA27D8C"/>
    <w:multiLevelType w:val="hybridMultilevel"/>
    <w:tmpl w:val="CF4E8E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AB54FE2"/>
    <w:multiLevelType w:val="hybridMultilevel"/>
    <w:tmpl w:val="AD0655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AFD0795"/>
    <w:multiLevelType w:val="hybridMultilevel"/>
    <w:tmpl w:val="69183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C2C67B7"/>
    <w:multiLevelType w:val="hybridMultilevel"/>
    <w:tmpl w:val="ADECCF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BE5F69"/>
    <w:multiLevelType w:val="multilevel"/>
    <w:tmpl w:val="0BF63F3A"/>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2643052E"/>
    <w:multiLevelType w:val="hybridMultilevel"/>
    <w:tmpl w:val="B5DA09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29113B0"/>
    <w:multiLevelType w:val="hybridMultilevel"/>
    <w:tmpl w:val="01A80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AC447D"/>
    <w:multiLevelType w:val="hybridMultilevel"/>
    <w:tmpl w:val="7C9CE0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BF6A79"/>
    <w:multiLevelType w:val="hybridMultilevel"/>
    <w:tmpl w:val="C1C88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4B3438"/>
    <w:multiLevelType w:val="hybridMultilevel"/>
    <w:tmpl w:val="F45645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907608"/>
    <w:multiLevelType w:val="hybridMultilevel"/>
    <w:tmpl w:val="AA3E86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D4B335D"/>
    <w:multiLevelType w:val="hybridMultilevel"/>
    <w:tmpl w:val="5CEE9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3E56150"/>
    <w:multiLevelType w:val="hybridMultilevel"/>
    <w:tmpl w:val="0CA204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5701535"/>
    <w:multiLevelType w:val="hybridMultilevel"/>
    <w:tmpl w:val="805EFF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6A27A50"/>
    <w:multiLevelType w:val="hybridMultilevel"/>
    <w:tmpl w:val="436CE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874569A"/>
    <w:multiLevelType w:val="hybridMultilevel"/>
    <w:tmpl w:val="363C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EAE21D8"/>
    <w:multiLevelType w:val="hybridMultilevel"/>
    <w:tmpl w:val="372607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F35F02"/>
    <w:multiLevelType w:val="hybridMultilevel"/>
    <w:tmpl w:val="2E249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420ACF"/>
    <w:multiLevelType w:val="hybridMultilevel"/>
    <w:tmpl w:val="8EDE4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59C1BB4"/>
    <w:multiLevelType w:val="hybridMultilevel"/>
    <w:tmpl w:val="53009C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8EF1009"/>
    <w:multiLevelType w:val="hybridMultilevel"/>
    <w:tmpl w:val="A96ACA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989140B"/>
    <w:multiLevelType w:val="hybridMultilevel"/>
    <w:tmpl w:val="EC506D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C420A15"/>
    <w:multiLevelType w:val="hybridMultilevel"/>
    <w:tmpl w:val="E38280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3861E6"/>
    <w:multiLevelType w:val="hybridMultilevel"/>
    <w:tmpl w:val="72129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4A5DA2"/>
    <w:multiLevelType w:val="hybridMultilevel"/>
    <w:tmpl w:val="015A2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391702F"/>
    <w:multiLevelType w:val="hybridMultilevel"/>
    <w:tmpl w:val="FE824F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6B9233F"/>
    <w:multiLevelType w:val="hybridMultilevel"/>
    <w:tmpl w:val="D48C9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7487091"/>
    <w:multiLevelType w:val="hybridMultilevel"/>
    <w:tmpl w:val="98766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F61558"/>
    <w:multiLevelType w:val="hybridMultilevel"/>
    <w:tmpl w:val="943E7F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06C2554"/>
    <w:multiLevelType w:val="hybridMultilevel"/>
    <w:tmpl w:val="A4D88F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051E4C"/>
    <w:multiLevelType w:val="hybridMultilevel"/>
    <w:tmpl w:val="FD1A8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2963F96"/>
    <w:multiLevelType w:val="hybridMultilevel"/>
    <w:tmpl w:val="2E5845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72348F5"/>
    <w:multiLevelType w:val="hybridMultilevel"/>
    <w:tmpl w:val="36D6F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79E3832"/>
    <w:multiLevelType w:val="hybridMultilevel"/>
    <w:tmpl w:val="04F8F8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EC52377"/>
    <w:multiLevelType w:val="hybridMultilevel"/>
    <w:tmpl w:val="903E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41"/>
  </w:num>
  <w:num w:numId="5">
    <w:abstractNumId w:val="43"/>
  </w:num>
  <w:num w:numId="6">
    <w:abstractNumId w:val="42"/>
  </w:num>
  <w:num w:numId="7">
    <w:abstractNumId w:val="5"/>
  </w:num>
  <w:num w:numId="8">
    <w:abstractNumId w:val="9"/>
  </w:num>
  <w:num w:numId="9">
    <w:abstractNumId w:val="33"/>
  </w:num>
  <w:num w:numId="10">
    <w:abstractNumId w:val="3"/>
  </w:num>
  <w:num w:numId="11">
    <w:abstractNumId w:val="27"/>
  </w:num>
  <w:num w:numId="12">
    <w:abstractNumId w:val="23"/>
  </w:num>
  <w:num w:numId="13">
    <w:abstractNumId w:val="32"/>
  </w:num>
  <w:num w:numId="14">
    <w:abstractNumId w:val="10"/>
  </w:num>
  <w:num w:numId="15">
    <w:abstractNumId w:val="7"/>
  </w:num>
  <w:num w:numId="16">
    <w:abstractNumId w:val="26"/>
  </w:num>
  <w:num w:numId="17">
    <w:abstractNumId w:val="8"/>
  </w:num>
  <w:num w:numId="18">
    <w:abstractNumId w:val="40"/>
  </w:num>
  <w:num w:numId="19">
    <w:abstractNumId w:val="36"/>
  </w:num>
  <w:num w:numId="20">
    <w:abstractNumId w:val="6"/>
  </w:num>
  <w:num w:numId="21">
    <w:abstractNumId w:val="28"/>
  </w:num>
  <w:num w:numId="22">
    <w:abstractNumId w:val="20"/>
  </w:num>
  <w:num w:numId="23">
    <w:abstractNumId w:val="25"/>
  </w:num>
  <w:num w:numId="24">
    <w:abstractNumId w:val="29"/>
  </w:num>
  <w:num w:numId="25">
    <w:abstractNumId w:val="38"/>
  </w:num>
  <w:num w:numId="26">
    <w:abstractNumId w:val="0"/>
  </w:num>
  <w:num w:numId="27">
    <w:abstractNumId w:val="13"/>
  </w:num>
  <w:num w:numId="28">
    <w:abstractNumId w:val="22"/>
  </w:num>
  <w:num w:numId="29">
    <w:abstractNumId w:val="14"/>
  </w:num>
  <w:num w:numId="30">
    <w:abstractNumId w:val="37"/>
  </w:num>
  <w:num w:numId="31">
    <w:abstractNumId w:val="18"/>
  </w:num>
  <w:num w:numId="32">
    <w:abstractNumId w:val="4"/>
  </w:num>
  <w:num w:numId="33">
    <w:abstractNumId w:val="15"/>
  </w:num>
  <w:num w:numId="34">
    <w:abstractNumId w:val="35"/>
  </w:num>
  <w:num w:numId="35">
    <w:abstractNumId w:val="34"/>
  </w:num>
  <w:num w:numId="36">
    <w:abstractNumId w:val="12"/>
  </w:num>
  <w:num w:numId="37">
    <w:abstractNumId w:val="21"/>
  </w:num>
  <w:num w:numId="38">
    <w:abstractNumId w:val="16"/>
  </w:num>
  <w:num w:numId="39">
    <w:abstractNumId w:val="39"/>
  </w:num>
  <w:num w:numId="40">
    <w:abstractNumId w:val="31"/>
  </w:num>
  <w:num w:numId="41">
    <w:abstractNumId w:val="44"/>
  </w:num>
  <w:num w:numId="42">
    <w:abstractNumId w:val="11"/>
  </w:num>
  <w:num w:numId="43">
    <w:abstractNumId w:val="2"/>
  </w:num>
  <w:num w:numId="44">
    <w:abstractNumId w:val="1"/>
  </w:num>
  <w:num w:numId="45">
    <w:abstractNumId w:val="19"/>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E5"/>
    <w:rsid w:val="000A50DD"/>
    <w:rsid w:val="001165C5"/>
    <w:rsid w:val="00135324"/>
    <w:rsid w:val="00144E09"/>
    <w:rsid w:val="001702AB"/>
    <w:rsid w:val="0020715B"/>
    <w:rsid w:val="00216C98"/>
    <w:rsid w:val="00252DDA"/>
    <w:rsid w:val="00254B25"/>
    <w:rsid w:val="002658E4"/>
    <w:rsid w:val="00273B80"/>
    <w:rsid w:val="00285D38"/>
    <w:rsid w:val="002F5F2B"/>
    <w:rsid w:val="00311AE6"/>
    <w:rsid w:val="00315661"/>
    <w:rsid w:val="00355A25"/>
    <w:rsid w:val="003C2B65"/>
    <w:rsid w:val="004E40A0"/>
    <w:rsid w:val="006C0AA4"/>
    <w:rsid w:val="006C66E6"/>
    <w:rsid w:val="00777439"/>
    <w:rsid w:val="00800F6E"/>
    <w:rsid w:val="00805220"/>
    <w:rsid w:val="00834711"/>
    <w:rsid w:val="008A7D12"/>
    <w:rsid w:val="008D16E1"/>
    <w:rsid w:val="009659C3"/>
    <w:rsid w:val="009A1F03"/>
    <w:rsid w:val="009E6C67"/>
    <w:rsid w:val="00AC58DF"/>
    <w:rsid w:val="00AC6BE5"/>
    <w:rsid w:val="00AD6A4E"/>
    <w:rsid w:val="00B463D7"/>
    <w:rsid w:val="00BC759B"/>
    <w:rsid w:val="00C51ED4"/>
    <w:rsid w:val="00E274A4"/>
    <w:rsid w:val="00E44F64"/>
    <w:rsid w:val="00EB47AA"/>
    <w:rsid w:val="00EC4683"/>
    <w:rsid w:val="00EE7957"/>
    <w:rsid w:val="00F11380"/>
    <w:rsid w:val="00F326C3"/>
    <w:rsid w:val="00F440C3"/>
    <w:rsid w:val="00F61F22"/>
    <w:rsid w:val="00F70A9F"/>
    <w:rsid w:val="00FD36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7FAD9-3428-4714-877E-0A8B542E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BE5"/>
    <w:pPr>
      <w:spacing w:after="200" w:line="276" w:lineRule="auto"/>
    </w:pPr>
    <w:rPr>
      <w:noProof/>
    </w:rPr>
  </w:style>
  <w:style w:type="paragraph" w:styleId="Heading1">
    <w:name w:val="heading 1"/>
    <w:basedOn w:val="Normal"/>
    <w:next w:val="Normal"/>
    <w:link w:val="Heading1Char"/>
    <w:uiPriority w:val="9"/>
    <w:qFormat/>
    <w:rsid w:val="00F326C3"/>
    <w:pPr>
      <w:keepNext/>
      <w:keepLines/>
      <w:spacing w:before="240" w:after="0" w:line="259" w:lineRule="auto"/>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F326C3"/>
    <w:pPr>
      <w:keepNext/>
      <w:keepLines/>
      <w:spacing w:before="40" w:after="0" w:line="259" w:lineRule="auto"/>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EC4683"/>
    <w:pPr>
      <w:keepNext/>
      <w:keepLines/>
      <w:spacing w:before="40" w:after="0" w:line="259" w:lineRule="auto"/>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EC4683"/>
    <w:pPr>
      <w:keepNext/>
      <w:keepLines/>
      <w:spacing w:before="40" w:after="0" w:line="259"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C3"/>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F326C3"/>
    <w:rPr>
      <w:rFonts w:asciiTheme="majorHAnsi" w:eastAsiaTheme="majorEastAsia" w:hAnsiTheme="majorHAnsi" w:cstheme="majorBidi"/>
      <w:i/>
      <w:color w:val="2E74B5" w:themeColor="accent1" w:themeShade="BF"/>
      <w:szCs w:val="26"/>
    </w:rPr>
  </w:style>
  <w:style w:type="paragraph" w:styleId="NoSpacing">
    <w:name w:val="No Spacing"/>
    <w:uiPriority w:val="1"/>
    <w:qFormat/>
    <w:rsid w:val="00B463D7"/>
    <w:pPr>
      <w:spacing w:after="0" w:line="240" w:lineRule="auto"/>
    </w:pPr>
  </w:style>
  <w:style w:type="character" w:customStyle="1" w:styleId="Heading3Char">
    <w:name w:val="Heading 3 Char"/>
    <w:basedOn w:val="DefaultParagraphFont"/>
    <w:link w:val="Heading3"/>
    <w:uiPriority w:val="9"/>
    <w:rsid w:val="00EC4683"/>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EC4683"/>
    <w:rPr>
      <w:rFonts w:asciiTheme="majorHAnsi" w:eastAsiaTheme="majorEastAsia" w:hAnsiTheme="majorHAnsi" w:cstheme="majorBidi"/>
      <w:i/>
      <w:iCs/>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character" w:customStyle="1" w:styleId="5yl5">
    <w:name w:val="_5yl5"/>
    <w:basedOn w:val="DefaultParagraphFont"/>
    <w:rsid w:val="00AC6BE5"/>
  </w:style>
  <w:style w:type="paragraph" w:styleId="ListParagraph">
    <w:name w:val="List Paragraph"/>
    <w:basedOn w:val="Normal"/>
    <w:uiPriority w:val="34"/>
    <w:qFormat/>
    <w:rsid w:val="00AC6BE5"/>
    <w:pPr>
      <w:ind w:left="720"/>
      <w:contextualSpacing/>
    </w:pPr>
  </w:style>
  <w:style w:type="character" w:styleId="SubtleEmphasis">
    <w:name w:val="Subtle Emphasis"/>
    <w:basedOn w:val="DefaultParagraphFont"/>
    <w:uiPriority w:val="19"/>
    <w:qFormat/>
    <w:rsid w:val="00AC6BE5"/>
    <w:rPr>
      <w:i/>
      <w:iCs/>
      <w:color w:val="404040" w:themeColor="text1" w:themeTint="BF"/>
    </w:rPr>
  </w:style>
  <w:style w:type="paragraph" w:styleId="TOCHeading">
    <w:name w:val="TOC Heading"/>
    <w:basedOn w:val="Heading1"/>
    <w:next w:val="Normal"/>
    <w:uiPriority w:val="39"/>
    <w:unhideWhenUsed/>
    <w:qFormat/>
    <w:rsid w:val="00AC6BE5"/>
    <w:pPr>
      <w:outlineLvl w:val="9"/>
    </w:pPr>
    <w:rPr>
      <w:b w:val="0"/>
      <w:sz w:val="32"/>
      <w:lang w:val="en-US"/>
    </w:rPr>
  </w:style>
  <w:style w:type="paragraph" w:styleId="TOC1">
    <w:name w:val="toc 1"/>
    <w:basedOn w:val="Normal"/>
    <w:next w:val="Normal"/>
    <w:autoRedefine/>
    <w:uiPriority w:val="39"/>
    <w:unhideWhenUsed/>
    <w:rsid w:val="00AC6BE5"/>
    <w:pPr>
      <w:spacing w:before="120" w:after="120"/>
    </w:pPr>
    <w:rPr>
      <w:b/>
      <w:bCs/>
      <w:caps/>
      <w:sz w:val="20"/>
      <w:szCs w:val="20"/>
    </w:rPr>
  </w:style>
  <w:style w:type="paragraph" w:styleId="TOC2">
    <w:name w:val="toc 2"/>
    <w:basedOn w:val="Normal"/>
    <w:next w:val="Normal"/>
    <w:autoRedefine/>
    <w:uiPriority w:val="39"/>
    <w:unhideWhenUsed/>
    <w:rsid w:val="00AC6BE5"/>
    <w:pPr>
      <w:spacing w:after="0"/>
      <w:ind w:left="220"/>
    </w:pPr>
    <w:rPr>
      <w:smallCaps/>
      <w:sz w:val="20"/>
      <w:szCs w:val="20"/>
    </w:rPr>
  </w:style>
  <w:style w:type="paragraph" w:styleId="TOC3">
    <w:name w:val="toc 3"/>
    <w:basedOn w:val="Normal"/>
    <w:next w:val="Normal"/>
    <w:autoRedefine/>
    <w:uiPriority w:val="39"/>
    <w:unhideWhenUsed/>
    <w:rsid w:val="00AC6BE5"/>
    <w:pPr>
      <w:spacing w:after="0"/>
      <w:ind w:left="440"/>
    </w:pPr>
    <w:rPr>
      <w:i/>
      <w:iCs/>
      <w:sz w:val="20"/>
      <w:szCs w:val="20"/>
    </w:rPr>
  </w:style>
  <w:style w:type="character" w:styleId="Hyperlink">
    <w:name w:val="Hyperlink"/>
    <w:basedOn w:val="DefaultParagraphFont"/>
    <w:uiPriority w:val="99"/>
    <w:unhideWhenUsed/>
    <w:rsid w:val="00AC6BE5"/>
    <w:rPr>
      <w:color w:val="0563C1" w:themeColor="hyperlink"/>
      <w:u w:val="single"/>
    </w:rPr>
  </w:style>
  <w:style w:type="paragraph" w:styleId="TOC4">
    <w:name w:val="toc 4"/>
    <w:basedOn w:val="Normal"/>
    <w:next w:val="Normal"/>
    <w:autoRedefine/>
    <w:uiPriority w:val="39"/>
    <w:unhideWhenUsed/>
    <w:rsid w:val="00AC6BE5"/>
    <w:pPr>
      <w:spacing w:after="0"/>
      <w:ind w:left="660"/>
    </w:pPr>
    <w:rPr>
      <w:sz w:val="18"/>
      <w:szCs w:val="18"/>
    </w:rPr>
  </w:style>
  <w:style w:type="paragraph" w:styleId="TOC5">
    <w:name w:val="toc 5"/>
    <w:basedOn w:val="Normal"/>
    <w:next w:val="Normal"/>
    <w:autoRedefine/>
    <w:uiPriority w:val="39"/>
    <w:unhideWhenUsed/>
    <w:rsid w:val="00AC6BE5"/>
    <w:pPr>
      <w:spacing w:after="0"/>
      <w:ind w:left="880"/>
    </w:pPr>
    <w:rPr>
      <w:sz w:val="18"/>
      <w:szCs w:val="18"/>
    </w:rPr>
  </w:style>
  <w:style w:type="paragraph" w:styleId="TOC6">
    <w:name w:val="toc 6"/>
    <w:basedOn w:val="Normal"/>
    <w:next w:val="Normal"/>
    <w:autoRedefine/>
    <w:uiPriority w:val="39"/>
    <w:unhideWhenUsed/>
    <w:rsid w:val="00AC6BE5"/>
    <w:pPr>
      <w:spacing w:after="0"/>
      <w:ind w:left="1100"/>
    </w:pPr>
    <w:rPr>
      <w:sz w:val="18"/>
      <w:szCs w:val="18"/>
    </w:rPr>
  </w:style>
  <w:style w:type="paragraph" w:styleId="TOC7">
    <w:name w:val="toc 7"/>
    <w:basedOn w:val="Normal"/>
    <w:next w:val="Normal"/>
    <w:autoRedefine/>
    <w:uiPriority w:val="39"/>
    <w:unhideWhenUsed/>
    <w:rsid w:val="00AC6BE5"/>
    <w:pPr>
      <w:spacing w:after="0"/>
      <w:ind w:left="1320"/>
    </w:pPr>
    <w:rPr>
      <w:sz w:val="18"/>
      <w:szCs w:val="18"/>
    </w:rPr>
  </w:style>
  <w:style w:type="paragraph" w:styleId="TOC8">
    <w:name w:val="toc 8"/>
    <w:basedOn w:val="Normal"/>
    <w:next w:val="Normal"/>
    <w:autoRedefine/>
    <w:uiPriority w:val="39"/>
    <w:unhideWhenUsed/>
    <w:rsid w:val="00AC6BE5"/>
    <w:pPr>
      <w:spacing w:after="0"/>
      <w:ind w:left="1540"/>
    </w:pPr>
    <w:rPr>
      <w:sz w:val="18"/>
      <w:szCs w:val="18"/>
    </w:rPr>
  </w:style>
  <w:style w:type="paragraph" w:styleId="TOC9">
    <w:name w:val="toc 9"/>
    <w:basedOn w:val="Normal"/>
    <w:next w:val="Normal"/>
    <w:autoRedefine/>
    <w:uiPriority w:val="39"/>
    <w:unhideWhenUsed/>
    <w:rsid w:val="00AC6BE5"/>
    <w:pPr>
      <w:spacing w:after="0"/>
      <w:ind w:left="1760"/>
    </w:pPr>
    <w:rPr>
      <w:sz w:val="18"/>
      <w:szCs w:val="18"/>
    </w:rPr>
  </w:style>
  <w:style w:type="table" w:styleId="TableGrid">
    <w:name w:val="Table Grid"/>
    <w:basedOn w:val="TableNormal"/>
    <w:uiPriority w:val="39"/>
    <w:rsid w:val="00AC6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4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09"/>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DF1A-192D-473B-A3F8-E6124D9A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13</Pages>
  <Words>6295</Words>
  <Characters>35888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21</cp:revision>
  <cp:lastPrinted>2014-12-01T15:46:00Z</cp:lastPrinted>
  <dcterms:created xsi:type="dcterms:W3CDTF">2014-11-17T06:41:00Z</dcterms:created>
  <dcterms:modified xsi:type="dcterms:W3CDTF">2014-12-01T16:03:00Z</dcterms:modified>
</cp:coreProperties>
</file>