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Light" w:eastAsiaTheme="minorHAnsi" w:hAnsi="Calibri Light" w:cstheme="minorBidi"/>
          <w:b w:val="0"/>
          <w:bCs w:val="0"/>
          <w:color w:val="auto"/>
          <w:sz w:val="24"/>
          <w:szCs w:val="18"/>
          <w:lang w:val="en-CA"/>
        </w:rPr>
        <w:id w:val="1807820129"/>
        <w:docPartObj>
          <w:docPartGallery w:val="Table of Contents"/>
          <w:docPartUnique/>
        </w:docPartObj>
      </w:sdtPr>
      <w:sdtEndPr>
        <w:rPr>
          <w:noProof/>
          <w:sz w:val="20"/>
        </w:rPr>
      </w:sdtEndPr>
      <w:sdtContent>
        <w:p w14:paraId="0632B6EF" w14:textId="6DA84DF6" w:rsidR="00CF5DC4" w:rsidRPr="009A71EE" w:rsidRDefault="00C37476" w:rsidP="009D22B2">
          <w:pPr>
            <w:pStyle w:val="TOCHeading"/>
            <w:spacing w:line="240" w:lineRule="auto"/>
            <w:jc w:val="right"/>
            <w:rPr>
              <w:b w:val="0"/>
              <w:color w:val="auto"/>
              <w:sz w:val="24"/>
            </w:rPr>
          </w:pPr>
          <w:r>
            <w:rPr>
              <w:color w:val="auto"/>
              <w:sz w:val="24"/>
            </w:rPr>
            <w:t>Trade-marks</w:t>
          </w:r>
          <w:r w:rsidR="009A71EE" w:rsidRPr="009A71EE">
            <w:rPr>
              <w:color w:val="auto"/>
              <w:sz w:val="24"/>
            </w:rPr>
            <w:t xml:space="preserve"> CAN </w:t>
          </w:r>
          <w:r w:rsidR="009A71EE" w:rsidRPr="009A71EE">
            <w:rPr>
              <w:b w:val="0"/>
              <w:color w:val="auto"/>
              <w:sz w:val="24"/>
            </w:rPr>
            <w:t>(Reynolds’ IP) – Sarah Hannigan</w:t>
          </w:r>
        </w:p>
        <w:p w14:paraId="44F86596" w14:textId="77777777" w:rsidR="0026173C" w:rsidRDefault="005B17A1">
          <w:pPr>
            <w:pStyle w:val="TOC1"/>
            <w:tabs>
              <w:tab w:val="right" w:leader="dot" w:pos="10480"/>
            </w:tabs>
            <w:rPr>
              <w:rFonts w:eastAsiaTheme="minorEastAsia"/>
              <w:b w:val="0"/>
              <w:bCs w:val="0"/>
              <w:noProof/>
              <w:lang w:val="en-US"/>
            </w:rPr>
          </w:pPr>
          <w:r>
            <w:fldChar w:fldCharType="begin"/>
          </w:r>
          <w:r>
            <w:instrText xml:space="preserve"> TOC \o "1-3" </w:instrText>
          </w:r>
          <w:r>
            <w:fldChar w:fldCharType="separate"/>
          </w:r>
          <w:r w:rsidR="0026173C">
            <w:rPr>
              <w:noProof/>
            </w:rPr>
            <w:t>PASSING-OFF</w:t>
          </w:r>
          <w:r w:rsidR="0026173C">
            <w:rPr>
              <w:noProof/>
            </w:rPr>
            <w:tab/>
          </w:r>
          <w:r w:rsidR="0026173C">
            <w:rPr>
              <w:noProof/>
            </w:rPr>
            <w:fldChar w:fldCharType="begin"/>
          </w:r>
          <w:r w:rsidR="0026173C">
            <w:rPr>
              <w:noProof/>
            </w:rPr>
            <w:instrText xml:space="preserve"> PAGEREF _Toc480804595 \h </w:instrText>
          </w:r>
          <w:r w:rsidR="0026173C">
            <w:rPr>
              <w:noProof/>
            </w:rPr>
          </w:r>
          <w:r w:rsidR="0026173C">
            <w:rPr>
              <w:noProof/>
            </w:rPr>
            <w:fldChar w:fldCharType="separate"/>
          </w:r>
          <w:r w:rsidR="0026173C">
            <w:rPr>
              <w:noProof/>
            </w:rPr>
            <w:t>1</w:t>
          </w:r>
          <w:r w:rsidR="0026173C">
            <w:rPr>
              <w:noProof/>
            </w:rPr>
            <w:fldChar w:fldCharType="end"/>
          </w:r>
        </w:p>
        <w:p w14:paraId="085E143F" w14:textId="77777777" w:rsidR="0026173C" w:rsidRDefault="0026173C">
          <w:pPr>
            <w:pStyle w:val="TOC2"/>
            <w:tabs>
              <w:tab w:val="right" w:leader="dot" w:pos="10480"/>
            </w:tabs>
            <w:rPr>
              <w:rFonts w:eastAsiaTheme="minorEastAsia"/>
              <w:bCs w:val="0"/>
              <w:noProof/>
              <w:sz w:val="24"/>
              <w:szCs w:val="24"/>
              <w:lang w:val="en-US"/>
            </w:rPr>
          </w:pPr>
          <w:r>
            <w:rPr>
              <w:noProof/>
            </w:rPr>
            <w:t>#1: The EXISTENCE of GOODWILL</w:t>
          </w:r>
          <w:r>
            <w:rPr>
              <w:noProof/>
            </w:rPr>
            <w:tab/>
          </w:r>
          <w:r>
            <w:rPr>
              <w:noProof/>
            </w:rPr>
            <w:fldChar w:fldCharType="begin"/>
          </w:r>
          <w:r>
            <w:rPr>
              <w:noProof/>
            </w:rPr>
            <w:instrText xml:space="preserve"> PAGEREF _Toc480804596 \h </w:instrText>
          </w:r>
          <w:r>
            <w:rPr>
              <w:noProof/>
            </w:rPr>
          </w:r>
          <w:r>
            <w:rPr>
              <w:noProof/>
            </w:rPr>
            <w:fldChar w:fldCharType="separate"/>
          </w:r>
          <w:r>
            <w:rPr>
              <w:noProof/>
            </w:rPr>
            <w:t>1</w:t>
          </w:r>
          <w:r>
            <w:rPr>
              <w:noProof/>
            </w:rPr>
            <w:fldChar w:fldCharType="end"/>
          </w:r>
        </w:p>
        <w:p w14:paraId="1C3B65D1" w14:textId="77777777" w:rsidR="0026173C" w:rsidRDefault="0026173C">
          <w:pPr>
            <w:pStyle w:val="TOC2"/>
            <w:tabs>
              <w:tab w:val="right" w:leader="dot" w:pos="10480"/>
            </w:tabs>
            <w:rPr>
              <w:rFonts w:eastAsiaTheme="minorEastAsia"/>
              <w:bCs w:val="0"/>
              <w:noProof/>
              <w:sz w:val="24"/>
              <w:szCs w:val="24"/>
              <w:lang w:val="en-US"/>
            </w:rPr>
          </w:pPr>
          <w:r>
            <w:rPr>
              <w:noProof/>
            </w:rPr>
            <w:t>#2: DECEPTION of the PUBLIC due to a MISREPRESENTATION</w:t>
          </w:r>
          <w:r>
            <w:rPr>
              <w:noProof/>
            </w:rPr>
            <w:tab/>
          </w:r>
          <w:r>
            <w:rPr>
              <w:noProof/>
            </w:rPr>
            <w:fldChar w:fldCharType="begin"/>
          </w:r>
          <w:r>
            <w:rPr>
              <w:noProof/>
            </w:rPr>
            <w:instrText xml:space="preserve"> PAGEREF _Toc480804597 \h </w:instrText>
          </w:r>
          <w:r>
            <w:rPr>
              <w:noProof/>
            </w:rPr>
          </w:r>
          <w:r>
            <w:rPr>
              <w:noProof/>
            </w:rPr>
            <w:fldChar w:fldCharType="separate"/>
          </w:r>
          <w:r>
            <w:rPr>
              <w:noProof/>
            </w:rPr>
            <w:t>3</w:t>
          </w:r>
          <w:r>
            <w:rPr>
              <w:noProof/>
            </w:rPr>
            <w:fldChar w:fldCharType="end"/>
          </w:r>
        </w:p>
        <w:p w14:paraId="2DBDCDDB" w14:textId="77777777" w:rsidR="0026173C" w:rsidRDefault="0026173C">
          <w:pPr>
            <w:pStyle w:val="TOC2"/>
            <w:tabs>
              <w:tab w:val="right" w:leader="dot" w:pos="10480"/>
            </w:tabs>
            <w:rPr>
              <w:rFonts w:eastAsiaTheme="minorEastAsia"/>
              <w:bCs w:val="0"/>
              <w:noProof/>
              <w:sz w:val="24"/>
              <w:szCs w:val="24"/>
              <w:lang w:val="en-US"/>
            </w:rPr>
          </w:pPr>
          <w:r>
            <w:rPr>
              <w:noProof/>
            </w:rPr>
            <w:t>#3: ACTUAL/POTENTIAL DAMAGE to the PLAINTIFF</w:t>
          </w:r>
          <w:r>
            <w:rPr>
              <w:noProof/>
            </w:rPr>
            <w:tab/>
          </w:r>
          <w:r>
            <w:rPr>
              <w:noProof/>
            </w:rPr>
            <w:fldChar w:fldCharType="begin"/>
          </w:r>
          <w:r>
            <w:rPr>
              <w:noProof/>
            </w:rPr>
            <w:instrText xml:space="preserve"> PAGEREF _Toc480804598 \h </w:instrText>
          </w:r>
          <w:r>
            <w:rPr>
              <w:noProof/>
            </w:rPr>
          </w:r>
          <w:r>
            <w:rPr>
              <w:noProof/>
            </w:rPr>
            <w:fldChar w:fldCharType="separate"/>
          </w:r>
          <w:r>
            <w:rPr>
              <w:noProof/>
            </w:rPr>
            <w:t>3</w:t>
          </w:r>
          <w:r>
            <w:rPr>
              <w:noProof/>
            </w:rPr>
            <w:fldChar w:fldCharType="end"/>
          </w:r>
        </w:p>
        <w:p w14:paraId="658F169C" w14:textId="77777777" w:rsidR="0026173C" w:rsidRDefault="0026173C">
          <w:pPr>
            <w:pStyle w:val="TOC2"/>
            <w:tabs>
              <w:tab w:val="right" w:leader="dot" w:pos="10480"/>
            </w:tabs>
            <w:rPr>
              <w:rFonts w:eastAsiaTheme="minorEastAsia"/>
              <w:bCs w:val="0"/>
              <w:noProof/>
              <w:sz w:val="24"/>
              <w:szCs w:val="24"/>
              <w:lang w:val="en-US"/>
            </w:rPr>
          </w:pPr>
          <w:r>
            <w:rPr>
              <w:noProof/>
            </w:rPr>
            <w:t>DEFENCES</w:t>
          </w:r>
          <w:r>
            <w:rPr>
              <w:noProof/>
            </w:rPr>
            <w:tab/>
          </w:r>
          <w:r>
            <w:rPr>
              <w:noProof/>
            </w:rPr>
            <w:fldChar w:fldCharType="begin"/>
          </w:r>
          <w:r>
            <w:rPr>
              <w:noProof/>
            </w:rPr>
            <w:instrText xml:space="preserve"> PAGEREF _Toc480804599 \h </w:instrText>
          </w:r>
          <w:r>
            <w:rPr>
              <w:noProof/>
            </w:rPr>
          </w:r>
          <w:r>
            <w:rPr>
              <w:noProof/>
            </w:rPr>
            <w:fldChar w:fldCharType="separate"/>
          </w:r>
          <w:r>
            <w:rPr>
              <w:noProof/>
            </w:rPr>
            <w:t>4</w:t>
          </w:r>
          <w:r>
            <w:rPr>
              <w:noProof/>
            </w:rPr>
            <w:fldChar w:fldCharType="end"/>
          </w:r>
        </w:p>
        <w:p w14:paraId="3D634686" w14:textId="77777777" w:rsidR="0026173C" w:rsidRDefault="0026173C">
          <w:pPr>
            <w:pStyle w:val="TOC2"/>
            <w:tabs>
              <w:tab w:val="right" w:leader="dot" w:pos="10480"/>
            </w:tabs>
            <w:rPr>
              <w:rFonts w:eastAsiaTheme="minorEastAsia"/>
              <w:bCs w:val="0"/>
              <w:noProof/>
              <w:sz w:val="24"/>
              <w:szCs w:val="24"/>
              <w:lang w:val="en-US"/>
            </w:rPr>
          </w:pPr>
          <w:r>
            <w:rPr>
              <w:noProof/>
            </w:rPr>
            <w:t>REMEDIES</w:t>
          </w:r>
          <w:r>
            <w:rPr>
              <w:noProof/>
            </w:rPr>
            <w:tab/>
          </w:r>
          <w:r>
            <w:rPr>
              <w:noProof/>
            </w:rPr>
            <w:fldChar w:fldCharType="begin"/>
          </w:r>
          <w:r>
            <w:rPr>
              <w:noProof/>
            </w:rPr>
            <w:instrText xml:space="preserve"> PAGEREF _Toc480804600 \h </w:instrText>
          </w:r>
          <w:r>
            <w:rPr>
              <w:noProof/>
            </w:rPr>
          </w:r>
          <w:r>
            <w:rPr>
              <w:noProof/>
            </w:rPr>
            <w:fldChar w:fldCharType="separate"/>
          </w:r>
          <w:r>
            <w:rPr>
              <w:noProof/>
            </w:rPr>
            <w:t>4</w:t>
          </w:r>
          <w:r>
            <w:rPr>
              <w:noProof/>
            </w:rPr>
            <w:fldChar w:fldCharType="end"/>
          </w:r>
        </w:p>
        <w:p w14:paraId="24955314" w14:textId="77777777" w:rsidR="0026173C" w:rsidRDefault="0026173C">
          <w:pPr>
            <w:pStyle w:val="TOC1"/>
            <w:tabs>
              <w:tab w:val="right" w:leader="dot" w:pos="10480"/>
            </w:tabs>
            <w:rPr>
              <w:rFonts w:eastAsiaTheme="minorEastAsia"/>
              <w:b w:val="0"/>
              <w:bCs w:val="0"/>
              <w:noProof/>
              <w:lang w:val="en-US"/>
            </w:rPr>
          </w:pPr>
          <w:r>
            <w:rPr>
              <w:noProof/>
            </w:rPr>
            <w:t>REGISTERED TRADE-MARKS</w:t>
          </w:r>
          <w:r>
            <w:rPr>
              <w:noProof/>
            </w:rPr>
            <w:tab/>
          </w:r>
          <w:r>
            <w:rPr>
              <w:noProof/>
            </w:rPr>
            <w:fldChar w:fldCharType="begin"/>
          </w:r>
          <w:r>
            <w:rPr>
              <w:noProof/>
            </w:rPr>
            <w:instrText xml:space="preserve"> PAGEREF _Toc480804601 \h </w:instrText>
          </w:r>
          <w:r>
            <w:rPr>
              <w:noProof/>
            </w:rPr>
          </w:r>
          <w:r>
            <w:rPr>
              <w:noProof/>
            </w:rPr>
            <w:fldChar w:fldCharType="separate"/>
          </w:r>
          <w:r>
            <w:rPr>
              <w:noProof/>
            </w:rPr>
            <w:t>4</w:t>
          </w:r>
          <w:r>
            <w:rPr>
              <w:noProof/>
            </w:rPr>
            <w:fldChar w:fldCharType="end"/>
          </w:r>
        </w:p>
        <w:p w14:paraId="0FA0FC49" w14:textId="77777777" w:rsidR="0026173C" w:rsidRDefault="0026173C">
          <w:pPr>
            <w:pStyle w:val="TOC2"/>
            <w:tabs>
              <w:tab w:val="right" w:leader="dot" w:pos="10480"/>
            </w:tabs>
            <w:rPr>
              <w:rFonts w:eastAsiaTheme="minorEastAsia"/>
              <w:bCs w:val="0"/>
              <w:noProof/>
              <w:sz w:val="24"/>
              <w:szCs w:val="24"/>
              <w:lang w:val="en-US"/>
            </w:rPr>
          </w:pPr>
          <w:r>
            <w:rPr>
              <w:noProof/>
            </w:rPr>
            <w:t>CATEGORIES of TRADE-MARKS</w:t>
          </w:r>
          <w:r>
            <w:rPr>
              <w:noProof/>
            </w:rPr>
            <w:tab/>
          </w:r>
          <w:r>
            <w:rPr>
              <w:noProof/>
            </w:rPr>
            <w:fldChar w:fldCharType="begin"/>
          </w:r>
          <w:r>
            <w:rPr>
              <w:noProof/>
            </w:rPr>
            <w:instrText xml:space="preserve"> PAGEREF _Toc480804602 \h </w:instrText>
          </w:r>
          <w:r>
            <w:rPr>
              <w:noProof/>
            </w:rPr>
          </w:r>
          <w:r>
            <w:rPr>
              <w:noProof/>
            </w:rPr>
            <w:fldChar w:fldCharType="separate"/>
          </w:r>
          <w:r>
            <w:rPr>
              <w:noProof/>
            </w:rPr>
            <w:t>4</w:t>
          </w:r>
          <w:r>
            <w:rPr>
              <w:noProof/>
            </w:rPr>
            <w:fldChar w:fldCharType="end"/>
          </w:r>
        </w:p>
        <w:p w14:paraId="2DFB4414" w14:textId="77777777" w:rsidR="0026173C" w:rsidRDefault="0026173C">
          <w:pPr>
            <w:pStyle w:val="TOC3"/>
            <w:tabs>
              <w:tab w:val="right" w:leader="dot" w:pos="10480"/>
            </w:tabs>
            <w:rPr>
              <w:rFonts w:eastAsiaTheme="minorEastAsia"/>
              <w:noProof/>
              <w:sz w:val="24"/>
              <w:szCs w:val="24"/>
              <w:lang w:val="en-US"/>
            </w:rPr>
          </w:pPr>
          <w:r>
            <w:rPr>
              <w:noProof/>
            </w:rPr>
            <w:t>ORDINARY MARKS</w:t>
          </w:r>
          <w:r>
            <w:rPr>
              <w:noProof/>
            </w:rPr>
            <w:tab/>
          </w:r>
          <w:r>
            <w:rPr>
              <w:noProof/>
            </w:rPr>
            <w:fldChar w:fldCharType="begin"/>
          </w:r>
          <w:r>
            <w:rPr>
              <w:noProof/>
            </w:rPr>
            <w:instrText xml:space="preserve"> PAGEREF _Toc480804603 \h </w:instrText>
          </w:r>
          <w:r>
            <w:rPr>
              <w:noProof/>
            </w:rPr>
          </w:r>
          <w:r>
            <w:rPr>
              <w:noProof/>
            </w:rPr>
            <w:fldChar w:fldCharType="separate"/>
          </w:r>
          <w:r>
            <w:rPr>
              <w:noProof/>
            </w:rPr>
            <w:t>4</w:t>
          </w:r>
          <w:r>
            <w:rPr>
              <w:noProof/>
            </w:rPr>
            <w:fldChar w:fldCharType="end"/>
          </w:r>
        </w:p>
        <w:p w14:paraId="1B6F78A7" w14:textId="77777777" w:rsidR="0026173C" w:rsidRDefault="0026173C">
          <w:pPr>
            <w:pStyle w:val="TOC3"/>
            <w:tabs>
              <w:tab w:val="right" w:leader="dot" w:pos="10480"/>
            </w:tabs>
            <w:rPr>
              <w:rFonts w:eastAsiaTheme="minorEastAsia"/>
              <w:noProof/>
              <w:sz w:val="24"/>
              <w:szCs w:val="24"/>
              <w:lang w:val="en-US"/>
            </w:rPr>
          </w:pPr>
          <w:r>
            <w:rPr>
              <w:noProof/>
            </w:rPr>
            <w:t>DISTINGUISHING GUISES</w:t>
          </w:r>
          <w:r>
            <w:rPr>
              <w:noProof/>
            </w:rPr>
            <w:tab/>
          </w:r>
          <w:r>
            <w:rPr>
              <w:noProof/>
            </w:rPr>
            <w:fldChar w:fldCharType="begin"/>
          </w:r>
          <w:r>
            <w:rPr>
              <w:noProof/>
            </w:rPr>
            <w:instrText xml:space="preserve"> PAGEREF _Toc480804604 \h </w:instrText>
          </w:r>
          <w:r>
            <w:rPr>
              <w:noProof/>
            </w:rPr>
          </w:r>
          <w:r>
            <w:rPr>
              <w:noProof/>
            </w:rPr>
            <w:fldChar w:fldCharType="separate"/>
          </w:r>
          <w:r>
            <w:rPr>
              <w:noProof/>
            </w:rPr>
            <w:t>5</w:t>
          </w:r>
          <w:r>
            <w:rPr>
              <w:noProof/>
            </w:rPr>
            <w:fldChar w:fldCharType="end"/>
          </w:r>
        </w:p>
        <w:p w14:paraId="1E7459CA" w14:textId="77777777" w:rsidR="0026173C" w:rsidRDefault="0026173C">
          <w:pPr>
            <w:pStyle w:val="TOC3"/>
            <w:tabs>
              <w:tab w:val="right" w:leader="dot" w:pos="10480"/>
            </w:tabs>
            <w:rPr>
              <w:rFonts w:eastAsiaTheme="minorEastAsia"/>
              <w:noProof/>
              <w:sz w:val="24"/>
              <w:szCs w:val="24"/>
              <w:lang w:val="en-US"/>
            </w:rPr>
          </w:pPr>
          <w:r>
            <w:rPr>
              <w:noProof/>
            </w:rPr>
            <w:t>SPECIAL MARKS</w:t>
          </w:r>
          <w:r>
            <w:rPr>
              <w:noProof/>
            </w:rPr>
            <w:tab/>
          </w:r>
          <w:r>
            <w:rPr>
              <w:noProof/>
            </w:rPr>
            <w:fldChar w:fldCharType="begin"/>
          </w:r>
          <w:r>
            <w:rPr>
              <w:noProof/>
            </w:rPr>
            <w:instrText xml:space="preserve"> PAGEREF _Toc480804605 \h </w:instrText>
          </w:r>
          <w:r>
            <w:rPr>
              <w:noProof/>
            </w:rPr>
          </w:r>
          <w:r>
            <w:rPr>
              <w:noProof/>
            </w:rPr>
            <w:fldChar w:fldCharType="separate"/>
          </w:r>
          <w:r>
            <w:rPr>
              <w:noProof/>
            </w:rPr>
            <w:t>6</w:t>
          </w:r>
          <w:r>
            <w:rPr>
              <w:noProof/>
            </w:rPr>
            <w:fldChar w:fldCharType="end"/>
          </w:r>
        </w:p>
        <w:p w14:paraId="70A559EB" w14:textId="77777777" w:rsidR="0026173C" w:rsidRDefault="0026173C">
          <w:pPr>
            <w:pStyle w:val="TOC2"/>
            <w:tabs>
              <w:tab w:val="right" w:leader="dot" w:pos="10480"/>
            </w:tabs>
            <w:rPr>
              <w:rFonts w:eastAsiaTheme="minorEastAsia"/>
              <w:bCs w:val="0"/>
              <w:noProof/>
              <w:sz w:val="24"/>
              <w:szCs w:val="24"/>
              <w:lang w:val="en-US"/>
            </w:rPr>
          </w:pPr>
          <w:r>
            <w:rPr>
              <w:noProof/>
            </w:rPr>
            <w:t>USE of TRADE-MARKS</w:t>
          </w:r>
          <w:r>
            <w:rPr>
              <w:noProof/>
            </w:rPr>
            <w:tab/>
          </w:r>
          <w:r>
            <w:rPr>
              <w:noProof/>
            </w:rPr>
            <w:fldChar w:fldCharType="begin"/>
          </w:r>
          <w:r>
            <w:rPr>
              <w:noProof/>
            </w:rPr>
            <w:instrText xml:space="preserve"> PAGEREF _Toc480804606 \h </w:instrText>
          </w:r>
          <w:r>
            <w:rPr>
              <w:noProof/>
            </w:rPr>
          </w:r>
          <w:r>
            <w:rPr>
              <w:noProof/>
            </w:rPr>
            <w:fldChar w:fldCharType="separate"/>
          </w:r>
          <w:r>
            <w:rPr>
              <w:noProof/>
            </w:rPr>
            <w:t>7</w:t>
          </w:r>
          <w:r>
            <w:rPr>
              <w:noProof/>
            </w:rPr>
            <w:fldChar w:fldCharType="end"/>
          </w:r>
        </w:p>
        <w:p w14:paraId="12778DC6" w14:textId="77777777" w:rsidR="0026173C" w:rsidRDefault="0026173C">
          <w:pPr>
            <w:pStyle w:val="TOC2"/>
            <w:tabs>
              <w:tab w:val="right" w:leader="dot" w:pos="10480"/>
            </w:tabs>
            <w:rPr>
              <w:rFonts w:eastAsiaTheme="minorEastAsia"/>
              <w:bCs w:val="0"/>
              <w:noProof/>
              <w:sz w:val="24"/>
              <w:szCs w:val="24"/>
              <w:lang w:val="en-US"/>
            </w:rPr>
          </w:pPr>
          <w:r>
            <w:rPr>
              <w:noProof/>
            </w:rPr>
            <w:t>HOW to REGISTER &amp; OBTAIN a TRADE-MARK</w:t>
          </w:r>
          <w:r>
            <w:rPr>
              <w:noProof/>
            </w:rPr>
            <w:tab/>
          </w:r>
          <w:r>
            <w:rPr>
              <w:noProof/>
            </w:rPr>
            <w:fldChar w:fldCharType="begin"/>
          </w:r>
          <w:r>
            <w:rPr>
              <w:noProof/>
            </w:rPr>
            <w:instrText xml:space="preserve"> PAGEREF _Toc480804607 \h </w:instrText>
          </w:r>
          <w:r>
            <w:rPr>
              <w:noProof/>
            </w:rPr>
          </w:r>
          <w:r>
            <w:rPr>
              <w:noProof/>
            </w:rPr>
            <w:fldChar w:fldCharType="separate"/>
          </w:r>
          <w:r>
            <w:rPr>
              <w:noProof/>
            </w:rPr>
            <w:t>8</w:t>
          </w:r>
          <w:r>
            <w:rPr>
              <w:noProof/>
            </w:rPr>
            <w:fldChar w:fldCharType="end"/>
          </w:r>
        </w:p>
        <w:p w14:paraId="0F86B315" w14:textId="77777777" w:rsidR="0026173C" w:rsidRDefault="0026173C">
          <w:pPr>
            <w:pStyle w:val="TOC2"/>
            <w:tabs>
              <w:tab w:val="right" w:leader="dot" w:pos="10480"/>
            </w:tabs>
            <w:rPr>
              <w:rFonts w:eastAsiaTheme="minorEastAsia"/>
              <w:bCs w:val="0"/>
              <w:noProof/>
              <w:sz w:val="24"/>
              <w:szCs w:val="24"/>
              <w:lang w:val="en-US"/>
            </w:rPr>
          </w:pPr>
          <w:r>
            <w:rPr>
              <w:noProof/>
            </w:rPr>
            <w:t>OWNERSHIP, TRANSFER, &amp; LICENSING</w:t>
          </w:r>
          <w:r>
            <w:rPr>
              <w:noProof/>
            </w:rPr>
            <w:tab/>
          </w:r>
          <w:r>
            <w:rPr>
              <w:noProof/>
            </w:rPr>
            <w:fldChar w:fldCharType="begin"/>
          </w:r>
          <w:r>
            <w:rPr>
              <w:noProof/>
            </w:rPr>
            <w:instrText xml:space="preserve"> PAGEREF _Toc480804608 \h </w:instrText>
          </w:r>
          <w:r>
            <w:rPr>
              <w:noProof/>
            </w:rPr>
          </w:r>
          <w:r>
            <w:rPr>
              <w:noProof/>
            </w:rPr>
            <w:fldChar w:fldCharType="separate"/>
          </w:r>
          <w:r>
            <w:rPr>
              <w:noProof/>
            </w:rPr>
            <w:t>9</w:t>
          </w:r>
          <w:r>
            <w:rPr>
              <w:noProof/>
            </w:rPr>
            <w:fldChar w:fldCharType="end"/>
          </w:r>
        </w:p>
        <w:p w14:paraId="3D90F16A" w14:textId="77777777" w:rsidR="0026173C" w:rsidRDefault="0026173C">
          <w:pPr>
            <w:pStyle w:val="TOC2"/>
            <w:tabs>
              <w:tab w:val="right" w:leader="dot" w:pos="10480"/>
            </w:tabs>
            <w:rPr>
              <w:rFonts w:eastAsiaTheme="minorEastAsia"/>
              <w:bCs w:val="0"/>
              <w:noProof/>
              <w:sz w:val="24"/>
              <w:szCs w:val="24"/>
              <w:lang w:val="en-US"/>
            </w:rPr>
          </w:pPr>
          <w:r>
            <w:rPr>
              <w:noProof/>
            </w:rPr>
            <w:t>EXPUNGEMENT</w:t>
          </w:r>
          <w:r>
            <w:rPr>
              <w:noProof/>
            </w:rPr>
            <w:tab/>
          </w:r>
          <w:r>
            <w:rPr>
              <w:noProof/>
            </w:rPr>
            <w:fldChar w:fldCharType="begin"/>
          </w:r>
          <w:r>
            <w:rPr>
              <w:noProof/>
            </w:rPr>
            <w:instrText xml:space="preserve"> PAGEREF _Toc480804609 \h </w:instrText>
          </w:r>
          <w:r>
            <w:rPr>
              <w:noProof/>
            </w:rPr>
          </w:r>
          <w:r>
            <w:rPr>
              <w:noProof/>
            </w:rPr>
            <w:fldChar w:fldCharType="separate"/>
          </w:r>
          <w:r>
            <w:rPr>
              <w:noProof/>
            </w:rPr>
            <w:t>10</w:t>
          </w:r>
          <w:r>
            <w:rPr>
              <w:noProof/>
            </w:rPr>
            <w:fldChar w:fldCharType="end"/>
          </w:r>
        </w:p>
        <w:p w14:paraId="7C8A3F9A" w14:textId="77777777" w:rsidR="0026173C" w:rsidRDefault="0026173C">
          <w:pPr>
            <w:pStyle w:val="TOC3"/>
            <w:tabs>
              <w:tab w:val="right" w:leader="dot" w:pos="10480"/>
            </w:tabs>
            <w:rPr>
              <w:rFonts w:eastAsiaTheme="minorEastAsia"/>
              <w:noProof/>
              <w:sz w:val="24"/>
              <w:szCs w:val="24"/>
              <w:lang w:val="en-US"/>
            </w:rPr>
          </w:pPr>
          <w:r>
            <w:rPr>
              <w:noProof/>
            </w:rPr>
            <w:t xml:space="preserve">via </w:t>
          </w:r>
          <w:r w:rsidRPr="00F21F8E">
            <w:rPr>
              <w:noProof/>
              <w:color w:val="0500FF"/>
            </w:rPr>
            <w:t>s45</w:t>
          </w:r>
          <w:r>
            <w:rPr>
              <w:noProof/>
            </w:rPr>
            <w:tab/>
          </w:r>
          <w:r>
            <w:rPr>
              <w:noProof/>
            </w:rPr>
            <w:fldChar w:fldCharType="begin"/>
          </w:r>
          <w:r>
            <w:rPr>
              <w:noProof/>
            </w:rPr>
            <w:instrText xml:space="preserve"> PAGEREF _Toc480804610 \h </w:instrText>
          </w:r>
          <w:r>
            <w:rPr>
              <w:noProof/>
            </w:rPr>
          </w:r>
          <w:r>
            <w:rPr>
              <w:noProof/>
            </w:rPr>
            <w:fldChar w:fldCharType="separate"/>
          </w:r>
          <w:r>
            <w:rPr>
              <w:noProof/>
            </w:rPr>
            <w:t>10</w:t>
          </w:r>
          <w:r>
            <w:rPr>
              <w:noProof/>
            </w:rPr>
            <w:fldChar w:fldCharType="end"/>
          </w:r>
        </w:p>
        <w:p w14:paraId="5EB6FDD1" w14:textId="77777777" w:rsidR="0026173C" w:rsidRDefault="0026173C">
          <w:pPr>
            <w:pStyle w:val="TOC3"/>
            <w:tabs>
              <w:tab w:val="right" w:leader="dot" w:pos="10480"/>
            </w:tabs>
            <w:rPr>
              <w:rFonts w:eastAsiaTheme="minorEastAsia"/>
              <w:noProof/>
              <w:sz w:val="24"/>
              <w:szCs w:val="24"/>
              <w:lang w:val="en-US"/>
            </w:rPr>
          </w:pPr>
          <w:r>
            <w:rPr>
              <w:noProof/>
            </w:rPr>
            <w:t xml:space="preserve">via </w:t>
          </w:r>
          <w:r w:rsidRPr="00F21F8E">
            <w:rPr>
              <w:noProof/>
              <w:color w:val="0500FF"/>
            </w:rPr>
            <w:t>s57</w:t>
          </w:r>
          <w:r>
            <w:rPr>
              <w:noProof/>
            </w:rPr>
            <w:tab/>
          </w:r>
          <w:r>
            <w:rPr>
              <w:noProof/>
            </w:rPr>
            <w:fldChar w:fldCharType="begin"/>
          </w:r>
          <w:r>
            <w:rPr>
              <w:noProof/>
            </w:rPr>
            <w:instrText xml:space="preserve"> PAGEREF _Toc480804611 \h </w:instrText>
          </w:r>
          <w:r>
            <w:rPr>
              <w:noProof/>
            </w:rPr>
          </w:r>
          <w:r>
            <w:rPr>
              <w:noProof/>
            </w:rPr>
            <w:fldChar w:fldCharType="separate"/>
          </w:r>
          <w:r>
            <w:rPr>
              <w:noProof/>
            </w:rPr>
            <w:t>10</w:t>
          </w:r>
          <w:r>
            <w:rPr>
              <w:noProof/>
            </w:rPr>
            <w:fldChar w:fldCharType="end"/>
          </w:r>
        </w:p>
        <w:p w14:paraId="2D3412F8" w14:textId="77777777" w:rsidR="0026173C" w:rsidRDefault="0026173C">
          <w:pPr>
            <w:pStyle w:val="TOC2"/>
            <w:tabs>
              <w:tab w:val="right" w:leader="dot" w:pos="10480"/>
            </w:tabs>
            <w:rPr>
              <w:rFonts w:eastAsiaTheme="minorEastAsia"/>
              <w:bCs w:val="0"/>
              <w:noProof/>
              <w:sz w:val="24"/>
              <w:szCs w:val="24"/>
              <w:lang w:val="en-US"/>
            </w:rPr>
          </w:pPr>
          <w:r>
            <w:rPr>
              <w:noProof/>
            </w:rPr>
            <w:t>DOCTRINE of CONFUSION</w:t>
          </w:r>
          <w:r>
            <w:rPr>
              <w:noProof/>
            </w:rPr>
            <w:tab/>
          </w:r>
          <w:r>
            <w:rPr>
              <w:noProof/>
            </w:rPr>
            <w:fldChar w:fldCharType="begin"/>
          </w:r>
          <w:r>
            <w:rPr>
              <w:noProof/>
            </w:rPr>
            <w:instrText xml:space="preserve"> PAGEREF _Toc480804612 \h </w:instrText>
          </w:r>
          <w:r>
            <w:rPr>
              <w:noProof/>
            </w:rPr>
          </w:r>
          <w:r>
            <w:rPr>
              <w:noProof/>
            </w:rPr>
            <w:fldChar w:fldCharType="separate"/>
          </w:r>
          <w:r>
            <w:rPr>
              <w:noProof/>
            </w:rPr>
            <w:t>11</w:t>
          </w:r>
          <w:r>
            <w:rPr>
              <w:noProof/>
            </w:rPr>
            <w:fldChar w:fldCharType="end"/>
          </w:r>
        </w:p>
        <w:p w14:paraId="41C877FB" w14:textId="77777777" w:rsidR="0026173C" w:rsidRDefault="0026173C">
          <w:pPr>
            <w:pStyle w:val="TOC1"/>
            <w:tabs>
              <w:tab w:val="right" w:leader="dot" w:pos="10480"/>
            </w:tabs>
            <w:rPr>
              <w:rFonts w:eastAsiaTheme="minorEastAsia"/>
              <w:b w:val="0"/>
              <w:bCs w:val="0"/>
              <w:noProof/>
              <w:lang w:val="en-US"/>
            </w:rPr>
          </w:pPr>
          <w:r>
            <w:rPr>
              <w:noProof/>
            </w:rPr>
            <w:t>TRADEMARK INFRINGEMENT</w:t>
          </w:r>
          <w:r>
            <w:rPr>
              <w:noProof/>
            </w:rPr>
            <w:tab/>
          </w:r>
          <w:r>
            <w:rPr>
              <w:noProof/>
            </w:rPr>
            <w:fldChar w:fldCharType="begin"/>
          </w:r>
          <w:r>
            <w:rPr>
              <w:noProof/>
            </w:rPr>
            <w:instrText xml:space="preserve"> PAGEREF _Toc480804613 \h </w:instrText>
          </w:r>
          <w:r>
            <w:rPr>
              <w:noProof/>
            </w:rPr>
          </w:r>
          <w:r>
            <w:rPr>
              <w:noProof/>
            </w:rPr>
            <w:fldChar w:fldCharType="separate"/>
          </w:r>
          <w:r>
            <w:rPr>
              <w:noProof/>
            </w:rPr>
            <w:t>12</w:t>
          </w:r>
          <w:r>
            <w:rPr>
              <w:noProof/>
            </w:rPr>
            <w:fldChar w:fldCharType="end"/>
          </w:r>
        </w:p>
        <w:p w14:paraId="42AFA164" w14:textId="77777777" w:rsidR="0026173C" w:rsidRDefault="0026173C">
          <w:pPr>
            <w:pStyle w:val="TOC2"/>
            <w:tabs>
              <w:tab w:val="right" w:leader="dot" w:pos="10480"/>
            </w:tabs>
            <w:rPr>
              <w:rFonts w:eastAsiaTheme="minorEastAsia"/>
              <w:bCs w:val="0"/>
              <w:noProof/>
              <w:sz w:val="24"/>
              <w:szCs w:val="24"/>
              <w:lang w:val="en-US"/>
            </w:rPr>
          </w:pPr>
          <w:r w:rsidRPr="00F21F8E">
            <w:rPr>
              <w:noProof/>
              <w:color w:val="0500FF"/>
            </w:rPr>
            <w:t>s19</w:t>
          </w:r>
          <w:r>
            <w:rPr>
              <w:noProof/>
            </w:rPr>
            <w:t>: USE of SAME TRADE-MARK for the SAME GOODS/SERVICES</w:t>
          </w:r>
          <w:r>
            <w:rPr>
              <w:noProof/>
            </w:rPr>
            <w:tab/>
          </w:r>
          <w:r>
            <w:rPr>
              <w:noProof/>
            </w:rPr>
            <w:fldChar w:fldCharType="begin"/>
          </w:r>
          <w:r>
            <w:rPr>
              <w:noProof/>
            </w:rPr>
            <w:instrText xml:space="preserve"> PAGEREF _Toc480804614 \h </w:instrText>
          </w:r>
          <w:r>
            <w:rPr>
              <w:noProof/>
            </w:rPr>
          </w:r>
          <w:r>
            <w:rPr>
              <w:noProof/>
            </w:rPr>
            <w:fldChar w:fldCharType="separate"/>
          </w:r>
          <w:r>
            <w:rPr>
              <w:noProof/>
            </w:rPr>
            <w:t>12</w:t>
          </w:r>
          <w:r>
            <w:rPr>
              <w:noProof/>
            </w:rPr>
            <w:fldChar w:fldCharType="end"/>
          </w:r>
        </w:p>
        <w:p w14:paraId="66CF3E8F" w14:textId="77777777" w:rsidR="0026173C" w:rsidRDefault="0026173C">
          <w:pPr>
            <w:pStyle w:val="TOC2"/>
            <w:tabs>
              <w:tab w:val="right" w:leader="dot" w:pos="10480"/>
            </w:tabs>
            <w:rPr>
              <w:rFonts w:eastAsiaTheme="minorEastAsia"/>
              <w:bCs w:val="0"/>
              <w:noProof/>
              <w:sz w:val="24"/>
              <w:szCs w:val="24"/>
              <w:lang w:val="en-US"/>
            </w:rPr>
          </w:pPr>
          <w:r w:rsidRPr="00F21F8E">
            <w:rPr>
              <w:noProof/>
              <w:color w:val="0500FF"/>
            </w:rPr>
            <w:t>s20</w:t>
          </w:r>
          <w:r>
            <w:rPr>
              <w:noProof/>
            </w:rPr>
            <w:t>: CONFUSING USES of TRADE-MARKS</w:t>
          </w:r>
          <w:r>
            <w:rPr>
              <w:noProof/>
            </w:rPr>
            <w:tab/>
          </w:r>
          <w:r>
            <w:rPr>
              <w:noProof/>
            </w:rPr>
            <w:fldChar w:fldCharType="begin"/>
          </w:r>
          <w:r>
            <w:rPr>
              <w:noProof/>
            </w:rPr>
            <w:instrText xml:space="preserve"> PAGEREF _Toc480804615 \h </w:instrText>
          </w:r>
          <w:r>
            <w:rPr>
              <w:noProof/>
            </w:rPr>
          </w:r>
          <w:r>
            <w:rPr>
              <w:noProof/>
            </w:rPr>
            <w:fldChar w:fldCharType="separate"/>
          </w:r>
          <w:r>
            <w:rPr>
              <w:noProof/>
            </w:rPr>
            <w:t>13</w:t>
          </w:r>
          <w:r>
            <w:rPr>
              <w:noProof/>
            </w:rPr>
            <w:fldChar w:fldCharType="end"/>
          </w:r>
        </w:p>
        <w:p w14:paraId="379FEDDC" w14:textId="77777777" w:rsidR="0026173C" w:rsidRDefault="0026173C">
          <w:pPr>
            <w:pStyle w:val="TOC2"/>
            <w:tabs>
              <w:tab w:val="right" w:leader="dot" w:pos="10480"/>
            </w:tabs>
            <w:rPr>
              <w:rFonts w:eastAsiaTheme="minorEastAsia"/>
              <w:bCs w:val="0"/>
              <w:noProof/>
              <w:sz w:val="24"/>
              <w:szCs w:val="24"/>
              <w:lang w:val="en-US"/>
            </w:rPr>
          </w:pPr>
          <w:r w:rsidRPr="00F21F8E">
            <w:rPr>
              <w:noProof/>
              <w:color w:val="0500FF"/>
            </w:rPr>
            <w:t>s22</w:t>
          </w:r>
          <w:r>
            <w:rPr>
              <w:noProof/>
            </w:rPr>
            <w:t>: USES of TRADE-MARKS that DEPRECIATE the VALUE of GOODWILL</w:t>
          </w:r>
          <w:r>
            <w:rPr>
              <w:noProof/>
            </w:rPr>
            <w:tab/>
          </w:r>
          <w:r>
            <w:rPr>
              <w:noProof/>
            </w:rPr>
            <w:fldChar w:fldCharType="begin"/>
          </w:r>
          <w:r>
            <w:rPr>
              <w:noProof/>
            </w:rPr>
            <w:instrText xml:space="preserve"> PAGEREF _Toc480804616 \h </w:instrText>
          </w:r>
          <w:r>
            <w:rPr>
              <w:noProof/>
            </w:rPr>
          </w:r>
          <w:r>
            <w:rPr>
              <w:noProof/>
            </w:rPr>
            <w:fldChar w:fldCharType="separate"/>
          </w:r>
          <w:r>
            <w:rPr>
              <w:noProof/>
            </w:rPr>
            <w:t>13</w:t>
          </w:r>
          <w:r>
            <w:rPr>
              <w:noProof/>
            </w:rPr>
            <w:fldChar w:fldCharType="end"/>
          </w:r>
        </w:p>
        <w:p w14:paraId="0D74D8B5" w14:textId="77777777" w:rsidR="0026173C" w:rsidRDefault="0026173C">
          <w:pPr>
            <w:pStyle w:val="TOC2"/>
            <w:tabs>
              <w:tab w:val="right" w:leader="dot" w:pos="10480"/>
            </w:tabs>
            <w:rPr>
              <w:rFonts w:eastAsiaTheme="minorEastAsia"/>
              <w:bCs w:val="0"/>
              <w:noProof/>
              <w:sz w:val="24"/>
              <w:szCs w:val="24"/>
              <w:lang w:val="en-US"/>
            </w:rPr>
          </w:pPr>
          <w:r>
            <w:rPr>
              <w:noProof/>
            </w:rPr>
            <w:t>DEFENCES to TRADE-MARK INFRINGEMENT</w:t>
          </w:r>
          <w:r>
            <w:rPr>
              <w:noProof/>
            </w:rPr>
            <w:tab/>
          </w:r>
          <w:r>
            <w:rPr>
              <w:noProof/>
            </w:rPr>
            <w:fldChar w:fldCharType="begin"/>
          </w:r>
          <w:r>
            <w:rPr>
              <w:noProof/>
            </w:rPr>
            <w:instrText xml:space="preserve"> PAGEREF _Toc480804617 \h </w:instrText>
          </w:r>
          <w:r>
            <w:rPr>
              <w:noProof/>
            </w:rPr>
          </w:r>
          <w:r>
            <w:rPr>
              <w:noProof/>
            </w:rPr>
            <w:fldChar w:fldCharType="separate"/>
          </w:r>
          <w:r>
            <w:rPr>
              <w:noProof/>
            </w:rPr>
            <w:t>14</w:t>
          </w:r>
          <w:r>
            <w:rPr>
              <w:noProof/>
            </w:rPr>
            <w:fldChar w:fldCharType="end"/>
          </w:r>
        </w:p>
        <w:p w14:paraId="56AA4BAE" w14:textId="77777777" w:rsidR="0026173C" w:rsidRDefault="0026173C">
          <w:pPr>
            <w:pStyle w:val="TOC2"/>
            <w:tabs>
              <w:tab w:val="right" w:leader="dot" w:pos="10480"/>
            </w:tabs>
            <w:rPr>
              <w:rFonts w:eastAsiaTheme="minorEastAsia"/>
              <w:bCs w:val="0"/>
              <w:noProof/>
              <w:sz w:val="24"/>
              <w:szCs w:val="24"/>
              <w:lang w:val="en-US"/>
            </w:rPr>
          </w:pPr>
          <w:r>
            <w:rPr>
              <w:noProof/>
            </w:rPr>
            <w:t>REMEDIES</w:t>
          </w:r>
          <w:r>
            <w:rPr>
              <w:noProof/>
            </w:rPr>
            <w:tab/>
          </w:r>
          <w:r>
            <w:rPr>
              <w:noProof/>
            </w:rPr>
            <w:fldChar w:fldCharType="begin"/>
          </w:r>
          <w:r>
            <w:rPr>
              <w:noProof/>
            </w:rPr>
            <w:instrText xml:space="preserve"> PAGEREF _Toc480804618 \h </w:instrText>
          </w:r>
          <w:r>
            <w:rPr>
              <w:noProof/>
            </w:rPr>
          </w:r>
          <w:r>
            <w:rPr>
              <w:noProof/>
            </w:rPr>
            <w:fldChar w:fldCharType="separate"/>
          </w:r>
          <w:r>
            <w:rPr>
              <w:noProof/>
            </w:rPr>
            <w:t>14</w:t>
          </w:r>
          <w:r>
            <w:rPr>
              <w:noProof/>
            </w:rPr>
            <w:fldChar w:fldCharType="end"/>
          </w:r>
        </w:p>
        <w:p w14:paraId="61478BC4" w14:textId="7D5477FD" w:rsidR="00CF5DC4" w:rsidRDefault="005B17A1" w:rsidP="005B17A1">
          <w:r>
            <w:rPr>
              <w:rFonts w:asciiTheme="minorHAnsi" w:hAnsiTheme="minorHAnsi"/>
              <w:sz w:val="24"/>
              <w:szCs w:val="24"/>
            </w:rPr>
            <w:fldChar w:fldCharType="end"/>
          </w:r>
        </w:p>
      </w:sdtContent>
    </w:sdt>
    <w:p w14:paraId="40AF2364" w14:textId="10E3E98D" w:rsidR="00CF5DC4" w:rsidRPr="009A71EE" w:rsidRDefault="00F511EC" w:rsidP="00CF5DC4">
      <w:pPr>
        <w:pStyle w:val="Heading1"/>
      </w:pPr>
      <w:bookmarkStart w:id="0" w:name="_Toc480804595"/>
      <w:r>
        <w:t>PASSING-OFF</w:t>
      </w:r>
      <w:bookmarkEnd w:id="0"/>
    </w:p>
    <w:p w14:paraId="738298A0" w14:textId="2984177F" w:rsidR="000161E0" w:rsidRDefault="00F511EC" w:rsidP="00A95EF0">
      <w:r>
        <w:t xml:space="preserve">Passing-off is the primary common-law tort action for the protection of unregistered TMs. In essence, </w:t>
      </w:r>
      <w:r w:rsidRPr="00F511EC">
        <w:rPr>
          <w:color w:val="0500FF"/>
        </w:rPr>
        <w:t xml:space="preserve">ss7(b) </w:t>
      </w:r>
      <w:r>
        <w:t xml:space="preserve">and </w:t>
      </w:r>
      <w:r w:rsidRPr="00F511EC">
        <w:rPr>
          <w:color w:val="0500FF"/>
        </w:rPr>
        <w:t>(c)</w:t>
      </w:r>
      <w:r>
        <w:t xml:space="preserve"> in the </w:t>
      </w:r>
      <w:r w:rsidRPr="00F511EC">
        <w:rPr>
          <w:i/>
          <w:color w:val="0500FF"/>
        </w:rPr>
        <w:t>TA</w:t>
      </w:r>
      <w:r>
        <w:t xml:space="preserve"> codify the idea that no one may pass of their goods as those of another. These provisions function to protect traders against competitors who create a likelihood of confusion, to protect consumers, and to prevent unfair competition (</w:t>
      </w:r>
      <w:r w:rsidRPr="00F511EC">
        <w:rPr>
          <w:i/>
          <w:color w:val="FF0000"/>
        </w:rPr>
        <w:t>Ciba-Geigy</w:t>
      </w:r>
      <w:r>
        <w:t xml:space="preserve">). </w:t>
      </w:r>
    </w:p>
    <w:p w14:paraId="6E4D1AD3" w14:textId="77777777" w:rsidR="00781583" w:rsidRPr="00781583" w:rsidRDefault="00781583" w:rsidP="00A95EF0">
      <w:pPr>
        <w:rPr>
          <w:sz w:val="8"/>
          <w:szCs w:val="8"/>
        </w:rPr>
      </w:pPr>
    </w:p>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FFF"/>
        <w:tblLook w:val="04A0" w:firstRow="1" w:lastRow="0" w:firstColumn="1" w:lastColumn="0" w:noHBand="0" w:noVBand="1"/>
      </w:tblPr>
      <w:tblGrid>
        <w:gridCol w:w="10493"/>
      </w:tblGrid>
      <w:tr w:rsidR="00781583" w:rsidRPr="002536C6" w14:paraId="1F0873F9" w14:textId="77777777" w:rsidTr="00781583">
        <w:trPr>
          <w:trHeight w:val="56"/>
        </w:trPr>
        <w:tc>
          <w:tcPr>
            <w:tcW w:w="10493" w:type="dxa"/>
            <w:shd w:val="clear" w:color="auto" w:fill="EEFFFF"/>
            <w:tcMar>
              <w:top w:w="29" w:type="dxa"/>
              <w:left w:w="43" w:type="dxa"/>
              <w:bottom w:w="29" w:type="dxa"/>
              <w:right w:w="43" w:type="dxa"/>
            </w:tcMar>
          </w:tcPr>
          <w:p w14:paraId="15FAF41C" w14:textId="77777777" w:rsidR="00781583" w:rsidRPr="004E587A" w:rsidRDefault="00781583" w:rsidP="00D506EA">
            <w:pPr>
              <w:ind w:left="450" w:hanging="450"/>
            </w:pPr>
            <w:r>
              <w:rPr>
                <w:b/>
                <w:color w:val="0000FF"/>
              </w:rPr>
              <w:t xml:space="preserve">7 </w:t>
            </w:r>
            <w:r>
              <w:t>No person shall…</w:t>
            </w:r>
          </w:p>
          <w:p w14:paraId="57739BA1" w14:textId="3203238A" w:rsidR="00781583" w:rsidRDefault="00781583" w:rsidP="00E45E6F">
            <w:pPr>
              <w:pStyle w:val="ListParagraph"/>
              <w:numPr>
                <w:ilvl w:val="0"/>
                <w:numId w:val="4"/>
              </w:numPr>
              <w:spacing w:line="204" w:lineRule="auto"/>
              <w:ind w:left="524" w:hanging="270"/>
            </w:pPr>
            <w:r>
              <w:t>direct public attention to his goods/services in such a way as to cause or be likely to cause confusion in Canada, at the time he commenced so to direct attention to them, between his goods/services and the goods/services of another</w:t>
            </w:r>
          </w:p>
          <w:p w14:paraId="092657F1" w14:textId="3D77312F" w:rsidR="00781583" w:rsidRPr="00C37B85" w:rsidRDefault="00781583" w:rsidP="00E45E6F">
            <w:pPr>
              <w:pStyle w:val="ListParagraph"/>
              <w:numPr>
                <w:ilvl w:val="0"/>
                <w:numId w:val="4"/>
              </w:numPr>
              <w:spacing w:line="204" w:lineRule="auto"/>
              <w:ind w:left="524" w:hanging="270"/>
            </w:pPr>
            <w:r>
              <w:t>pass off other goods/services as and for those ordered or requested</w:t>
            </w:r>
          </w:p>
        </w:tc>
      </w:tr>
    </w:tbl>
    <w:p w14:paraId="03066D88" w14:textId="77777777" w:rsidR="00F511EC" w:rsidRPr="00F511EC" w:rsidRDefault="00F511EC" w:rsidP="00A95EF0">
      <w:pPr>
        <w:rPr>
          <w:sz w:val="8"/>
          <w:szCs w:val="8"/>
        </w:rPr>
      </w:pPr>
    </w:p>
    <w:p w14:paraId="51DA7B53" w14:textId="63AE9080" w:rsidR="00F511EC" w:rsidRDefault="00F511EC" w:rsidP="00A95EF0">
      <w:r>
        <w:t xml:space="preserve">As described in </w:t>
      </w:r>
      <w:r w:rsidRPr="00F511EC">
        <w:rPr>
          <w:i/>
          <w:color w:val="FF0000"/>
        </w:rPr>
        <w:t>NHL v Pepsi-Cola</w:t>
      </w:r>
      <w:r>
        <w:t>, p</w:t>
      </w:r>
      <w:r w:rsidRPr="00F511EC">
        <w:t>assing</w:t>
      </w:r>
      <w:r>
        <w:t>-off covers two types of commercial deception:</w:t>
      </w:r>
    </w:p>
    <w:p w14:paraId="5DC4AD03" w14:textId="2328131D" w:rsidR="00F511EC" w:rsidRDefault="00F511EC" w:rsidP="00E45E6F">
      <w:pPr>
        <w:pStyle w:val="ListParagraph"/>
        <w:numPr>
          <w:ilvl w:val="0"/>
          <w:numId w:val="3"/>
        </w:numPr>
      </w:pPr>
      <w:r>
        <w:t xml:space="preserve">When a trader tries to </w:t>
      </w:r>
      <w:r w:rsidRPr="00F511EC">
        <w:rPr>
          <w:b/>
        </w:rPr>
        <w:t>pass of his goods as those of another</w:t>
      </w:r>
      <w:r>
        <w:t>, and</w:t>
      </w:r>
    </w:p>
    <w:p w14:paraId="3AEA57E4" w14:textId="09210491" w:rsidR="00F511EC" w:rsidRDefault="00F511EC" w:rsidP="00E45E6F">
      <w:pPr>
        <w:pStyle w:val="ListParagraph"/>
        <w:numPr>
          <w:ilvl w:val="0"/>
          <w:numId w:val="3"/>
        </w:numPr>
      </w:pPr>
      <w:r>
        <w:t>“</w:t>
      </w:r>
      <w:r w:rsidRPr="00F511EC">
        <w:rPr>
          <w:b/>
        </w:rPr>
        <w:t>Reverse passing-off</w:t>
      </w:r>
      <w:r>
        <w:t>”—when the goods of one trader are supplied to a party who ordered the goods of another, and the purchasers are led to believe they are receiving what they ordered</w:t>
      </w:r>
      <w:r w:rsidR="00FD0537">
        <w:t xml:space="preserve"> (first recognized in </w:t>
      </w:r>
      <w:r w:rsidR="00FD0537" w:rsidRPr="00FD0537">
        <w:rPr>
          <w:i/>
          <w:color w:val="FF0000"/>
        </w:rPr>
        <w:t>Bristol</w:t>
      </w:r>
      <w:r w:rsidR="00FD0537">
        <w:t>)</w:t>
      </w:r>
    </w:p>
    <w:p w14:paraId="42896A96" w14:textId="77777777" w:rsidR="00145D30" w:rsidRPr="00145D30" w:rsidRDefault="00145D30" w:rsidP="00145D30">
      <w:pPr>
        <w:rPr>
          <w:sz w:val="8"/>
          <w:szCs w:val="8"/>
        </w:rPr>
      </w:pPr>
    </w:p>
    <w:p w14:paraId="712EE06D" w14:textId="0BA703C7" w:rsidR="00145D30" w:rsidRDefault="00145D30" w:rsidP="00145D30">
      <w:r w:rsidRPr="00145D30">
        <w:rPr>
          <w:i/>
          <w:color w:val="FF0000"/>
        </w:rPr>
        <w:t>Ciba-Geigy</w:t>
      </w:r>
      <w:r w:rsidRPr="00145D30">
        <w:rPr>
          <w:color w:val="FF0000"/>
        </w:rPr>
        <w:t xml:space="preserve"> </w:t>
      </w:r>
      <w:r w:rsidR="00FD0537">
        <w:t>sets out</w:t>
      </w:r>
      <w:r>
        <w:t xml:space="preserve"> the three e</w:t>
      </w:r>
      <w:r w:rsidR="0011123A">
        <w:t>lements of a passing-off action…</w:t>
      </w:r>
    </w:p>
    <w:p w14:paraId="1905AE02" w14:textId="77777777" w:rsidR="0011123A" w:rsidRPr="0011123A" w:rsidRDefault="0011123A" w:rsidP="00145D30">
      <w:pPr>
        <w:rPr>
          <w:sz w:val="8"/>
          <w:szCs w:val="8"/>
        </w:rPr>
      </w:pPr>
    </w:p>
    <w:p w14:paraId="47004EBF" w14:textId="06817300" w:rsidR="0011123A" w:rsidRPr="0011123A" w:rsidRDefault="0011123A" w:rsidP="00623BFF">
      <w:pPr>
        <w:pStyle w:val="Heading2"/>
      </w:pPr>
      <w:bookmarkStart w:id="1" w:name="_Toc480804596"/>
      <w:r w:rsidRPr="0011123A">
        <w:t>#1: The EXISTENCE of GOODWILL</w:t>
      </w:r>
      <w:bookmarkEnd w:id="1"/>
    </w:p>
    <w:p w14:paraId="33C0B09D" w14:textId="21E915F9" w:rsidR="0011123A" w:rsidRDefault="0011123A" w:rsidP="0011123A">
      <w:r>
        <w:t xml:space="preserve">To establish goodwill—the benefit and advantage of the good name, reputation, and connection of a business—π may introduce evidence demonstrating the </w:t>
      </w:r>
      <w:r w:rsidRPr="00C77D95">
        <w:rPr>
          <w:b/>
        </w:rPr>
        <w:t>strength of association between its mark and its company as a trade source</w:t>
      </w:r>
      <w:r>
        <w:t xml:space="preserve">. </w:t>
      </w:r>
    </w:p>
    <w:p w14:paraId="2157ED22" w14:textId="77777777" w:rsidR="0011123A" w:rsidRPr="0011123A" w:rsidRDefault="0011123A" w:rsidP="0011123A">
      <w:pPr>
        <w:rPr>
          <w:sz w:val="8"/>
          <w:szCs w:val="8"/>
        </w:rPr>
      </w:pPr>
    </w:p>
    <w:p w14:paraId="00CA1F0D" w14:textId="68500DF8" w:rsidR="0011123A" w:rsidRPr="0011123A" w:rsidRDefault="0011123A" w:rsidP="0011123A">
      <w:r w:rsidRPr="0011123A">
        <w:rPr>
          <w:b/>
          <w:highlight w:val="yellow"/>
        </w:rPr>
        <w:t>EVIDENCE</w:t>
      </w:r>
      <w:r>
        <w:t xml:space="preserve"> </w:t>
      </w:r>
      <w:r>
        <w:sym w:font="Wingdings" w:char="F0E0"/>
      </w:r>
      <w:r>
        <w:t xml:space="preserve"> π’s evidence may speak to:</w:t>
      </w:r>
    </w:p>
    <w:p w14:paraId="5A513F6A" w14:textId="192D5490" w:rsidR="0011123A" w:rsidRDefault="0011123A" w:rsidP="0011123A">
      <w:pPr>
        <w:pStyle w:val="ListParagraph"/>
      </w:pPr>
      <w:r>
        <w:t xml:space="preserve">The </w:t>
      </w:r>
      <w:r w:rsidRPr="0011123A">
        <w:rPr>
          <w:b/>
        </w:rPr>
        <w:t xml:space="preserve">length of time </w:t>
      </w:r>
      <w:r>
        <w:t>the goods/services have been in the market</w:t>
      </w:r>
    </w:p>
    <w:p w14:paraId="0F79B115" w14:textId="45BC847C" w:rsidR="0011123A" w:rsidRDefault="00C15A46" w:rsidP="0011123A">
      <w:pPr>
        <w:pStyle w:val="ListParagraph"/>
        <w:numPr>
          <w:ilvl w:val="1"/>
          <w:numId w:val="1"/>
        </w:numPr>
        <w:ind w:left="1134"/>
      </w:pPr>
      <w:r>
        <w:t xml:space="preserve">Long-standing company = </w:t>
      </w:r>
      <w:r w:rsidRPr="00EB55FD">
        <w:rPr>
          <w:rFonts w:asciiTheme="majorHAnsi" w:hAnsiTheme="majorHAnsi"/>
          <w:sz w:val="15"/>
          <w:szCs w:val="15"/>
        </w:rPr>
        <w:sym w:font="Wingdings" w:char="F0E1"/>
      </w:r>
      <w:r>
        <w:t>ease of establishing goodwill</w:t>
      </w:r>
    </w:p>
    <w:p w14:paraId="0D454F08" w14:textId="77777777" w:rsidR="00C15A46" w:rsidRDefault="0011123A" w:rsidP="0011123A">
      <w:pPr>
        <w:pStyle w:val="ListParagraph"/>
      </w:pPr>
      <w:r>
        <w:lastRenderedPageBreak/>
        <w:t xml:space="preserve">The </w:t>
      </w:r>
      <w:r w:rsidRPr="0011123A">
        <w:rPr>
          <w:b/>
        </w:rPr>
        <w:t>degree of distinctiveness</w:t>
      </w:r>
      <w:r>
        <w:t xml:space="preserve"> of the mark</w:t>
      </w:r>
      <w:r w:rsidR="00C15A46">
        <w:t xml:space="preserve"> </w:t>
      </w:r>
    </w:p>
    <w:p w14:paraId="4A8B3A2F" w14:textId="02A4C929" w:rsidR="0011123A" w:rsidRDefault="00C15A46" w:rsidP="0011123A">
      <w:pPr>
        <w:pStyle w:val="ListParagraph"/>
        <w:numPr>
          <w:ilvl w:val="1"/>
          <w:numId w:val="1"/>
        </w:numPr>
        <w:ind w:left="1134"/>
      </w:pPr>
      <w:r>
        <w:rPr>
          <w:i/>
          <w:color w:val="FF0000"/>
        </w:rPr>
        <w:t xml:space="preserve">Ray </w:t>
      </w:r>
      <w:r w:rsidRPr="00C77D95">
        <w:rPr>
          <w:i/>
          <w:color w:val="FF0000"/>
        </w:rPr>
        <w:t>Plastics</w:t>
      </w:r>
      <w:r>
        <w:t>: appearance alone may establish goodwill</w:t>
      </w:r>
    </w:p>
    <w:p w14:paraId="20CF0879" w14:textId="0C29F904" w:rsidR="0011123A" w:rsidRDefault="0011123A" w:rsidP="00E72757">
      <w:pPr>
        <w:pStyle w:val="ListParagraph"/>
      </w:pPr>
      <w:r>
        <w:t xml:space="preserve">The </w:t>
      </w:r>
      <w:r w:rsidRPr="0011123A">
        <w:rPr>
          <w:b/>
        </w:rPr>
        <w:t>volume of publicity/sales</w:t>
      </w:r>
      <w:r w:rsidR="00E72757">
        <w:t xml:space="preserve"> </w:t>
      </w:r>
      <w:r>
        <w:t>or π’</w:t>
      </w:r>
      <w:r w:rsidR="00E72757">
        <w:t>s market share (s</w:t>
      </w:r>
      <w:r w:rsidR="00C15A46">
        <w:t xml:space="preserve">ignificant market share = </w:t>
      </w:r>
      <w:r w:rsidR="00C15A46" w:rsidRPr="00EB55FD">
        <w:rPr>
          <w:rFonts w:asciiTheme="majorHAnsi" w:hAnsiTheme="majorHAnsi"/>
          <w:sz w:val="15"/>
          <w:szCs w:val="15"/>
        </w:rPr>
        <w:sym w:font="Wingdings" w:char="F0E1"/>
      </w:r>
      <w:r w:rsidR="00C15A46">
        <w:t>ease of establishing goodwill</w:t>
      </w:r>
      <w:r w:rsidR="00E72757">
        <w:t>)</w:t>
      </w:r>
    </w:p>
    <w:p w14:paraId="52498711" w14:textId="4EE851DC" w:rsidR="00E72757" w:rsidRDefault="00E72757" w:rsidP="0011123A">
      <w:pPr>
        <w:pStyle w:val="ListParagraph"/>
        <w:numPr>
          <w:ilvl w:val="1"/>
          <w:numId w:val="1"/>
        </w:numPr>
        <w:ind w:left="1134"/>
      </w:pPr>
      <w:r w:rsidRPr="00E72757">
        <w:rPr>
          <w:i/>
          <w:color w:val="FF0000"/>
        </w:rPr>
        <w:t>Ray Plastics</w:t>
      </w:r>
      <w:r>
        <w:t xml:space="preserve">: The fact that 50% of all sales were to Canadian Tire = </w:t>
      </w:r>
      <w:r>
        <w:rPr>
          <w:i/>
        </w:rPr>
        <w:t>substantial sales</w:t>
      </w:r>
    </w:p>
    <w:p w14:paraId="785B21D1" w14:textId="77777777" w:rsidR="0011123A" w:rsidRPr="00C15A46" w:rsidRDefault="0011123A" w:rsidP="00145D30">
      <w:pPr>
        <w:rPr>
          <w:sz w:val="8"/>
          <w:szCs w:val="8"/>
        </w:rPr>
      </w:pPr>
    </w:p>
    <w:p w14:paraId="0C02E523" w14:textId="139AF372" w:rsidR="00D45271" w:rsidRDefault="00C15A46" w:rsidP="00145D30">
      <w:r w:rsidRPr="00C15A46">
        <w:rPr>
          <w:b/>
          <w:highlight w:val="yellow"/>
        </w:rPr>
        <w:t>The GEOGRAPHIC AMBIT of GOODWILL</w:t>
      </w:r>
      <w:r>
        <w:t xml:space="preserve"> </w:t>
      </w:r>
    </w:p>
    <w:p w14:paraId="794AAD04" w14:textId="52D3EF7C" w:rsidR="002A6E1D" w:rsidRDefault="002A6E1D" w:rsidP="00D45271">
      <w:pPr>
        <w:pStyle w:val="ListParagraph"/>
      </w:pPr>
      <w:r>
        <w:t xml:space="preserve">Since </w:t>
      </w:r>
      <w:r>
        <w:rPr>
          <w:b/>
        </w:rPr>
        <w:t>confusion</w:t>
      </w:r>
      <w:r>
        <w:t xml:space="preserve"> and </w:t>
      </w:r>
      <w:r>
        <w:rPr>
          <w:b/>
        </w:rPr>
        <w:t>misrepresentation</w:t>
      </w:r>
      <w:r>
        <w:t xml:space="preserve"> are the essence of the tort, it will be difficult for π to argue that customers were misled into thinking they were purchasing its products in a region where π’s goods/services are unknown</w:t>
      </w:r>
    </w:p>
    <w:p w14:paraId="05A28E93" w14:textId="279754EB" w:rsidR="00D45271" w:rsidRDefault="002A6E1D" w:rsidP="00D45271">
      <w:pPr>
        <w:pStyle w:val="ListParagraph"/>
      </w:pPr>
      <w:r>
        <w:rPr>
          <w:b/>
        </w:rPr>
        <w:t xml:space="preserve">E.g. </w:t>
      </w:r>
      <w:r w:rsidR="00D45271">
        <w:t>A company whose goods/services are well-known in BC, but not in ON, will not be protected at CL from another company offering similarly named or branded goods/services in ON</w:t>
      </w:r>
    </w:p>
    <w:p w14:paraId="3A7A14B0" w14:textId="77777777" w:rsidR="00D45271" w:rsidRPr="002A6E1D" w:rsidRDefault="00D45271" w:rsidP="00D45271">
      <w:pPr>
        <w:rPr>
          <w:sz w:val="8"/>
          <w:szCs w:val="8"/>
        </w:rPr>
      </w:pPr>
    </w:p>
    <w:p w14:paraId="48982FAD" w14:textId="65FEC14E" w:rsidR="00D45271" w:rsidRDefault="00D45271" w:rsidP="00D45271">
      <w:r w:rsidRPr="008523E6">
        <w:rPr>
          <w:b/>
          <w:highlight w:val="yellow"/>
        </w:rPr>
        <w:t>FOREIGN GOODWILL</w:t>
      </w:r>
      <w:r>
        <w:t xml:space="preserve"> </w:t>
      </w:r>
      <w:r>
        <w:sym w:font="Wingdings" w:char="F0E0"/>
      </w:r>
      <w:r w:rsidR="002A6E1D">
        <w:t xml:space="preserve"> Protection is only available where goodwill exists—thus, foreign companies may be protected (</w:t>
      </w:r>
      <w:proofErr w:type="spellStart"/>
      <w:r w:rsidR="002A6E1D" w:rsidRPr="002A6E1D">
        <w:rPr>
          <w:i/>
          <w:color w:val="FF0000"/>
        </w:rPr>
        <w:t>Orkin</w:t>
      </w:r>
      <w:proofErr w:type="spellEnd"/>
      <w:r w:rsidR="002A6E1D">
        <w:t>)</w:t>
      </w:r>
    </w:p>
    <w:p w14:paraId="66CF25F4" w14:textId="6366CA7A" w:rsidR="00166DD6" w:rsidRPr="002A6E1D" w:rsidRDefault="00166DD6" w:rsidP="00166DD6">
      <w:pPr>
        <w:pStyle w:val="ListParagraph"/>
      </w:pPr>
      <w:r>
        <w:t xml:space="preserve">In </w:t>
      </w:r>
      <w:proofErr w:type="spellStart"/>
      <w:r w:rsidRPr="00166DD6">
        <w:rPr>
          <w:i/>
          <w:color w:val="FF0000"/>
        </w:rPr>
        <w:t>Orkin</w:t>
      </w:r>
      <w:proofErr w:type="spellEnd"/>
      <w:r>
        <w:t xml:space="preserve">, the fact that ∆ decided to use π’s name </w:t>
      </w:r>
      <w:r w:rsidRPr="00166DD6">
        <w:rPr>
          <w:b/>
        </w:rPr>
        <w:t>inferred</w:t>
      </w:r>
      <w:r>
        <w:t xml:space="preserve"> that π had commercial value in Canada—customers would’ve req’d prior knowledge of π’s goodwill to have chosen to call via the telephone directory</w:t>
      </w:r>
    </w:p>
    <w:p w14:paraId="6CD93911" w14:textId="77777777" w:rsidR="00C15A46" w:rsidRPr="00C15A46" w:rsidRDefault="00C15A46" w:rsidP="00145D30">
      <w:pPr>
        <w:rPr>
          <w:sz w:val="8"/>
          <w:szCs w:val="8"/>
        </w:rPr>
      </w:pPr>
    </w:p>
    <w:p w14:paraId="2515A8D5" w14:textId="781678AD" w:rsidR="00485F50" w:rsidRDefault="002E7F82" w:rsidP="00C77D95">
      <w:r w:rsidRPr="002E7F82">
        <w:rPr>
          <w:b/>
          <w:highlight w:val="yellow"/>
        </w:rPr>
        <w:t>GOODWILL in APPEARANCE</w:t>
      </w:r>
      <w:r w:rsidR="00C77D95">
        <w:t xml:space="preserve"> </w:t>
      </w:r>
      <w:r w:rsidR="00C77D95">
        <w:sym w:font="Wingdings" w:char="F0E0"/>
      </w:r>
      <w:r w:rsidR="00C77D95">
        <w:t xml:space="preserve"> </w:t>
      </w:r>
      <w:r w:rsidR="00485F50">
        <w:t>C</w:t>
      </w:r>
      <w:r w:rsidR="00E81C17">
        <w:t>ases involving</w:t>
      </w:r>
      <w:r w:rsidR="00C77D95">
        <w:t xml:space="preserve"> the whole visible external appearance</w:t>
      </w:r>
      <w:r w:rsidR="00E81C17">
        <w:t xml:space="preserve"> of the goods (or “get-up”)</w:t>
      </w:r>
    </w:p>
    <w:p w14:paraId="11207B03" w14:textId="08D8C911" w:rsidR="00485F50" w:rsidRDefault="00485F50" w:rsidP="00485F50">
      <w:pPr>
        <w:pStyle w:val="ListParagraph"/>
      </w:pPr>
      <w:r>
        <w:rPr>
          <w:b/>
        </w:rPr>
        <w:t>Rule:</w:t>
      </w:r>
      <w:r>
        <w:t xml:space="preserve"> π must establish that the product’s particularly </w:t>
      </w:r>
      <w:r>
        <w:rPr>
          <w:b/>
          <w:u w:val="single"/>
        </w:rPr>
        <w:t>distinctive</w:t>
      </w:r>
      <w:r>
        <w:t xml:space="preserve"> appearance would lead consumers to associate the product with π as the particular trade source</w:t>
      </w:r>
    </w:p>
    <w:p w14:paraId="1AEAA1DB" w14:textId="24053E14" w:rsidR="00485F50" w:rsidRDefault="00485F50" w:rsidP="00485F50">
      <w:pPr>
        <w:pStyle w:val="ListParagraph"/>
        <w:numPr>
          <w:ilvl w:val="1"/>
          <w:numId w:val="1"/>
        </w:numPr>
        <w:ind w:left="1134"/>
      </w:pPr>
      <w:r>
        <w:t xml:space="preserve">In </w:t>
      </w:r>
      <w:r w:rsidRPr="00C3405C">
        <w:rPr>
          <w:i/>
          <w:color w:val="FF0000"/>
        </w:rPr>
        <w:t>Ray Plastics</w:t>
      </w:r>
      <w:r>
        <w:t>, Austin JA adopted the definition of “</w:t>
      </w:r>
      <w:r>
        <w:rPr>
          <w:b/>
        </w:rPr>
        <w:t>distinctive</w:t>
      </w:r>
      <w:r>
        <w:t xml:space="preserve">” from </w:t>
      </w:r>
      <w:r w:rsidRPr="00C3405C">
        <w:rPr>
          <w:i/>
          <w:color w:val="FF0000"/>
        </w:rPr>
        <w:t>Roche Products v Berk</w:t>
      </w:r>
      <w:r>
        <w:t xml:space="preserve">: the appearance must be </w:t>
      </w:r>
      <w:r w:rsidRPr="00C3405C">
        <w:rPr>
          <w:i/>
        </w:rPr>
        <w:t>novel</w:t>
      </w:r>
      <w:r>
        <w:t xml:space="preserve">, </w:t>
      </w:r>
      <w:r w:rsidRPr="00C3405C">
        <w:rPr>
          <w:i/>
        </w:rPr>
        <w:t>striking</w:t>
      </w:r>
      <w:r>
        <w:t xml:space="preserve">, or </w:t>
      </w:r>
      <w:r w:rsidRPr="00C3405C">
        <w:rPr>
          <w:i/>
        </w:rPr>
        <w:t>unusual</w:t>
      </w:r>
      <w:r>
        <w:t xml:space="preserve"> in some way making it easier to establish the association</w:t>
      </w:r>
    </w:p>
    <w:p w14:paraId="1AB4A105" w14:textId="77777777" w:rsidR="00485F50" w:rsidRDefault="00485F50" w:rsidP="00485F50">
      <w:pPr>
        <w:pStyle w:val="ListParagraph"/>
      </w:pPr>
      <w:r>
        <w:rPr>
          <w:b/>
        </w:rPr>
        <w:t xml:space="preserve">Exception: </w:t>
      </w:r>
      <w:r>
        <w:t>A distinctive feature that’s essential to the proper functioning of the product can’t be a “mark”—the law of passing-off doesn’t confer a monopoly over functional features (</w:t>
      </w:r>
      <w:r w:rsidRPr="00485F50">
        <w:rPr>
          <w:i/>
          <w:color w:val="FF0000"/>
        </w:rPr>
        <w:t>Ray Plastics</w:t>
      </w:r>
      <w:r>
        <w:t>)</w:t>
      </w:r>
    </w:p>
    <w:p w14:paraId="56C1C4C2" w14:textId="370D9F8A" w:rsidR="00485F50" w:rsidRDefault="00485F50" w:rsidP="00485F50">
      <w:pPr>
        <w:pStyle w:val="ListParagraph"/>
        <w:numPr>
          <w:ilvl w:val="1"/>
          <w:numId w:val="1"/>
        </w:numPr>
        <w:ind w:left="1134"/>
      </w:pPr>
      <w:r w:rsidRPr="00485F50">
        <w:rPr>
          <w:i/>
          <w:color w:val="FF0000"/>
        </w:rPr>
        <w:t>Ray Plastics</w:t>
      </w:r>
      <w:r>
        <w:t xml:space="preserve">: The Snow Trooper’s distinctive appearance was a result of a choice of colours ≠ essential to the product </w:t>
      </w:r>
    </w:p>
    <w:p w14:paraId="2F452528" w14:textId="6C0F5430" w:rsidR="00E72757" w:rsidRDefault="00E72757" w:rsidP="008523E6">
      <w:pPr>
        <w:pStyle w:val="ListParagraph"/>
      </w:pPr>
      <w:r>
        <w:t xml:space="preserve">It doesn’t matter whether consumers know the </w:t>
      </w:r>
      <w:r>
        <w:rPr>
          <w:b/>
          <w:i/>
        </w:rPr>
        <w:t xml:space="preserve">identity </w:t>
      </w:r>
      <w:r>
        <w:t xml:space="preserve">of the trade source behind the product so long as they hold the belief that it came from the </w:t>
      </w:r>
      <w:r>
        <w:rPr>
          <w:b/>
          <w:i/>
        </w:rPr>
        <w:t xml:space="preserve">same source </w:t>
      </w:r>
      <w:r>
        <w:t>(</w:t>
      </w:r>
      <w:r w:rsidRPr="00E72757">
        <w:rPr>
          <w:i/>
          <w:color w:val="FF0000"/>
        </w:rPr>
        <w:t>Ray Plastics</w:t>
      </w:r>
      <w:r>
        <w:t>)</w:t>
      </w:r>
    </w:p>
    <w:p w14:paraId="6988CADD" w14:textId="7D77A6B2" w:rsidR="00DB15F1" w:rsidRDefault="00DB15F1" w:rsidP="007347AD">
      <w:pPr>
        <w:pStyle w:val="ListParagraph"/>
        <w:numPr>
          <w:ilvl w:val="1"/>
          <w:numId w:val="1"/>
        </w:numPr>
        <w:ind w:left="1134"/>
      </w:pPr>
      <w:r>
        <w:t xml:space="preserve">In </w:t>
      </w:r>
      <w:r w:rsidRPr="00485F50">
        <w:rPr>
          <w:i/>
          <w:color w:val="FF0000"/>
        </w:rPr>
        <w:t>Ray Plastics</w:t>
      </w:r>
      <w:r>
        <w:t>, it was enough that consumers might have returned to purchase another black and yellow brush thinkin</w:t>
      </w:r>
      <w:r w:rsidR="00485F50">
        <w:t>g it was the Snow Trooper, regardless of whether they could identify the manufacturer</w:t>
      </w:r>
    </w:p>
    <w:p w14:paraId="0F7623CA" w14:textId="77777777" w:rsidR="00E72757" w:rsidRDefault="00E72757" w:rsidP="00E72757">
      <w:pPr>
        <w:pStyle w:val="ListParagraph"/>
      </w:pPr>
      <w:r w:rsidRPr="00EB55FD">
        <w:rPr>
          <w:rFonts w:asciiTheme="majorHAnsi" w:hAnsiTheme="majorHAnsi"/>
          <w:sz w:val="15"/>
          <w:szCs w:val="15"/>
        </w:rPr>
        <w:sym w:font="Wingdings" w:char="F0E1"/>
      </w:r>
      <w:r>
        <w:t xml:space="preserve">distinctiveness of product = </w:t>
      </w:r>
      <w:r w:rsidRPr="00EB55FD">
        <w:rPr>
          <w:rFonts w:asciiTheme="majorHAnsi" w:hAnsiTheme="majorHAnsi"/>
          <w:sz w:val="15"/>
          <w:szCs w:val="15"/>
        </w:rPr>
        <w:sym w:font="Wingdings" w:char="F0E1"/>
      </w:r>
      <w:r>
        <w:t xml:space="preserve">ease of showing that consumers would believe it came from the same source = </w:t>
      </w:r>
      <w:r w:rsidRPr="00EB55FD">
        <w:rPr>
          <w:rFonts w:asciiTheme="majorHAnsi" w:hAnsiTheme="majorHAnsi"/>
          <w:sz w:val="15"/>
          <w:szCs w:val="15"/>
        </w:rPr>
        <w:sym w:font="Wingdings" w:char="F0E1"/>
      </w:r>
      <w:r>
        <w:t xml:space="preserve">ease of establishing goodwill </w:t>
      </w:r>
    </w:p>
    <w:p w14:paraId="6810EADF" w14:textId="4247A9CA" w:rsidR="00E72757" w:rsidRPr="00E72757" w:rsidRDefault="00E72757" w:rsidP="00E72757">
      <w:pPr>
        <w:pStyle w:val="ListParagraph"/>
        <w:numPr>
          <w:ilvl w:val="0"/>
          <w:numId w:val="0"/>
        </w:numPr>
        <w:ind w:left="426"/>
        <w:rPr>
          <w:sz w:val="8"/>
          <w:szCs w:val="8"/>
        </w:rPr>
      </w:pPr>
      <w:r w:rsidRPr="00E72757">
        <w:rPr>
          <w:sz w:val="8"/>
          <w:szCs w:val="8"/>
        </w:rPr>
        <w:t xml:space="preserve"> </w:t>
      </w:r>
    </w:p>
    <w:p w14:paraId="15315B2B" w14:textId="0C3AA821" w:rsidR="00E72757" w:rsidRPr="00E72757" w:rsidRDefault="008523E6" w:rsidP="008523E6">
      <w:r w:rsidRPr="00AA7736">
        <w:rPr>
          <w:b/>
          <w:highlight w:val="yellow"/>
        </w:rPr>
        <w:t>SHARED GOODWILL</w:t>
      </w:r>
      <w:r>
        <w:t xml:space="preserve"> </w:t>
      </w:r>
      <w:r>
        <w:sym w:font="Wingdings" w:char="F0E0"/>
      </w:r>
      <w:r w:rsidR="00E72757">
        <w:t xml:space="preserve"> </w:t>
      </w:r>
      <w:proofErr w:type="spellStart"/>
      <w:r w:rsidR="00E72757" w:rsidRPr="00E72757">
        <w:rPr>
          <w:i/>
          <w:color w:val="FF0000"/>
        </w:rPr>
        <w:t>Institut</w:t>
      </w:r>
      <w:proofErr w:type="spellEnd"/>
      <w:r w:rsidR="00E72757" w:rsidRPr="00E72757">
        <w:rPr>
          <w:i/>
          <w:color w:val="FF0000"/>
        </w:rPr>
        <w:t xml:space="preserve"> national </w:t>
      </w:r>
      <w:r w:rsidR="00E72757">
        <w:t>affirmed the concept of “shared goodwill”:</w:t>
      </w:r>
      <w:r w:rsidR="00EA675D">
        <w:t xml:space="preserve"> </w:t>
      </w:r>
      <w:r w:rsidR="00E72757">
        <w:t xml:space="preserve">π is entitled to bring an action in passing-off when the alleged misrepresentation relates not to the goods/services of a </w:t>
      </w:r>
      <w:r w:rsidR="00E72757">
        <w:rPr>
          <w:i/>
        </w:rPr>
        <w:t xml:space="preserve">particular </w:t>
      </w:r>
      <w:r w:rsidR="00E72757">
        <w:t xml:space="preserve">trader, but of a </w:t>
      </w:r>
      <w:r w:rsidR="00E72757">
        <w:rPr>
          <w:i/>
        </w:rPr>
        <w:t xml:space="preserve">group </w:t>
      </w:r>
      <w:r w:rsidR="00E72757">
        <w:t>of traders</w:t>
      </w:r>
    </w:p>
    <w:p w14:paraId="6584F01C" w14:textId="37EF2958" w:rsidR="008523E6" w:rsidRDefault="00E72757" w:rsidP="00E72757">
      <w:pPr>
        <w:pStyle w:val="ListParagraph"/>
      </w:pPr>
      <w:r>
        <w:rPr>
          <w:b/>
        </w:rPr>
        <w:t xml:space="preserve">Premise: </w:t>
      </w:r>
      <w:r w:rsidR="008E25CF">
        <w:t xml:space="preserve">A </w:t>
      </w:r>
      <w:r>
        <w:t>mark</w:t>
      </w:r>
      <w:r w:rsidR="008E25CF">
        <w:t xml:space="preserve"> may be distinctive of a certain kind of quality of goods/serves that’s unique to a defined group of traders</w:t>
      </w:r>
    </w:p>
    <w:p w14:paraId="529A98BF" w14:textId="2BD36A96" w:rsidR="00C12AED" w:rsidRDefault="008E25CF" w:rsidP="00C12AED">
      <w:pPr>
        <w:pStyle w:val="ListParagraph"/>
      </w:pPr>
      <w:r>
        <w:t>No trader can claim the mark as his own, but all may have an interest in preventing others from using the mark to identify wares/services that are of a different kind of quality (</w:t>
      </w:r>
      <w:proofErr w:type="spellStart"/>
      <w:r w:rsidRPr="008E25CF">
        <w:rPr>
          <w:i/>
          <w:color w:val="FF0000"/>
        </w:rPr>
        <w:t>Institut</w:t>
      </w:r>
      <w:proofErr w:type="spellEnd"/>
      <w:r w:rsidRPr="008E25CF">
        <w:rPr>
          <w:i/>
          <w:color w:val="FF0000"/>
        </w:rPr>
        <w:t xml:space="preserve"> national</w:t>
      </w:r>
      <w:r>
        <w:t>)</w:t>
      </w:r>
    </w:p>
    <w:p w14:paraId="68ACBF07" w14:textId="412B28BE" w:rsidR="00C12AED" w:rsidRDefault="00C12AED" w:rsidP="00C12AED">
      <w:pPr>
        <w:pStyle w:val="ListParagraph"/>
      </w:pPr>
      <w:r>
        <w:t xml:space="preserve">Shared goodwill is a </w:t>
      </w:r>
      <w:r w:rsidRPr="00C12AED">
        <w:rPr>
          <w:b/>
        </w:rPr>
        <w:t>severable</w:t>
      </w:r>
      <w:r>
        <w:t>, yet shared, right—everyone is claiming on their own behalf (as opposed to a class action, where a repetitive claim is advanced on behalf of an unnamed person belonging to a particular class)</w:t>
      </w:r>
    </w:p>
    <w:p w14:paraId="715C1020" w14:textId="1F3F1879" w:rsidR="00C12AED" w:rsidRPr="00EA675D" w:rsidRDefault="00C12AED" w:rsidP="008E25CF">
      <w:pPr>
        <w:pStyle w:val="ListParagraph"/>
      </w:pPr>
      <w:r>
        <w:t>The concept of “</w:t>
      </w:r>
      <w:r>
        <w:rPr>
          <w:b/>
        </w:rPr>
        <w:t>shared goodwill</w:t>
      </w:r>
      <w:r>
        <w:t xml:space="preserve">” was indirectly approved by the SCC in </w:t>
      </w:r>
      <w:r w:rsidRPr="00C12AED">
        <w:rPr>
          <w:i/>
          <w:color w:val="FF0000"/>
        </w:rPr>
        <w:t>Consumers Distributing v Seiko Time</w:t>
      </w:r>
      <w:r>
        <w:rPr>
          <w:color w:val="FF0000"/>
        </w:rPr>
        <w:t>,</w:t>
      </w:r>
      <w:r w:rsidRPr="00C12AED">
        <w:rPr>
          <w:i/>
          <w:color w:val="FF0000"/>
        </w:rPr>
        <w:t xml:space="preserve"> </w:t>
      </w:r>
      <w:r>
        <w:rPr>
          <w:color w:val="FF0000"/>
        </w:rPr>
        <w:t>[</w:t>
      </w:r>
      <w:r w:rsidRPr="00C12AED">
        <w:rPr>
          <w:color w:val="FF0000"/>
        </w:rPr>
        <w:t>198</w:t>
      </w:r>
      <w:r>
        <w:rPr>
          <w:color w:val="FF0000"/>
        </w:rPr>
        <w:t>4]</w:t>
      </w:r>
    </w:p>
    <w:p w14:paraId="37FC4EF8" w14:textId="77777777" w:rsidR="008523E6" w:rsidRPr="008523E6" w:rsidRDefault="008523E6" w:rsidP="008523E6">
      <w:pPr>
        <w:rPr>
          <w:b/>
          <w:sz w:val="8"/>
          <w:szCs w:val="8"/>
        </w:rPr>
      </w:pPr>
    </w:p>
    <w:p w14:paraId="54018891" w14:textId="7D02B255" w:rsidR="008523E6" w:rsidRDefault="008523E6" w:rsidP="008523E6">
      <w:r w:rsidRPr="00EA675D">
        <w:rPr>
          <w:b/>
          <w:highlight w:val="yellow"/>
        </w:rPr>
        <w:t>SECONDARY SIGNIFICANCE</w:t>
      </w:r>
      <w:r>
        <w:t xml:space="preserve"> </w:t>
      </w:r>
      <w:r>
        <w:sym w:font="Wingdings" w:char="F0E0"/>
      </w:r>
      <w:r w:rsidR="00EA675D">
        <w:t xml:space="preserve"> </w:t>
      </w:r>
      <w:proofErr w:type="spellStart"/>
      <w:r w:rsidR="00EA675D" w:rsidRPr="00EA675D">
        <w:rPr>
          <w:i/>
          <w:color w:val="FF0000"/>
        </w:rPr>
        <w:t>Reddaway</w:t>
      </w:r>
      <w:proofErr w:type="spellEnd"/>
      <w:r w:rsidR="00EA675D" w:rsidRPr="00EA675D">
        <w:rPr>
          <w:i/>
          <w:color w:val="FF0000"/>
        </w:rPr>
        <w:t xml:space="preserve"> </w:t>
      </w:r>
      <w:r w:rsidR="00EA675D">
        <w:t xml:space="preserve">confirmed that goodwill can be established in a </w:t>
      </w:r>
      <w:r w:rsidR="00EA675D">
        <w:rPr>
          <w:b/>
        </w:rPr>
        <w:t>descriptive name</w:t>
      </w:r>
      <w:r w:rsidR="00EA675D">
        <w:t xml:space="preserve"> (e.g. “camel hair”) if π can establish that, over time, goodwill has been developed as a secondary meaning</w:t>
      </w:r>
    </w:p>
    <w:p w14:paraId="5B447547" w14:textId="3DC9C613" w:rsidR="00205B19" w:rsidRPr="00312357" w:rsidRDefault="00205B19" w:rsidP="00205B19">
      <w:pPr>
        <w:pStyle w:val="ListParagraph"/>
        <w:rPr>
          <w:b/>
        </w:rPr>
      </w:pPr>
      <w:r>
        <w:rPr>
          <w:b/>
        </w:rPr>
        <w:t>If goodwill is established:</w:t>
      </w:r>
      <w:r>
        <w:t xml:space="preserve"> Other manufacturers can still use the</w:t>
      </w:r>
      <w:r w:rsidRPr="00205B19">
        <w:t xml:space="preserve"> descriptive name, but they can’t use it in a way that is calculated to </w:t>
      </w:r>
      <w:r w:rsidRPr="00205B19">
        <w:rPr>
          <w:i/>
        </w:rPr>
        <w:t>mislead</w:t>
      </w:r>
      <w:r w:rsidRPr="00205B19">
        <w:t xml:space="preserve"> the public</w:t>
      </w:r>
      <w:r>
        <w:t xml:space="preserve"> (</w:t>
      </w:r>
      <w:proofErr w:type="spellStart"/>
      <w:r w:rsidRPr="00205B19">
        <w:rPr>
          <w:i/>
          <w:color w:val="FF0000"/>
        </w:rPr>
        <w:t>Reddaway</w:t>
      </w:r>
      <w:proofErr w:type="spellEnd"/>
      <w:r>
        <w:t>)</w:t>
      </w:r>
    </w:p>
    <w:p w14:paraId="15C938C0" w14:textId="1AF4AE44" w:rsidR="00312357" w:rsidRPr="00205B19" w:rsidRDefault="00312357" w:rsidP="00205B19">
      <w:pPr>
        <w:pStyle w:val="ListParagraph"/>
        <w:rPr>
          <w:b/>
        </w:rPr>
      </w:pPr>
      <w:r>
        <w:rPr>
          <w:b/>
        </w:rPr>
        <w:t>Rationale:</w:t>
      </w:r>
      <w:r>
        <w:t xml:space="preserve"> Although an individual has no right to restrain another from using a common English word because he has chosen to employ it as his mark, he has a right to insist that it not be used as an instrument of fraud (</w:t>
      </w:r>
      <w:proofErr w:type="spellStart"/>
      <w:r w:rsidRPr="00312357">
        <w:rPr>
          <w:i/>
          <w:color w:val="FF0000"/>
        </w:rPr>
        <w:t>Reddaway</w:t>
      </w:r>
      <w:proofErr w:type="spellEnd"/>
      <w:r>
        <w:t>)</w:t>
      </w:r>
    </w:p>
    <w:p w14:paraId="0BE2F253" w14:textId="5DB09B58" w:rsidR="00205B19" w:rsidRDefault="00205B19" w:rsidP="00205B19">
      <w:pPr>
        <w:pStyle w:val="ListParagraph"/>
      </w:pPr>
      <w:r>
        <w:rPr>
          <w:b/>
        </w:rPr>
        <w:t>Risk:</w:t>
      </w:r>
      <w:r>
        <w:t xml:space="preserve"> A trader who uses only descriptive terms risks not acquiring goodwill or reputation</w:t>
      </w:r>
    </w:p>
    <w:p w14:paraId="7757975B" w14:textId="5BFD0C2E" w:rsidR="00312357" w:rsidRDefault="00312357" w:rsidP="00205B19">
      <w:pPr>
        <w:pStyle w:val="ListParagraph"/>
      </w:pPr>
      <w:proofErr w:type="spellStart"/>
      <w:r w:rsidRPr="00312357">
        <w:rPr>
          <w:b/>
          <w:i/>
          <w:color w:val="FF0000"/>
        </w:rPr>
        <w:t>Reddaway</w:t>
      </w:r>
      <w:proofErr w:type="spellEnd"/>
      <w:r>
        <w:rPr>
          <w:b/>
        </w:rPr>
        <w:t>:</w:t>
      </w:r>
      <w:r>
        <w:t xml:space="preserve"> </w:t>
      </w:r>
      <w:proofErr w:type="spellStart"/>
      <w:r>
        <w:t>Herschell</w:t>
      </w:r>
      <w:proofErr w:type="spellEnd"/>
      <w:r>
        <w:t xml:space="preserve"> LJ determined that “camel hair” had acquired a secondary significance—not only did it convey that the products were made of camel hair, but it also led consumers to believe they were obtaining goods manufactured by π </w:t>
      </w:r>
    </w:p>
    <w:p w14:paraId="37CE15FC" w14:textId="259471B7" w:rsidR="00312357" w:rsidRPr="00EA675D" w:rsidRDefault="00312357" w:rsidP="00312357">
      <w:pPr>
        <w:pStyle w:val="ListParagraph"/>
        <w:numPr>
          <w:ilvl w:val="1"/>
          <w:numId w:val="1"/>
        </w:numPr>
        <w:ind w:left="993" w:hanging="284"/>
      </w:pPr>
      <w:r>
        <w:t xml:space="preserve">If ∆ is entitled to lead purchasers to believe that they’re getting π’s manufacture when they aren’t, and thus to cheat π of some of its legitimate trade, I should regret to find that the law was powerless to enforce the most elementary principles of </w:t>
      </w:r>
      <w:r w:rsidRPr="00312357">
        <w:rPr>
          <w:b/>
          <w:u w:val="single"/>
        </w:rPr>
        <w:t>commercial morality</w:t>
      </w:r>
    </w:p>
    <w:p w14:paraId="59E102F5" w14:textId="77777777" w:rsidR="008523E6" w:rsidRPr="008523E6" w:rsidRDefault="008523E6" w:rsidP="008523E6">
      <w:pPr>
        <w:rPr>
          <w:b/>
          <w:sz w:val="8"/>
          <w:szCs w:val="8"/>
        </w:rPr>
      </w:pPr>
    </w:p>
    <w:p w14:paraId="080BD71D" w14:textId="6CE51C9E" w:rsidR="008523E6" w:rsidRDefault="008523E6" w:rsidP="008523E6">
      <w:r w:rsidRPr="0010769C">
        <w:rPr>
          <w:b/>
          <w:highlight w:val="yellow"/>
        </w:rPr>
        <w:t>LOSS of GOODWILL</w:t>
      </w:r>
      <w:r>
        <w:t xml:space="preserve"> </w:t>
      </w:r>
      <w:r>
        <w:sym w:font="Wingdings" w:char="F0E0"/>
      </w:r>
      <w:r w:rsidR="007A0130">
        <w:t xml:space="preserve"> </w:t>
      </w:r>
      <w:proofErr w:type="spellStart"/>
      <w:r w:rsidR="007A0130">
        <w:t>Goodwill</w:t>
      </w:r>
      <w:proofErr w:type="spellEnd"/>
      <w:r w:rsidR="007A0130">
        <w:t xml:space="preserve"> can be lost by:</w:t>
      </w:r>
    </w:p>
    <w:p w14:paraId="2C5FA90D" w14:textId="4B4D9F72" w:rsidR="007A0130" w:rsidRDefault="0010769C" w:rsidP="007A0130">
      <w:pPr>
        <w:pStyle w:val="ListParagraph"/>
      </w:pPr>
      <w:r>
        <w:t xml:space="preserve">Gradual </w:t>
      </w:r>
      <w:r>
        <w:rPr>
          <w:b/>
        </w:rPr>
        <w:t>a</w:t>
      </w:r>
      <w:r w:rsidR="007A0130">
        <w:rPr>
          <w:b/>
        </w:rPr>
        <w:t>cquiescence</w:t>
      </w:r>
      <w:r w:rsidR="007A0130">
        <w:t xml:space="preserve"> to co</w:t>
      </w:r>
      <w:r>
        <w:t xml:space="preserve">mpetitors using an identical/similar mark </w:t>
      </w:r>
      <w:r w:rsidR="007A0130">
        <w:t xml:space="preserve">such that it’s no longer distinctive of π </w:t>
      </w:r>
      <w:r>
        <w:t>as a trade source</w:t>
      </w:r>
    </w:p>
    <w:p w14:paraId="15D5BC34" w14:textId="1E168395" w:rsidR="007A0130" w:rsidRDefault="007A0130" w:rsidP="007A0130">
      <w:pPr>
        <w:pStyle w:val="ListParagraph"/>
      </w:pPr>
      <w:r>
        <w:t xml:space="preserve">If the mark becomes </w:t>
      </w:r>
      <w:r>
        <w:rPr>
          <w:b/>
        </w:rPr>
        <w:t>generic</w:t>
      </w:r>
      <w:r>
        <w:t xml:space="preserve"> over time (e.g. Kleenex)</w:t>
      </w:r>
    </w:p>
    <w:p w14:paraId="2F712A60" w14:textId="25D28BE7" w:rsidR="007A0130" w:rsidRDefault="007A0130" w:rsidP="007A0130">
      <w:pPr>
        <w:pStyle w:val="ListParagraph"/>
        <w:numPr>
          <w:ilvl w:val="1"/>
          <w:numId w:val="1"/>
        </w:numPr>
        <w:ind w:left="1134"/>
      </w:pPr>
      <w:r>
        <w:rPr>
          <w:b/>
        </w:rPr>
        <w:t>Generic:</w:t>
      </w:r>
      <w:r>
        <w:t xml:space="preserve"> A mark becomes generic when it is treated by consumers as the name of the product itself rather than as a mark indicating a particular trade source for the product</w:t>
      </w:r>
    </w:p>
    <w:p w14:paraId="194DF470" w14:textId="7FB1911B" w:rsidR="007A0130" w:rsidRDefault="007A0130" w:rsidP="007A0130">
      <w:pPr>
        <w:pStyle w:val="ListParagraph"/>
        <w:numPr>
          <w:ilvl w:val="1"/>
          <w:numId w:val="1"/>
        </w:numPr>
        <w:ind w:left="1134"/>
      </w:pPr>
      <w:r>
        <w:rPr>
          <w:b/>
        </w:rPr>
        <w:lastRenderedPageBreak/>
        <w:t>Test</w:t>
      </w:r>
      <w:r>
        <w:t xml:space="preserve"> (</w:t>
      </w:r>
      <w:r w:rsidRPr="007A0130">
        <w:rPr>
          <w:u w:val="single"/>
        </w:rPr>
        <w:t>strict</w:t>
      </w:r>
      <w:r>
        <w:t>)</w:t>
      </w:r>
      <w:r>
        <w:rPr>
          <w:b/>
        </w:rPr>
        <w:t>:</w:t>
      </w:r>
      <w:r>
        <w:t xml:space="preserve"> The term must </w:t>
      </w:r>
      <w:r>
        <w:rPr>
          <w:u w:val="single"/>
        </w:rPr>
        <w:t>completely lose</w:t>
      </w:r>
      <w:r>
        <w:t xml:space="preserve"> its distinctive nature and be </w:t>
      </w:r>
      <w:r>
        <w:rPr>
          <w:u w:val="single"/>
        </w:rPr>
        <w:t>wholly</w:t>
      </w:r>
      <w:r>
        <w:t xml:space="preserve"> used as a generic term (</w:t>
      </w:r>
      <w:proofErr w:type="spellStart"/>
      <w:r w:rsidRPr="007A0130">
        <w:rPr>
          <w:i/>
          <w:color w:val="FF0000"/>
        </w:rPr>
        <w:t>Institut</w:t>
      </w:r>
      <w:proofErr w:type="spellEnd"/>
      <w:r w:rsidRPr="007A0130">
        <w:rPr>
          <w:i/>
          <w:color w:val="FF0000"/>
        </w:rPr>
        <w:t xml:space="preserve"> national</w:t>
      </w:r>
      <w:r>
        <w:t>: “champagne” was found to be semi-generic, yet still retained goodwill)</w:t>
      </w:r>
    </w:p>
    <w:p w14:paraId="4150B3E8" w14:textId="2CBD0EDC" w:rsidR="00E72757" w:rsidRDefault="00E72757" w:rsidP="00E72757">
      <w:pPr>
        <w:pStyle w:val="ListParagraph"/>
        <w:numPr>
          <w:ilvl w:val="2"/>
          <w:numId w:val="1"/>
        </w:numPr>
        <w:ind w:left="1701" w:hanging="218"/>
      </w:pPr>
      <w:proofErr w:type="spellStart"/>
      <w:r>
        <w:rPr>
          <w:b/>
          <w:i/>
          <w:color w:val="FF0000"/>
        </w:rPr>
        <w:t>Institut</w:t>
      </w:r>
      <w:proofErr w:type="spellEnd"/>
      <w:r>
        <w:rPr>
          <w:b/>
          <w:i/>
          <w:color w:val="FF0000"/>
        </w:rPr>
        <w:t xml:space="preserve"> national</w:t>
      </w:r>
      <w:r>
        <w:rPr>
          <w:b/>
        </w:rPr>
        <w:t xml:space="preserve">: </w:t>
      </w:r>
      <w:proofErr w:type="spellStart"/>
      <w:r w:rsidR="00775D7C">
        <w:t>Dupont</w:t>
      </w:r>
      <w:proofErr w:type="spellEnd"/>
      <w:r w:rsidR="00775D7C">
        <w:t xml:space="preserve"> J</w:t>
      </w:r>
      <w:r>
        <w:t xml:space="preserve"> looked to modern dictionary definition of “champagne”</w:t>
      </w:r>
      <w:r w:rsidR="00CE209B">
        <w:t xml:space="preserve"> and</w:t>
      </w:r>
      <w:r>
        <w:t xml:space="preserve"> a public </w:t>
      </w:r>
      <w:r w:rsidR="00CE209B">
        <w:t xml:space="preserve">survey of ON residents in determining that the term hadn’t yet fallen into </w:t>
      </w:r>
      <w:r w:rsidR="00CE209B">
        <w:rPr>
          <w:i/>
        </w:rPr>
        <w:t xml:space="preserve">completely generic </w:t>
      </w:r>
      <w:r w:rsidR="00CE209B">
        <w:t>use</w:t>
      </w:r>
    </w:p>
    <w:p w14:paraId="1941B887" w14:textId="1549E52A" w:rsidR="0010769C" w:rsidRDefault="0010769C" w:rsidP="0010769C">
      <w:pPr>
        <w:pStyle w:val="ListParagraph"/>
      </w:pPr>
      <w:r>
        <w:t xml:space="preserve">If the mark is </w:t>
      </w:r>
      <w:r>
        <w:rPr>
          <w:b/>
        </w:rPr>
        <w:t>no longer used</w:t>
      </w:r>
      <w:r>
        <w:t xml:space="preserve"> </w:t>
      </w:r>
      <w:r w:rsidR="00CA0124">
        <w:t>(</w:t>
      </w:r>
      <w:r w:rsidR="00CA0124">
        <w:rPr>
          <w:i/>
          <w:color w:val="FF0000"/>
        </w:rPr>
        <w:t>Ad-Lib</w:t>
      </w:r>
      <w:r w:rsidR="00CA0124">
        <w:t>)</w:t>
      </w:r>
    </w:p>
    <w:p w14:paraId="6F71FF99" w14:textId="6716B952" w:rsidR="00CA0124" w:rsidRDefault="00CA0124" w:rsidP="00CA0124">
      <w:pPr>
        <w:pStyle w:val="ListParagraph"/>
        <w:numPr>
          <w:ilvl w:val="1"/>
          <w:numId w:val="1"/>
        </w:numPr>
        <w:ind w:left="1134"/>
      </w:pPr>
      <w:r>
        <w:rPr>
          <w:b/>
        </w:rPr>
        <w:t>Work-around:</w:t>
      </w:r>
      <w:r>
        <w:t xml:space="preserve"> Goodwill doesn’t necessarily expire when a trader ceases to carry on his business</w:t>
      </w:r>
      <w:r w:rsidR="001A4AC8">
        <w:t xml:space="preserve"> (</w:t>
      </w:r>
      <w:r w:rsidR="00E964E0" w:rsidRPr="00E964E0">
        <w:rPr>
          <w:i/>
          <w:color w:val="FF0000"/>
        </w:rPr>
        <w:t>Ad</w:t>
      </w:r>
      <w:r w:rsidR="001A4AC8" w:rsidRPr="00E964E0">
        <w:rPr>
          <w:i/>
          <w:color w:val="FF0000"/>
        </w:rPr>
        <w:t>-Lib</w:t>
      </w:r>
      <w:r w:rsidR="001A4AC8">
        <w:t>)</w:t>
      </w:r>
    </w:p>
    <w:p w14:paraId="362D0FC6" w14:textId="38732CA7" w:rsidR="00911A29" w:rsidRPr="00911A29" w:rsidRDefault="00E964E0" w:rsidP="00911A29">
      <w:pPr>
        <w:pStyle w:val="ListParagraph"/>
        <w:numPr>
          <w:ilvl w:val="2"/>
          <w:numId w:val="1"/>
        </w:numPr>
        <w:ind w:left="1701" w:hanging="218"/>
      </w:pPr>
      <w:r w:rsidRPr="00911A29">
        <w:rPr>
          <w:b/>
          <w:i/>
          <w:color w:val="FF0000"/>
        </w:rPr>
        <w:t>Ad-lib</w:t>
      </w:r>
      <w:r>
        <w:rPr>
          <w:b/>
        </w:rPr>
        <w:t xml:space="preserve">: </w:t>
      </w:r>
      <w:r>
        <w:t>π’s club operated for 2yrs</w:t>
      </w:r>
      <w:r w:rsidR="00911A29">
        <w:t xml:space="preserve"> until it was forced to close as a result of a permanent </w:t>
      </w:r>
      <w:proofErr w:type="spellStart"/>
      <w:r w:rsidR="00911A29">
        <w:t>inJx</w:t>
      </w:r>
      <w:proofErr w:type="spellEnd"/>
      <w:r w:rsidR="00911A29">
        <w:t xml:space="preserve">. π had since been seeking alternative premises to re-open the club. Newspaper article said the club would “re-open” this month; </w:t>
      </w:r>
      <w:proofErr w:type="spellStart"/>
      <w:r w:rsidR="00911A29" w:rsidRPr="00911A29">
        <w:rPr>
          <w:b/>
        </w:rPr>
        <w:t>Pennycuick</w:t>
      </w:r>
      <w:proofErr w:type="spellEnd"/>
      <w:r w:rsidR="00911A29" w:rsidRPr="00911A29">
        <w:rPr>
          <w:b/>
        </w:rPr>
        <w:t xml:space="preserve"> V-C:</w:t>
      </w:r>
    </w:p>
    <w:p w14:paraId="3584CD73" w14:textId="055FE91C" w:rsidR="00911A29" w:rsidRDefault="00911A29" w:rsidP="00911A29">
      <w:pPr>
        <w:pStyle w:val="ListParagraph"/>
        <w:numPr>
          <w:ilvl w:val="3"/>
          <w:numId w:val="1"/>
        </w:numPr>
        <w:ind w:left="2268" w:hanging="283"/>
      </w:pPr>
      <w:r>
        <w:t>Looked as though ∆ chose that name by reason of the reputation it acquired</w:t>
      </w:r>
    </w:p>
    <w:p w14:paraId="137B89BE" w14:textId="1BDA32E5" w:rsidR="00911A29" w:rsidRDefault="00911A29" w:rsidP="00911A29">
      <w:pPr>
        <w:pStyle w:val="ListParagraph"/>
        <w:numPr>
          <w:ilvl w:val="3"/>
          <w:numId w:val="1"/>
        </w:numPr>
        <w:ind w:left="2268" w:hanging="283"/>
      </w:pPr>
      <w:r>
        <w:t>Members of the public were likely to regard the new club as a continuation of π’s club</w:t>
      </w:r>
    </w:p>
    <w:p w14:paraId="10DED9FD" w14:textId="21A4D8EC" w:rsidR="005D45B0" w:rsidRPr="008523E6" w:rsidRDefault="00911A29" w:rsidP="005D45B0">
      <w:pPr>
        <w:pStyle w:val="ListParagraph"/>
        <w:numPr>
          <w:ilvl w:val="3"/>
          <w:numId w:val="1"/>
        </w:numPr>
        <w:ind w:left="2268" w:hanging="283"/>
      </w:pPr>
      <w:r>
        <w:t xml:space="preserve">The proper inference to be drawn from the evidence is that π has </w:t>
      </w:r>
      <w:r>
        <w:rPr>
          <w:b/>
          <w:u w:val="single"/>
        </w:rPr>
        <w:t>residual goodwill</w:t>
      </w:r>
      <w:r>
        <w:t xml:space="preserve"> to which the name is attached, and that goodwill is an asset of value in the hands of π which it is entitled to exploit in the future—it hasn’t been abandoned</w:t>
      </w:r>
    </w:p>
    <w:p w14:paraId="0F0E7772" w14:textId="77777777" w:rsidR="00C77D95" w:rsidRPr="008523E6" w:rsidRDefault="00C77D95" w:rsidP="00145D30">
      <w:pPr>
        <w:rPr>
          <w:sz w:val="8"/>
          <w:szCs w:val="8"/>
        </w:rPr>
      </w:pPr>
    </w:p>
    <w:p w14:paraId="71D9CF26" w14:textId="3F4F1267" w:rsidR="0011123A" w:rsidRDefault="0011123A" w:rsidP="00623BFF">
      <w:pPr>
        <w:pStyle w:val="Heading2"/>
      </w:pPr>
      <w:bookmarkStart w:id="2" w:name="_Toc480804597"/>
      <w:r>
        <w:t>#2: DECEPTION of the PUBLIC due to a MISREPRESENTATION</w:t>
      </w:r>
      <w:bookmarkEnd w:id="2"/>
    </w:p>
    <w:p w14:paraId="5B2D3E91" w14:textId="070CC747" w:rsidR="0011123A" w:rsidRDefault="00FD0537" w:rsidP="00145D30">
      <w:r>
        <w:t xml:space="preserve">π must establish that ∆ misrepresented his goods/services as those of π in a manner that was </w:t>
      </w:r>
      <w:r w:rsidRPr="00FD0537">
        <w:rPr>
          <w:i/>
        </w:rPr>
        <w:t>likely</w:t>
      </w:r>
      <w:r>
        <w:t xml:space="preserve"> to cause customer confusion</w:t>
      </w:r>
      <w:r w:rsidR="00F46B2F">
        <w:t>. A</w:t>
      </w:r>
      <w:r>
        <w:t>ctual confusion need not be proven</w:t>
      </w:r>
      <w:r w:rsidR="00F46B2F">
        <w:t>, but it’s not enough to show that ∆ is benefitting from using the mark—π must show that there is misrepresentation leading to actual or potential confusion</w:t>
      </w:r>
      <w:r>
        <w:t xml:space="preserve"> (</w:t>
      </w:r>
      <w:proofErr w:type="spellStart"/>
      <w:r w:rsidRPr="00FD0537">
        <w:rPr>
          <w:i/>
          <w:color w:val="FF0000"/>
        </w:rPr>
        <w:t>Institut</w:t>
      </w:r>
      <w:proofErr w:type="spellEnd"/>
      <w:r w:rsidRPr="00FD0537">
        <w:rPr>
          <w:i/>
          <w:color w:val="FF0000"/>
        </w:rPr>
        <w:t xml:space="preserve"> national</w:t>
      </w:r>
      <w:r>
        <w:t>).</w:t>
      </w:r>
    </w:p>
    <w:p w14:paraId="1045A38C" w14:textId="77777777" w:rsidR="00F46B2F" w:rsidRPr="00F46B2F" w:rsidRDefault="00F46B2F" w:rsidP="00145D30">
      <w:pPr>
        <w:rPr>
          <w:sz w:val="8"/>
          <w:szCs w:val="8"/>
        </w:rPr>
      </w:pPr>
    </w:p>
    <w:p w14:paraId="5A9FE08A" w14:textId="60EEAC34" w:rsidR="00F46B2F" w:rsidRDefault="00F46B2F" w:rsidP="00145D30">
      <w:r w:rsidRPr="00F46B2F">
        <w:rPr>
          <w:b/>
          <w:highlight w:val="yellow"/>
        </w:rPr>
        <w:t>TEST PERSON</w:t>
      </w:r>
      <w:r>
        <w:t xml:space="preserve"> </w:t>
      </w:r>
      <w:r>
        <w:sym w:font="Wingdings" w:char="F0E0"/>
      </w:r>
      <w:r>
        <w:t xml:space="preserve"> The test person for assessing confusion—or the likelihood thereof—is the </w:t>
      </w:r>
      <w:r>
        <w:rPr>
          <w:u w:val="single"/>
        </w:rPr>
        <w:t>average or ordinary customer of the goods/services at issue</w:t>
      </w:r>
      <w:r>
        <w:t>, who may be found at any point in the chain of consumption</w:t>
      </w:r>
      <w:r w:rsidR="00FD7741">
        <w:t xml:space="preserve"> (</w:t>
      </w:r>
      <w:r w:rsidR="00FD7741">
        <w:rPr>
          <w:i/>
          <w:color w:val="FF0000"/>
        </w:rPr>
        <w:t>Ciba-Geigy</w:t>
      </w:r>
      <w:r w:rsidR="00FD7741">
        <w:t>)</w:t>
      </w:r>
    </w:p>
    <w:p w14:paraId="43DDAA23" w14:textId="46632913" w:rsidR="00A56E3F" w:rsidRDefault="00A56E3F" w:rsidP="00A56E3F">
      <w:pPr>
        <w:pStyle w:val="ListParagraph"/>
      </w:pPr>
      <w:r>
        <w:t>The degree of attention paid by the test person may vary depending on the nature of the goods/services</w:t>
      </w:r>
    </w:p>
    <w:p w14:paraId="5B7E797C" w14:textId="46274CAC" w:rsidR="00E42BB4" w:rsidRDefault="00E42BB4" w:rsidP="001A6524">
      <w:pPr>
        <w:pStyle w:val="ListParagraph"/>
        <w:numPr>
          <w:ilvl w:val="1"/>
          <w:numId w:val="1"/>
        </w:numPr>
        <w:ind w:left="1134"/>
      </w:pPr>
      <w:r>
        <w:t xml:space="preserve">Inexpensive, mass-market products = </w:t>
      </w:r>
      <w:r w:rsidRPr="00EB55FD">
        <w:rPr>
          <w:rFonts w:asciiTheme="majorHAnsi" w:hAnsiTheme="majorHAnsi"/>
          <w:sz w:val="15"/>
          <w:szCs w:val="15"/>
        </w:rPr>
        <w:sym w:font="Wingdings" w:char="F0E1"/>
      </w:r>
      <w:r>
        <w:t>likelihood of confusion (customer takes product quickly from shelf while shopping for an array of items</w:t>
      </w:r>
      <w:r w:rsidR="001A6524">
        <w:t>; e.g. the c</w:t>
      </w:r>
      <w:r>
        <w:t xml:space="preserve">asual/hurried </w:t>
      </w:r>
      <w:r w:rsidR="001A6524">
        <w:t>observer</w:t>
      </w:r>
      <w:r>
        <w:t xml:space="preserve"> </w:t>
      </w:r>
      <w:r w:rsidR="001A6524">
        <w:t xml:space="preserve">recognized </w:t>
      </w:r>
      <w:r>
        <w:t xml:space="preserve">in </w:t>
      </w:r>
      <w:r w:rsidRPr="00E42BB4">
        <w:rPr>
          <w:i/>
          <w:color w:val="FF0000"/>
        </w:rPr>
        <w:t>BCAA</w:t>
      </w:r>
      <w:r>
        <w:t>)</w:t>
      </w:r>
    </w:p>
    <w:p w14:paraId="63B870F7" w14:textId="361DE3CC" w:rsidR="00E42BB4" w:rsidRDefault="00E42BB4" w:rsidP="001A6524">
      <w:pPr>
        <w:pStyle w:val="ListParagraph"/>
        <w:numPr>
          <w:ilvl w:val="1"/>
          <w:numId w:val="1"/>
        </w:numPr>
        <w:ind w:left="1134"/>
      </w:pPr>
      <w:r>
        <w:t xml:space="preserve">Expensive, luxury item = </w:t>
      </w:r>
      <w:r w:rsidRPr="00EB55FD">
        <w:rPr>
          <w:rFonts w:asciiTheme="majorHAnsi" w:hAnsiTheme="majorHAnsi"/>
          <w:sz w:val="15"/>
          <w:szCs w:val="15"/>
        </w:rPr>
        <w:sym w:font="Wingdings" w:char="F0E2"/>
      </w:r>
      <w:r>
        <w:t>likelihood of confusion (would expect customer to take a great deal of care in inspecting the item)</w:t>
      </w:r>
    </w:p>
    <w:p w14:paraId="1C4C39B7" w14:textId="77777777" w:rsidR="001A6524" w:rsidRPr="001A6524" w:rsidRDefault="001A6524" w:rsidP="001A6524">
      <w:pPr>
        <w:rPr>
          <w:sz w:val="8"/>
          <w:szCs w:val="8"/>
        </w:rPr>
      </w:pPr>
    </w:p>
    <w:p w14:paraId="56323177" w14:textId="29D493E9" w:rsidR="001A6524" w:rsidRDefault="001A6524" w:rsidP="001A6524">
      <w:r w:rsidRPr="001A6524">
        <w:rPr>
          <w:b/>
          <w:highlight w:val="yellow"/>
        </w:rPr>
        <w:t>CONTEXT</w:t>
      </w:r>
      <w:r>
        <w:t xml:space="preserve"> </w:t>
      </w:r>
      <w:r>
        <w:sym w:font="Wingdings" w:char="F0E0"/>
      </w:r>
      <w:r>
        <w:t xml:space="preserve"> In </w:t>
      </w:r>
      <w:r w:rsidR="00F7319D">
        <w:rPr>
          <w:i/>
          <w:color w:val="FF0000"/>
        </w:rPr>
        <w:t>BCA</w:t>
      </w:r>
      <w:r w:rsidRPr="001A6524">
        <w:rPr>
          <w:i/>
          <w:color w:val="FF0000"/>
        </w:rPr>
        <w:t>A</w:t>
      </w:r>
      <w:r>
        <w:t xml:space="preserve">, </w:t>
      </w:r>
      <w:proofErr w:type="spellStart"/>
      <w:r>
        <w:t>Sigurdson</w:t>
      </w:r>
      <w:proofErr w:type="spellEnd"/>
      <w:r>
        <w:t xml:space="preserve"> J recognized that in the context of a labour relations dispute—as opposed to commercial competition—a </w:t>
      </w:r>
      <w:r w:rsidRPr="001A6524">
        <w:rPr>
          <w:b/>
          <w:u w:val="single"/>
        </w:rPr>
        <w:t>reasonable balance</w:t>
      </w:r>
      <w:r>
        <w:t xml:space="preserve"> must be struck between protection of a party’s IP vs. the right of expression</w:t>
      </w:r>
    </w:p>
    <w:p w14:paraId="6CB54DC7" w14:textId="77777777" w:rsidR="001A6524" w:rsidRDefault="001A6524" w:rsidP="001A6524"/>
    <w:p w14:paraId="0275CFB2" w14:textId="63F7F079" w:rsidR="001A6524" w:rsidRDefault="001A6524" w:rsidP="001A6524">
      <w:r w:rsidRPr="001A6524">
        <w:rPr>
          <w:b/>
          <w:highlight w:val="yellow"/>
        </w:rPr>
        <w:t>INTERNET</w:t>
      </w:r>
      <w:r>
        <w:t xml:space="preserve"> </w:t>
      </w:r>
      <w:r>
        <w:sym w:font="Wingdings" w:char="F0E0"/>
      </w:r>
      <w:r>
        <w:t xml:space="preserve"> In </w:t>
      </w:r>
      <w:r w:rsidR="00724F8D">
        <w:t>this context</w:t>
      </w:r>
      <w:r>
        <w:t xml:space="preserve">, </w:t>
      </w:r>
      <w:r w:rsidRPr="00724F8D">
        <w:rPr>
          <w:b/>
          <w:u w:val="single"/>
        </w:rPr>
        <w:t>initial interest confusion</w:t>
      </w:r>
      <w:r>
        <w:t xml:space="preserve"> is sufficient to establish a passing-off claim (</w:t>
      </w:r>
      <w:proofErr w:type="spellStart"/>
      <w:r w:rsidR="00724F8D">
        <w:t>Sigurdson</w:t>
      </w:r>
      <w:proofErr w:type="spellEnd"/>
      <w:r w:rsidR="00724F8D">
        <w:t xml:space="preserve"> J in </w:t>
      </w:r>
      <w:r w:rsidR="00F7319D">
        <w:rPr>
          <w:i/>
          <w:color w:val="FF0000"/>
        </w:rPr>
        <w:t>BCA</w:t>
      </w:r>
      <w:r w:rsidRPr="001A6524">
        <w:rPr>
          <w:i/>
          <w:color w:val="FF0000"/>
        </w:rPr>
        <w:t>A</w:t>
      </w:r>
      <w:r>
        <w:t>)</w:t>
      </w:r>
    </w:p>
    <w:p w14:paraId="244C8586" w14:textId="0F563B89" w:rsidR="001A6524" w:rsidRDefault="001A6524" w:rsidP="001A6524">
      <w:pPr>
        <w:pStyle w:val="ListParagraph"/>
      </w:pPr>
      <w:r>
        <w:rPr>
          <w:b/>
        </w:rPr>
        <w:t>Analysis:</w:t>
      </w:r>
      <w:r>
        <w:t xml:space="preserve"> Look to the totality of the facts and ask whether it’s more likely there is a misrepresentation leading to confusion</w:t>
      </w:r>
    </w:p>
    <w:p w14:paraId="06ACD50B" w14:textId="77777777" w:rsidR="001A6524" w:rsidRDefault="001A6524" w:rsidP="001A6524">
      <w:pPr>
        <w:pStyle w:val="ListParagraph"/>
      </w:pPr>
      <w:r w:rsidRPr="001A6524">
        <w:t xml:space="preserve">Confusion </w:t>
      </w:r>
      <w:r>
        <w:t xml:space="preserve">of </w:t>
      </w:r>
      <w:r>
        <w:rPr>
          <w:b/>
        </w:rPr>
        <w:t xml:space="preserve">affiliation </w:t>
      </w:r>
      <w:r>
        <w:t xml:space="preserve">or </w:t>
      </w:r>
      <w:r>
        <w:rPr>
          <w:b/>
        </w:rPr>
        <w:t>endorsement</w:t>
      </w:r>
      <w:r>
        <w:t xml:space="preserve"> may be sufficient to establish passing off (</w:t>
      </w:r>
      <w:r w:rsidRPr="00EC4B34">
        <w:rPr>
          <w:b/>
          <w:i/>
          <w:color w:val="FF0000"/>
        </w:rPr>
        <w:t>BCAA</w:t>
      </w:r>
      <w:r>
        <w:t xml:space="preserve">) </w:t>
      </w:r>
    </w:p>
    <w:p w14:paraId="4CF8674F" w14:textId="306BD087" w:rsidR="001A6524" w:rsidRDefault="001A6524" w:rsidP="001A6524">
      <w:pPr>
        <w:pStyle w:val="ListParagraph"/>
      </w:pPr>
      <w:r>
        <w:rPr>
          <w:b/>
        </w:rPr>
        <w:t>Test person:</w:t>
      </w:r>
      <w:r>
        <w:t xml:space="preserve"> </w:t>
      </w:r>
      <w:r w:rsidR="00724F8D">
        <w:t>Casual, hurried observer</w:t>
      </w:r>
      <w:r>
        <w:t>—characteristics of this person may vary depending on the product being purchased</w:t>
      </w:r>
    </w:p>
    <w:p w14:paraId="70A02C78" w14:textId="5FD7B5ED" w:rsidR="001A6524" w:rsidRDefault="001A6524" w:rsidP="001A6524">
      <w:pPr>
        <w:pStyle w:val="ListParagraph"/>
      </w:pPr>
      <w:r>
        <w:t xml:space="preserve">The prominence that must be given to a non-affiliation </w:t>
      </w:r>
      <w:r w:rsidRPr="00442EA5">
        <w:rPr>
          <w:b/>
        </w:rPr>
        <w:t>disclaimer</w:t>
      </w:r>
      <w:r>
        <w:t xml:space="preserve"> for it to be </w:t>
      </w:r>
      <w:r w:rsidRPr="001A6524">
        <w:t>effective</w:t>
      </w:r>
      <w:r>
        <w:t xml:space="preserve"> depends on the likelihood of a false impression being conveyed to the public if there is no disclaimer (</w:t>
      </w:r>
      <w:r w:rsidRPr="00442EA5">
        <w:rPr>
          <w:b/>
          <w:i/>
          <w:color w:val="FF0000"/>
        </w:rPr>
        <w:t>BCAA</w:t>
      </w:r>
      <w:r>
        <w:t>)</w:t>
      </w:r>
    </w:p>
    <w:p w14:paraId="0A162A02" w14:textId="3A81E0BD" w:rsidR="001A6524" w:rsidRPr="004F471F" w:rsidRDefault="00724F8D" w:rsidP="001A6524">
      <w:pPr>
        <w:pStyle w:val="ListParagraph"/>
        <w:rPr>
          <w:b/>
          <w:i/>
        </w:rPr>
      </w:pPr>
      <w:r w:rsidRPr="00724F8D">
        <w:rPr>
          <w:b/>
          <w:i/>
          <w:color w:val="FF0000"/>
        </w:rPr>
        <w:t>BCCA</w:t>
      </w:r>
      <w:r>
        <w:rPr>
          <w:b/>
        </w:rPr>
        <w:t>:</w:t>
      </w:r>
      <w:r>
        <w:t xml:space="preserve"> When a website is used for expression in a labour relations dispute—as opposed to commercial competition—there’s a reasonable balance that must be struck b/w legitimate protection of a party’s IP vs. the freedom of expression</w:t>
      </w:r>
    </w:p>
    <w:p w14:paraId="3793C0BB" w14:textId="753BFA7C" w:rsidR="004F471F" w:rsidRPr="00724F8D" w:rsidRDefault="004F471F" w:rsidP="004F471F">
      <w:pPr>
        <w:pStyle w:val="ListParagraph"/>
        <w:numPr>
          <w:ilvl w:val="1"/>
          <w:numId w:val="1"/>
        </w:numPr>
        <w:ind w:left="993" w:hanging="284"/>
        <w:rPr>
          <w:b/>
          <w:i/>
        </w:rPr>
      </w:pPr>
      <w:proofErr w:type="spellStart"/>
      <w:r>
        <w:t>Sigurdson</w:t>
      </w:r>
      <w:proofErr w:type="spellEnd"/>
      <w:r>
        <w:t xml:space="preserve"> J cited </w:t>
      </w:r>
      <w:r w:rsidRPr="004F471F">
        <w:rPr>
          <w:i/>
          <w:color w:val="FF0000"/>
        </w:rPr>
        <w:t xml:space="preserve">Brookfield </w:t>
      </w:r>
      <w:r>
        <w:t xml:space="preserve">and </w:t>
      </w:r>
      <w:proofErr w:type="spellStart"/>
      <w:r w:rsidRPr="004F471F">
        <w:rPr>
          <w:i/>
          <w:color w:val="FF0000"/>
        </w:rPr>
        <w:t>AsiaFocus</w:t>
      </w:r>
      <w:proofErr w:type="spellEnd"/>
      <w:r>
        <w:rPr>
          <w:i/>
        </w:rPr>
        <w:t xml:space="preserve"> </w:t>
      </w:r>
      <w:r>
        <w:t xml:space="preserve">as examples of when American courts have prohibited ∆ from using π’s name in meta tags because to allow such use would </w:t>
      </w:r>
      <w:r>
        <w:rPr>
          <w:b/>
          <w:i/>
        </w:rPr>
        <w:t xml:space="preserve">unfairly divert business away from π </w:t>
      </w:r>
    </w:p>
    <w:p w14:paraId="4F0555CF" w14:textId="77777777" w:rsidR="00FD0537" w:rsidRPr="00E42BB4" w:rsidRDefault="00FD0537" w:rsidP="00145D30">
      <w:pPr>
        <w:rPr>
          <w:sz w:val="8"/>
          <w:szCs w:val="8"/>
        </w:rPr>
      </w:pPr>
    </w:p>
    <w:p w14:paraId="33B8EB44" w14:textId="3FE6DF44" w:rsidR="00E42BB4" w:rsidRPr="00E42BB4" w:rsidRDefault="00E42BB4" w:rsidP="00145D30">
      <w:r w:rsidRPr="00E42BB4">
        <w:rPr>
          <w:b/>
          <w:highlight w:val="yellow"/>
        </w:rPr>
        <w:t>REVERSE PASSING-OFF</w:t>
      </w:r>
      <w:r>
        <w:t xml:space="preserve"> </w:t>
      </w:r>
      <w:r>
        <w:sym w:font="Wingdings" w:char="F0E0"/>
      </w:r>
      <w:r>
        <w:t xml:space="preserve"> When ∆ misrepresents π’s goods/services as his own (</w:t>
      </w:r>
      <w:r w:rsidRPr="00E42BB4">
        <w:rPr>
          <w:i/>
          <w:color w:val="FF0000"/>
        </w:rPr>
        <w:t>Bristol</w:t>
      </w:r>
      <w:r>
        <w:t>)</w:t>
      </w:r>
    </w:p>
    <w:p w14:paraId="497F9189" w14:textId="4ADC8682" w:rsidR="00E42BB4" w:rsidRDefault="00E42BB4" w:rsidP="00E42BB4">
      <w:pPr>
        <w:pStyle w:val="ListParagraph"/>
      </w:pPr>
      <w:r>
        <w:t xml:space="preserve">Although this doesn’t actually </w:t>
      </w:r>
      <w:r>
        <w:rPr>
          <w:b/>
        </w:rPr>
        <w:t>confuse</w:t>
      </w:r>
      <w:r>
        <w:t xml:space="preserve"> members of the public, it’s nevertheless a misuse of π’s goodwill through misrepresentation resulting in actual damage—courts rely on the concept of </w:t>
      </w:r>
      <w:r>
        <w:rPr>
          <w:u w:val="single"/>
        </w:rPr>
        <w:t>unfair trading</w:t>
      </w:r>
      <w:r>
        <w:t xml:space="preserve"> (</w:t>
      </w:r>
      <w:r w:rsidRPr="00E42BB4">
        <w:rPr>
          <w:i/>
          <w:color w:val="FF0000"/>
        </w:rPr>
        <w:t>Bristol</w:t>
      </w:r>
      <w:r>
        <w:t>)</w:t>
      </w:r>
    </w:p>
    <w:p w14:paraId="1F3A330B" w14:textId="4524A1D2" w:rsidR="00E42BB4" w:rsidRDefault="00E42BB4" w:rsidP="00E42BB4">
      <w:pPr>
        <w:pStyle w:val="ListParagraph"/>
      </w:pPr>
      <w:r>
        <w:t xml:space="preserve">If parties aren’t commercial competitors = </w:t>
      </w:r>
      <w:r w:rsidRPr="00EB55FD">
        <w:rPr>
          <w:rFonts w:asciiTheme="majorHAnsi" w:hAnsiTheme="majorHAnsi"/>
          <w:sz w:val="15"/>
          <w:szCs w:val="15"/>
        </w:rPr>
        <w:sym w:font="Wingdings" w:char="F0E2"/>
      </w:r>
      <w:r>
        <w:t xml:space="preserve">likelihood of confusion (since the essence of passing-off is confusion in a commercial context: </w:t>
      </w:r>
      <w:r w:rsidR="002A5411">
        <w:rPr>
          <w:i/>
          <w:color w:val="FF0000"/>
        </w:rPr>
        <w:t>BCA</w:t>
      </w:r>
      <w:r w:rsidRPr="00E42BB4">
        <w:rPr>
          <w:i/>
          <w:color w:val="FF0000"/>
        </w:rPr>
        <w:t>A</w:t>
      </w:r>
      <w:r>
        <w:t>)</w:t>
      </w:r>
    </w:p>
    <w:p w14:paraId="60EAB05C" w14:textId="77777777" w:rsidR="00FD0537" w:rsidRPr="00FD0537" w:rsidRDefault="00FD0537" w:rsidP="00145D30">
      <w:pPr>
        <w:rPr>
          <w:sz w:val="8"/>
          <w:szCs w:val="8"/>
        </w:rPr>
      </w:pPr>
    </w:p>
    <w:p w14:paraId="3AD82767" w14:textId="29A5CAE8" w:rsidR="0011123A" w:rsidRPr="009A71EE" w:rsidRDefault="0011123A" w:rsidP="00623BFF">
      <w:pPr>
        <w:pStyle w:val="Heading2"/>
      </w:pPr>
      <w:bookmarkStart w:id="3" w:name="_Toc480804598"/>
      <w:r>
        <w:t>#3: ACTUAL/POTENTIAL DAMAGE to the PLAINTIFF</w:t>
      </w:r>
      <w:bookmarkEnd w:id="3"/>
    </w:p>
    <w:p w14:paraId="5CAB5344" w14:textId="50124E15" w:rsidR="00E42BB4" w:rsidRPr="00B55AF4" w:rsidRDefault="00E42BB4" w:rsidP="00145D30">
      <w:r>
        <w:t xml:space="preserve">Damage can take the form of either </w:t>
      </w:r>
      <w:r>
        <w:rPr>
          <w:b/>
        </w:rPr>
        <w:t>loss of goodwill and reputation</w:t>
      </w:r>
      <w:r>
        <w:t xml:space="preserve"> or </w:t>
      </w:r>
      <w:r>
        <w:rPr>
          <w:b/>
        </w:rPr>
        <w:t>loss of trade</w:t>
      </w:r>
      <w:r>
        <w:t>.</w:t>
      </w:r>
      <w:r w:rsidR="00B55AF4">
        <w:t xml:space="preserve"> If applying for an </w:t>
      </w:r>
      <w:proofErr w:type="spellStart"/>
      <w:r w:rsidR="00B55AF4">
        <w:t>inJx</w:t>
      </w:r>
      <w:proofErr w:type="spellEnd"/>
      <w:r w:rsidR="00B55AF4">
        <w:t xml:space="preserve">, π need only show a </w:t>
      </w:r>
      <w:r w:rsidR="00B55AF4">
        <w:rPr>
          <w:i/>
        </w:rPr>
        <w:t xml:space="preserve">likelihood </w:t>
      </w:r>
      <w:r w:rsidR="00B55AF4">
        <w:t>of damage.</w:t>
      </w:r>
    </w:p>
    <w:p w14:paraId="0E5F1E47" w14:textId="77777777" w:rsidR="00E42BB4" w:rsidRPr="003A4551" w:rsidRDefault="00E42BB4" w:rsidP="00145D30">
      <w:pPr>
        <w:rPr>
          <w:sz w:val="8"/>
          <w:szCs w:val="8"/>
        </w:rPr>
      </w:pPr>
    </w:p>
    <w:p w14:paraId="1CE37908" w14:textId="06918757" w:rsidR="003A4551" w:rsidRDefault="00E42BB4" w:rsidP="00145D30">
      <w:r w:rsidRPr="003A4551">
        <w:rPr>
          <w:b/>
          <w:highlight w:val="yellow"/>
        </w:rPr>
        <w:t>LOSS of GOODWILL &amp; REPUTATION</w:t>
      </w:r>
      <w:r>
        <w:t xml:space="preserve"> </w:t>
      </w:r>
      <w:r w:rsidR="00634D53">
        <w:t>(</w:t>
      </w:r>
      <w:r w:rsidR="00FD40A4" w:rsidRPr="003A4551">
        <w:rPr>
          <w:i/>
          <w:color w:val="FF0000"/>
        </w:rPr>
        <w:t xml:space="preserve">Spalding v </w:t>
      </w:r>
      <w:proofErr w:type="spellStart"/>
      <w:r w:rsidR="00FD40A4" w:rsidRPr="003A4551">
        <w:rPr>
          <w:i/>
          <w:color w:val="FF0000"/>
        </w:rPr>
        <w:t>Gamage</w:t>
      </w:r>
      <w:proofErr w:type="spellEnd"/>
      <w:r w:rsidR="00634D53">
        <w:t xml:space="preserve">) </w:t>
      </w:r>
      <w:r>
        <w:sym w:font="Wingdings" w:char="F0E0"/>
      </w:r>
      <w:r w:rsidR="003A4551">
        <w:t xml:space="preserve"> This type of damage recognizes that dissatisfied consumers who think they have purchased an inferior product from π may decide never to buy from π again, and tell their friends the same</w:t>
      </w:r>
    </w:p>
    <w:p w14:paraId="4EA66FA4" w14:textId="6215C955" w:rsidR="00FD40A4" w:rsidRDefault="00FD40A4" w:rsidP="00FD40A4">
      <w:pPr>
        <w:pStyle w:val="ListParagraph"/>
      </w:pPr>
      <w:r>
        <w:t xml:space="preserve">In </w:t>
      </w:r>
      <w:r w:rsidRPr="00FD40A4">
        <w:rPr>
          <w:i/>
          <w:color w:val="FF0000"/>
        </w:rPr>
        <w:t>Spalding</w:t>
      </w:r>
      <w:r>
        <w:t>, π had discontinued a range of footballs only for ∆ to take them and market them as “new and improved”</w:t>
      </w:r>
    </w:p>
    <w:p w14:paraId="72193F4A" w14:textId="5DA6E0DA" w:rsidR="00E42BB4" w:rsidRPr="003A4551" w:rsidRDefault="003A4551" w:rsidP="00145D30">
      <w:pPr>
        <w:rPr>
          <w:sz w:val="8"/>
          <w:szCs w:val="8"/>
        </w:rPr>
      </w:pPr>
      <w:r w:rsidRPr="003A4551">
        <w:rPr>
          <w:sz w:val="8"/>
          <w:szCs w:val="8"/>
        </w:rPr>
        <w:t xml:space="preserve"> </w:t>
      </w:r>
    </w:p>
    <w:p w14:paraId="4D7671A6" w14:textId="5E861513" w:rsidR="00017ACB" w:rsidRDefault="00E42BB4" w:rsidP="00FD40A4">
      <w:r w:rsidRPr="003A4551">
        <w:rPr>
          <w:b/>
          <w:highlight w:val="yellow"/>
        </w:rPr>
        <w:t>LOSS of TRADE</w:t>
      </w:r>
      <w:r>
        <w:t xml:space="preserve"> </w:t>
      </w:r>
      <w:r w:rsidR="00634D53">
        <w:t>(</w:t>
      </w:r>
      <w:r w:rsidR="00FD40A4" w:rsidRPr="003A4551">
        <w:rPr>
          <w:i/>
          <w:color w:val="FF0000"/>
        </w:rPr>
        <w:t>Ray Plastics</w:t>
      </w:r>
      <w:r w:rsidR="00FD40A4">
        <w:t xml:space="preserve">; </w:t>
      </w:r>
      <w:proofErr w:type="spellStart"/>
      <w:r w:rsidR="00FD40A4" w:rsidRPr="003A4551">
        <w:rPr>
          <w:i/>
          <w:color w:val="FF0000"/>
        </w:rPr>
        <w:t>Institut</w:t>
      </w:r>
      <w:proofErr w:type="spellEnd"/>
      <w:r w:rsidR="00FD40A4" w:rsidRPr="003A4551">
        <w:rPr>
          <w:i/>
          <w:color w:val="FF0000"/>
        </w:rPr>
        <w:t xml:space="preserve"> national</w:t>
      </w:r>
      <w:r w:rsidR="00634D53">
        <w:t xml:space="preserve">) </w:t>
      </w:r>
      <w:r>
        <w:sym w:font="Wingdings" w:char="F0E0"/>
      </w:r>
      <w:r>
        <w:t xml:space="preserve"> </w:t>
      </w:r>
      <w:r w:rsidR="00017ACB">
        <w:t>This type of damage recognizes that competing products that are identical or confusingly similar will cut into the sales of π’s original product</w:t>
      </w:r>
    </w:p>
    <w:p w14:paraId="191B0F8C" w14:textId="77777777" w:rsidR="00B55AF4" w:rsidRPr="00B55AF4" w:rsidRDefault="00B55AF4" w:rsidP="00145D30">
      <w:pPr>
        <w:rPr>
          <w:b/>
          <w:sz w:val="8"/>
          <w:szCs w:val="8"/>
        </w:rPr>
      </w:pPr>
    </w:p>
    <w:p w14:paraId="694A63ED" w14:textId="65E8754E" w:rsidR="00B55AF4" w:rsidRPr="00B55AF4" w:rsidRDefault="00B55AF4" w:rsidP="00623BFF">
      <w:pPr>
        <w:pStyle w:val="Heading2"/>
      </w:pPr>
      <w:bookmarkStart w:id="4" w:name="_Toc480804599"/>
      <w:r>
        <w:t>DEFENCES</w:t>
      </w:r>
      <w:bookmarkEnd w:id="4"/>
      <w:r>
        <w:t xml:space="preserve"> </w:t>
      </w:r>
    </w:p>
    <w:p w14:paraId="2D3BE4E7" w14:textId="205D5496" w:rsidR="00B55AF4" w:rsidRDefault="00B55AF4" w:rsidP="00B55AF4">
      <w:r>
        <w:rPr>
          <w:b/>
        </w:rPr>
        <w:t xml:space="preserve">- </w:t>
      </w:r>
      <w:r w:rsidRPr="00B55AF4">
        <w:rPr>
          <w:b/>
        </w:rPr>
        <w:t>Failure to make out the requisite elements of the tort</w:t>
      </w:r>
    </w:p>
    <w:p w14:paraId="17038CA6" w14:textId="25E35BAD" w:rsidR="00B55AF4" w:rsidRPr="00B55AF4" w:rsidRDefault="00B55AF4" w:rsidP="00B55AF4">
      <w:pPr>
        <w:rPr>
          <w:b/>
        </w:rPr>
      </w:pPr>
      <w:r>
        <w:rPr>
          <w:b/>
        </w:rPr>
        <w:t xml:space="preserve">- </w:t>
      </w:r>
      <w:r w:rsidRPr="00B55AF4">
        <w:rPr>
          <w:b/>
        </w:rPr>
        <w:t>Use of one’s own name</w:t>
      </w:r>
      <w:r>
        <w:t xml:space="preserve"> (e.g. Frank McDonald wants to open a fast-food restaurant)</w:t>
      </w:r>
    </w:p>
    <w:p w14:paraId="5CC4D619" w14:textId="56E594F1" w:rsidR="00B55AF4" w:rsidRDefault="00B55AF4" w:rsidP="00B55AF4">
      <w:pPr>
        <w:pStyle w:val="ListParagraph"/>
      </w:pPr>
      <w:r>
        <w:rPr>
          <w:b/>
        </w:rPr>
        <w:t>General rule:</w:t>
      </w:r>
      <w:r>
        <w:t xml:space="preserve"> The law won’t deny a person the possibility of using his own name in business (</w:t>
      </w:r>
      <w:proofErr w:type="spellStart"/>
      <w:r w:rsidRPr="004115BE">
        <w:rPr>
          <w:i/>
          <w:color w:val="FF0000"/>
        </w:rPr>
        <w:t>Hurlburt</w:t>
      </w:r>
      <w:proofErr w:type="spellEnd"/>
      <w:r>
        <w:t>)</w:t>
      </w:r>
    </w:p>
    <w:p w14:paraId="7691EAB2" w14:textId="7B6319AB" w:rsidR="00B55AF4" w:rsidRPr="00B55AF4" w:rsidRDefault="00B55AF4" w:rsidP="00B55AF4">
      <w:pPr>
        <w:pStyle w:val="ListParagraph"/>
      </w:pPr>
      <w:r>
        <w:rPr>
          <w:b/>
        </w:rPr>
        <w:t xml:space="preserve">Limitations: </w:t>
      </w:r>
    </w:p>
    <w:p w14:paraId="64BE80E1" w14:textId="409E97B5" w:rsidR="00B55AF4" w:rsidRDefault="00B55AF4" w:rsidP="00B55AF4">
      <w:pPr>
        <w:pStyle w:val="ListParagraph"/>
        <w:numPr>
          <w:ilvl w:val="1"/>
          <w:numId w:val="1"/>
        </w:numPr>
        <w:ind w:left="993"/>
      </w:pPr>
      <w:r>
        <w:t xml:space="preserve">Must be your </w:t>
      </w:r>
      <w:r>
        <w:rPr>
          <w:u w:val="single"/>
        </w:rPr>
        <w:t>surname</w:t>
      </w:r>
      <w:r>
        <w:t xml:space="preserve"> (not given name or nickname)</w:t>
      </w:r>
    </w:p>
    <w:p w14:paraId="61C43E80" w14:textId="07F4ADDA" w:rsidR="00B55AF4" w:rsidRDefault="00B55AF4" w:rsidP="00B55AF4">
      <w:pPr>
        <w:pStyle w:val="ListParagraph"/>
        <w:numPr>
          <w:ilvl w:val="1"/>
          <w:numId w:val="1"/>
        </w:numPr>
        <w:ind w:left="993"/>
      </w:pPr>
      <w:r>
        <w:t xml:space="preserve">Must be used </w:t>
      </w:r>
      <w:r>
        <w:rPr>
          <w:u w:val="single"/>
        </w:rPr>
        <w:t>honestly</w:t>
      </w:r>
      <w:r>
        <w:t xml:space="preserve"> without the intent to trade on the goodwill of another business</w:t>
      </w:r>
    </w:p>
    <w:p w14:paraId="0261A58B" w14:textId="77777777" w:rsidR="004115BE" w:rsidRDefault="00B55AF4" w:rsidP="00B55AF4">
      <w:pPr>
        <w:pStyle w:val="ListParagraph"/>
        <w:numPr>
          <w:ilvl w:val="1"/>
          <w:numId w:val="1"/>
        </w:numPr>
        <w:ind w:left="993"/>
      </w:pPr>
      <w:r>
        <w:t>The court may require the individual to use his name in a manner that’s not confusing with an already existing business under that name</w:t>
      </w:r>
      <w:r w:rsidR="004115BE">
        <w:t xml:space="preserve"> </w:t>
      </w:r>
    </w:p>
    <w:p w14:paraId="7A7224A4" w14:textId="68386974" w:rsidR="00B55AF4" w:rsidRPr="004115BE" w:rsidRDefault="004115BE" w:rsidP="004115BE">
      <w:pPr>
        <w:pStyle w:val="ListParagraph"/>
        <w:numPr>
          <w:ilvl w:val="2"/>
          <w:numId w:val="1"/>
        </w:numPr>
        <w:ind w:left="1560" w:hanging="219"/>
      </w:pPr>
      <w:r>
        <w:t>The individual may not use the name without explanation or qualification if such a use would be an instrument of fraud (</w:t>
      </w:r>
      <w:proofErr w:type="spellStart"/>
      <w:r w:rsidRPr="004115BE">
        <w:rPr>
          <w:i/>
          <w:color w:val="FF0000"/>
        </w:rPr>
        <w:t>Reddaway</w:t>
      </w:r>
      <w:proofErr w:type="spellEnd"/>
      <w:r>
        <w:t xml:space="preserve">) </w:t>
      </w:r>
    </w:p>
    <w:p w14:paraId="4D73C5D5" w14:textId="60DFF3C7" w:rsidR="00B55AF4" w:rsidRPr="00B84E0F" w:rsidRDefault="00B55AF4" w:rsidP="00B55AF4">
      <w:r>
        <w:rPr>
          <w:b/>
        </w:rPr>
        <w:t xml:space="preserve">- </w:t>
      </w:r>
      <w:r w:rsidRPr="00B55AF4">
        <w:rPr>
          <w:b/>
        </w:rPr>
        <w:t>Registered TM</w:t>
      </w:r>
      <w:r w:rsidR="00B84E0F">
        <w:rPr>
          <w:b/>
        </w:rPr>
        <w:t xml:space="preserve">: </w:t>
      </w:r>
      <w:r w:rsidR="00B84E0F">
        <w:t>If ∆ holds TM registration for the mark it’s using, this operates as a complete defence (</w:t>
      </w:r>
      <w:r w:rsidR="00B84E0F" w:rsidRPr="00B84E0F">
        <w:rPr>
          <w:i/>
          <w:color w:val="FF0000"/>
        </w:rPr>
        <w:t>Molson</w:t>
      </w:r>
      <w:r w:rsidR="00B84E0F">
        <w:t>)</w:t>
      </w:r>
    </w:p>
    <w:p w14:paraId="6D796BA5" w14:textId="787A2D88" w:rsidR="00B55AF4" w:rsidRPr="00632AFD" w:rsidRDefault="00B55AF4" w:rsidP="00B55AF4">
      <w:r>
        <w:rPr>
          <w:b/>
        </w:rPr>
        <w:t xml:space="preserve">- </w:t>
      </w:r>
      <w:r w:rsidRPr="00B55AF4">
        <w:rPr>
          <w:b/>
        </w:rPr>
        <w:t>Acquiescence</w:t>
      </w:r>
      <w:r w:rsidR="00B84E0F">
        <w:rPr>
          <w:b/>
        </w:rPr>
        <w:t>:</w:t>
      </w:r>
      <w:r w:rsidR="00B84E0F">
        <w:t xml:space="preserve"> This defence applies if π is found to have acquiesced to ∆’s use of the mark (e.g. </w:t>
      </w:r>
      <w:r w:rsidR="00B84E0F" w:rsidRPr="00632AFD">
        <w:rPr>
          <w:i/>
          <w:color w:val="FF0000"/>
        </w:rPr>
        <w:t>Edward Chapman’s</w:t>
      </w:r>
      <w:r w:rsidR="00632AFD">
        <w:t>)</w:t>
      </w:r>
    </w:p>
    <w:p w14:paraId="21E914FE" w14:textId="77777777" w:rsidR="00B55AF4" w:rsidRPr="00E07AC9" w:rsidRDefault="00B55AF4" w:rsidP="00145D30">
      <w:pPr>
        <w:rPr>
          <w:sz w:val="8"/>
          <w:szCs w:val="8"/>
        </w:rPr>
      </w:pPr>
    </w:p>
    <w:p w14:paraId="05D71E15" w14:textId="4C7653D0" w:rsidR="00B55AF4" w:rsidRDefault="00E07AC9" w:rsidP="00623BFF">
      <w:pPr>
        <w:pStyle w:val="Heading2"/>
      </w:pPr>
      <w:bookmarkStart w:id="5" w:name="_Toc480804600"/>
      <w:r>
        <w:t>REMEDIES</w:t>
      </w:r>
      <w:bookmarkEnd w:id="5"/>
    </w:p>
    <w:p w14:paraId="727A3DC8" w14:textId="65FE8EB6" w:rsidR="00E07AC9" w:rsidRDefault="00D506EA" w:rsidP="00145D30">
      <w:r>
        <w:t xml:space="preserve">Remedies for passing-off under </w:t>
      </w:r>
      <w:r w:rsidRPr="00F35690">
        <w:rPr>
          <w:color w:val="0500FF"/>
        </w:rPr>
        <w:t xml:space="preserve">s7(b) </w:t>
      </w:r>
      <w:r>
        <w:t xml:space="preserve">are provided for under </w:t>
      </w:r>
      <w:r w:rsidRPr="00D506EA">
        <w:rPr>
          <w:color w:val="0500FF"/>
        </w:rPr>
        <w:t>s53.2</w:t>
      </w:r>
      <w:r>
        <w:t>:</w:t>
      </w:r>
    </w:p>
    <w:p w14:paraId="71B5BC2C" w14:textId="77777777" w:rsidR="00D506EA" w:rsidRPr="00D506EA" w:rsidRDefault="00D506EA" w:rsidP="00145D30">
      <w:pPr>
        <w:rPr>
          <w:sz w:val="8"/>
          <w:szCs w:val="8"/>
        </w:rPr>
      </w:pP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FFFF"/>
        <w:tblLook w:val="04A0" w:firstRow="1" w:lastRow="0" w:firstColumn="1" w:lastColumn="0" w:noHBand="0" w:noVBand="1"/>
      </w:tblPr>
      <w:tblGrid>
        <w:gridCol w:w="10663"/>
      </w:tblGrid>
      <w:tr w:rsidR="00781583" w:rsidRPr="006C6FD1" w14:paraId="54E07D46" w14:textId="77777777" w:rsidTr="00D506EA">
        <w:trPr>
          <w:trHeight w:val="56"/>
        </w:trPr>
        <w:tc>
          <w:tcPr>
            <w:tcW w:w="10663" w:type="dxa"/>
            <w:shd w:val="clear" w:color="auto" w:fill="EEFFFF"/>
            <w:tcMar>
              <w:top w:w="29" w:type="dxa"/>
              <w:left w:w="43" w:type="dxa"/>
              <w:bottom w:w="29" w:type="dxa"/>
              <w:right w:w="43" w:type="dxa"/>
            </w:tcMar>
          </w:tcPr>
          <w:p w14:paraId="6DBBB375" w14:textId="5202BDD5" w:rsidR="00781583" w:rsidRPr="006C6FD1" w:rsidRDefault="00781583" w:rsidP="00781583">
            <w:r>
              <w:rPr>
                <w:b/>
                <w:color w:val="0000FF"/>
              </w:rPr>
              <w:t>53.2</w:t>
            </w:r>
            <w:r>
              <w:rPr>
                <w:color w:val="0000FF"/>
              </w:rPr>
              <w:t xml:space="preserve"> </w:t>
            </w:r>
            <w:r>
              <w:t xml:space="preserve">The court may make any order that it considers appropriate in the circumstances, including an order providing for relief by way of </w:t>
            </w:r>
            <w:proofErr w:type="spellStart"/>
            <w:r>
              <w:t>inJx</w:t>
            </w:r>
            <w:proofErr w:type="spellEnd"/>
            <w:r>
              <w:t xml:space="preserve"> and the recovery of damages/profits and for the destruction/exportation/disposition of any offending wares/packages/labels/advertising material</w:t>
            </w:r>
          </w:p>
        </w:tc>
      </w:tr>
    </w:tbl>
    <w:p w14:paraId="006CAEB4" w14:textId="77777777" w:rsidR="00781583" w:rsidRPr="00D506EA" w:rsidRDefault="00781583" w:rsidP="00145D30">
      <w:pPr>
        <w:rPr>
          <w:sz w:val="8"/>
          <w:szCs w:val="8"/>
        </w:rPr>
      </w:pPr>
    </w:p>
    <w:p w14:paraId="6400DEF1" w14:textId="1075A03E" w:rsidR="00D506EA" w:rsidRDefault="00D506EA" w:rsidP="00145D30">
      <w:pPr>
        <w:rPr>
          <w:b/>
        </w:rPr>
      </w:pPr>
      <w:r w:rsidRPr="00D506EA">
        <w:rPr>
          <w:b/>
          <w:highlight w:val="yellow"/>
        </w:rPr>
        <w:t>TYPES of REMEDIES AVAILABLE for PASSING-OFF</w:t>
      </w:r>
    </w:p>
    <w:p w14:paraId="0B911217" w14:textId="722F5641" w:rsidR="00D506EA" w:rsidRDefault="00D506EA" w:rsidP="00D506EA">
      <w:pPr>
        <w:pStyle w:val="ListParagraph"/>
      </w:pPr>
      <w:r>
        <w:t>Damages as compensation for actual harm suffered (i.e. loss of trade)</w:t>
      </w:r>
    </w:p>
    <w:p w14:paraId="576FAC3C" w14:textId="0905D6E3" w:rsidR="00D506EA" w:rsidRDefault="00D506EA" w:rsidP="00D506EA">
      <w:pPr>
        <w:pStyle w:val="ListParagraph"/>
      </w:pPr>
      <w:r>
        <w:t xml:space="preserve">Damages for harm to goodwill/reputation (more difficult to quantify—courts are req’d to fix an amount for compensation that’s “proper and reasonable”: </w:t>
      </w:r>
      <w:r w:rsidRPr="00D506EA">
        <w:rPr>
          <w:i/>
          <w:color w:val="FF0000"/>
        </w:rPr>
        <w:t>Price v Fernie</w:t>
      </w:r>
      <w:r>
        <w:t>)</w:t>
      </w:r>
    </w:p>
    <w:p w14:paraId="701AE08F" w14:textId="5225B340" w:rsidR="00776234" w:rsidRDefault="00776234" w:rsidP="00D506EA">
      <w:pPr>
        <w:pStyle w:val="ListParagraph"/>
      </w:pPr>
      <w:r>
        <w:t xml:space="preserve">Pre-emptive </w:t>
      </w:r>
      <w:proofErr w:type="spellStart"/>
      <w:r>
        <w:t>inJx</w:t>
      </w:r>
      <w:proofErr w:type="spellEnd"/>
      <w:r>
        <w:t xml:space="preserve"> to prevent anticipated confusion if product were allowed to enter the market</w:t>
      </w:r>
    </w:p>
    <w:p w14:paraId="401172DF" w14:textId="13DE5AC5" w:rsidR="00D506EA" w:rsidRDefault="00D506EA" w:rsidP="00D506EA">
      <w:pPr>
        <w:pStyle w:val="ListParagraph"/>
      </w:pPr>
      <w:r>
        <w:t xml:space="preserve">Permanent </w:t>
      </w:r>
      <w:proofErr w:type="spellStart"/>
      <w:r>
        <w:t>inJx</w:t>
      </w:r>
      <w:proofErr w:type="spellEnd"/>
    </w:p>
    <w:p w14:paraId="7870A106" w14:textId="0A1E7A0D" w:rsidR="00D506EA" w:rsidRDefault="00D506EA" w:rsidP="00D506EA">
      <w:pPr>
        <w:pStyle w:val="ListParagraph"/>
      </w:pPr>
      <w:r>
        <w:t>Order for disgorgement of profits (alternative to an award of damages—π can’t claim both)</w:t>
      </w:r>
    </w:p>
    <w:p w14:paraId="46CEE470" w14:textId="15E7B8BC" w:rsidR="00D506EA" w:rsidRDefault="00D506EA" w:rsidP="00D506EA">
      <w:pPr>
        <w:pStyle w:val="ListParagraph"/>
      </w:pPr>
      <w:r>
        <w:t>Delivery or destruction of goods or materials bearing the offending mark</w:t>
      </w:r>
    </w:p>
    <w:p w14:paraId="4E3D04A3" w14:textId="3874E03C" w:rsidR="00D506EA" w:rsidRDefault="00D506EA" w:rsidP="00D506EA">
      <w:pPr>
        <w:pStyle w:val="ListParagraph"/>
      </w:pPr>
      <w:r>
        <w:t xml:space="preserve">Punitive damages (only where ∆’s conduct is particularly egregious, e.g. </w:t>
      </w:r>
      <w:r w:rsidRPr="00CA6D5A">
        <w:rPr>
          <w:i/>
          <w:color w:val="FF0000"/>
        </w:rPr>
        <w:t>Arabian Muslim</w:t>
      </w:r>
      <w:r>
        <w:t>)</w:t>
      </w:r>
    </w:p>
    <w:p w14:paraId="7293D8D1" w14:textId="0EDDDAAD" w:rsidR="00CA6D5A" w:rsidRPr="00D506EA" w:rsidRDefault="00776234" w:rsidP="00CA6D5A">
      <w:pPr>
        <w:pStyle w:val="ListParagraph"/>
        <w:numPr>
          <w:ilvl w:val="1"/>
          <w:numId w:val="1"/>
        </w:numPr>
        <w:ind w:left="993" w:hanging="284"/>
      </w:pPr>
      <w:r>
        <w:t>While the damages should be nominal when π hasn’t established that it has suffered a financial loss as a result of ∆’s activities, the court may take ∆’s conduct into account and award punitive damages on top of that amount (</w:t>
      </w:r>
      <w:r w:rsidRPr="00776234">
        <w:rPr>
          <w:i/>
          <w:color w:val="FF0000"/>
        </w:rPr>
        <w:t>Arabian</w:t>
      </w:r>
      <w:r>
        <w:t>)</w:t>
      </w:r>
    </w:p>
    <w:p w14:paraId="7426394B" w14:textId="77777777" w:rsidR="000161E0" w:rsidRPr="00A95EF0" w:rsidRDefault="000161E0" w:rsidP="00A95EF0">
      <w:pPr>
        <w:rPr>
          <w:sz w:val="8"/>
          <w:szCs w:val="8"/>
        </w:rPr>
      </w:pPr>
    </w:p>
    <w:p w14:paraId="7970E628" w14:textId="363A978B" w:rsidR="000161E0" w:rsidRDefault="0074039A" w:rsidP="00A95EF0">
      <w:pPr>
        <w:pStyle w:val="Heading1"/>
      </w:pPr>
      <w:bookmarkStart w:id="6" w:name="_Toc480804601"/>
      <w:r>
        <w:t>REGISTERED TRADE-MARK</w:t>
      </w:r>
      <w:r w:rsidR="00BE4CCF">
        <w:t>S</w:t>
      </w:r>
      <w:bookmarkEnd w:id="6"/>
    </w:p>
    <w:p w14:paraId="12839234" w14:textId="0D7E7765" w:rsidR="00F511EC" w:rsidRDefault="00BE4CCF" w:rsidP="00A95EF0">
      <w:r w:rsidRPr="006D626A">
        <w:rPr>
          <w:color w:val="0500FF"/>
        </w:rPr>
        <w:t>s2</w:t>
      </w:r>
      <w:r>
        <w:t xml:space="preserve"> defines TMs as marks that are used for the purpose of distinguishing one’s goods/services manufactured, sold, leased, hired, or performed from those of others.</w:t>
      </w:r>
      <w:r w:rsidR="006D626A">
        <w:t xml:space="preserve"> In essence, TMs function to </w:t>
      </w:r>
      <w:r w:rsidR="00F16C9C">
        <w:t>protect the investment of TM owners in the goodwill associated with their marks while assuring</w:t>
      </w:r>
      <w:r w:rsidR="006D626A">
        <w:t xml:space="preserve"> consumers that they’re buying from the source from whom they think they’re buying (</w:t>
      </w:r>
      <w:r w:rsidR="006D626A" w:rsidRPr="006D626A">
        <w:rPr>
          <w:i/>
          <w:color w:val="FF0000"/>
        </w:rPr>
        <w:t>Mattel USA</w:t>
      </w:r>
      <w:r w:rsidR="006D626A">
        <w:t>).</w:t>
      </w:r>
    </w:p>
    <w:p w14:paraId="38530C35" w14:textId="77777777" w:rsidR="006D626A" w:rsidRPr="00EC6F20" w:rsidRDefault="006D626A" w:rsidP="00A95EF0">
      <w:pPr>
        <w:rPr>
          <w:sz w:val="8"/>
          <w:szCs w:val="8"/>
        </w:rPr>
      </w:pPr>
    </w:p>
    <w:p w14:paraId="1BB4F1B4" w14:textId="177838AF" w:rsidR="00EC6F20" w:rsidRPr="00EC6F20" w:rsidRDefault="00EC6F20" w:rsidP="00A95EF0">
      <w:r>
        <w:t xml:space="preserve">Registration of a TM provides protection within Canada, and gives the owner the exclusive right to use the mark for 15yrs. As per </w:t>
      </w:r>
      <w:proofErr w:type="spellStart"/>
      <w:r w:rsidRPr="00EC6F20">
        <w:rPr>
          <w:i/>
          <w:color w:val="FF0000"/>
        </w:rPr>
        <w:t>Kirbi</w:t>
      </w:r>
      <w:proofErr w:type="spellEnd"/>
      <w:r>
        <w:t>, the mark can’t be the product itself or a functional part of the product.</w:t>
      </w:r>
      <w:r w:rsidR="00E85F40">
        <w:t xml:space="preserve"> </w:t>
      </w:r>
    </w:p>
    <w:p w14:paraId="05A95D47" w14:textId="77777777" w:rsidR="00EC6F20" w:rsidRDefault="00EC6F20" w:rsidP="00A95EF0">
      <w:pPr>
        <w:rPr>
          <w:sz w:val="8"/>
          <w:szCs w:val="8"/>
        </w:rPr>
      </w:pPr>
    </w:p>
    <w:p w14:paraId="466F9C23" w14:textId="38A7C689" w:rsidR="00EC6F20" w:rsidRPr="00623BFF" w:rsidRDefault="00EC6F20" w:rsidP="00623BFF">
      <w:pPr>
        <w:pStyle w:val="Heading2"/>
      </w:pPr>
      <w:bookmarkStart w:id="7" w:name="_Toc480804602"/>
      <w:r w:rsidRPr="00623BFF">
        <w:t>CATEGORIES of TRADE-MARKS</w:t>
      </w:r>
      <w:bookmarkEnd w:id="7"/>
    </w:p>
    <w:p w14:paraId="65081EEC" w14:textId="0E302AAE" w:rsidR="006D626A" w:rsidRDefault="00EC6F20" w:rsidP="00E45E6F">
      <w:pPr>
        <w:pStyle w:val="ListParagraph"/>
        <w:numPr>
          <w:ilvl w:val="0"/>
          <w:numId w:val="5"/>
        </w:numPr>
        <w:ind w:left="426"/>
        <w:rPr>
          <w:b/>
        </w:rPr>
      </w:pPr>
      <w:r>
        <w:rPr>
          <w:b/>
        </w:rPr>
        <w:t>Ordinary marks</w:t>
      </w:r>
      <w:r>
        <w:t xml:space="preserve"> </w:t>
      </w:r>
      <w:r>
        <w:sym w:font="Wingdings" w:char="F0E0"/>
      </w:r>
      <w:r>
        <w:t xml:space="preserve"> Words or symbols that distinguishes the goods/services of a particular individual or firm (most marks)</w:t>
      </w:r>
    </w:p>
    <w:p w14:paraId="0912455C" w14:textId="1ED6F98E" w:rsidR="00EC6F20" w:rsidRDefault="00EC6F20" w:rsidP="00E45E6F">
      <w:pPr>
        <w:pStyle w:val="ListParagraph"/>
        <w:numPr>
          <w:ilvl w:val="0"/>
          <w:numId w:val="5"/>
        </w:numPr>
        <w:ind w:left="426"/>
        <w:rPr>
          <w:b/>
        </w:rPr>
      </w:pPr>
      <w:r>
        <w:rPr>
          <w:b/>
        </w:rPr>
        <w:t>Distinguishing guises</w:t>
      </w:r>
      <w:r>
        <w:t xml:space="preserve"> </w:t>
      </w:r>
      <w:r>
        <w:sym w:font="Wingdings" w:char="F0E0"/>
      </w:r>
      <w:r>
        <w:t xml:space="preserve"> The shape/design of the product or packaging that effectively distinguishes the product from others</w:t>
      </w:r>
    </w:p>
    <w:p w14:paraId="7929461A" w14:textId="3A024B85" w:rsidR="00EC6F20" w:rsidRPr="00163AD0" w:rsidRDefault="00EC6F20" w:rsidP="00E45E6F">
      <w:pPr>
        <w:pStyle w:val="ListParagraph"/>
        <w:numPr>
          <w:ilvl w:val="0"/>
          <w:numId w:val="5"/>
        </w:numPr>
        <w:ind w:left="426"/>
        <w:rPr>
          <w:b/>
        </w:rPr>
      </w:pPr>
      <w:r>
        <w:rPr>
          <w:b/>
        </w:rPr>
        <w:t>Special marks</w:t>
      </w:r>
      <w:r>
        <w:t xml:space="preserve"> </w:t>
      </w:r>
      <w:r>
        <w:sym w:font="Wingdings" w:char="F0E0"/>
      </w:r>
      <w:r>
        <w:t xml:space="preserve"> Certification marks, collective marks, geographical indications, and prohibited marks</w:t>
      </w:r>
    </w:p>
    <w:p w14:paraId="0F99DF75" w14:textId="77777777" w:rsidR="00163AD0" w:rsidRDefault="00163AD0" w:rsidP="00163AD0">
      <w:pPr>
        <w:rPr>
          <w:b/>
          <w:sz w:val="8"/>
          <w:szCs w:val="8"/>
        </w:rPr>
      </w:pPr>
    </w:p>
    <w:p w14:paraId="2774373F" w14:textId="3A13E5BF" w:rsidR="00A8779E" w:rsidRPr="00F16C9C" w:rsidRDefault="00A8779E" w:rsidP="00F16C9C">
      <w:pPr>
        <w:pStyle w:val="Heading3"/>
      </w:pPr>
      <w:bookmarkStart w:id="8" w:name="_Toc480804603"/>
      <w:r w:rsidRPr="00F16C9C">
        <w:t>ORDINARY MARKS</w:t>
      </w:r>
      <w:bookmarkEnd w:id="8"/>
    </w:p>
    <w:p w14:paraId="0486E374" w14:textId="13827191" w:rsidR="00A31E9F" w:rsidRDefault="00F16C9C" w:rsidP="007B2161">
      <w:r>
        <w:rPr>
          <w:szCs w:val="20"/>
        </w:rPr>
        <w:t>Ordinary marks include words or symbols that denote a single commercial source of the goods/services.</w:t>
      </w:r>
      <w:r w:rsidR="00A31E9F">
        <w:rPr>
          <w:szCs w:val="20"/>
        </w:rPr>
        <w:t xml:space="preserve"> </w:t>
      </w:r>
      <w:r w:rsidR="007B2161">
        <w:rPr>
          <w:szCs w:val="20"/>
        </w:rPr>
        <w:t>Embedded within the</w:t>
      </w:r>
      <w:r w:rsidR="00A31E9F">
        <w:rPr>
          <w:szCs w:val="20"/>
        </w:rPr>
        <w:t xml:space="preserve"> </w:t>
      </w:r>
      <w:r w:rsidR="00A31E9F" w:rsidRPr="00A31E9F">
        <w:rPr>
          <w:color w:val="0500FF"/>
          <w:szCs w:val="20"/>
        </w:rPr>
        <w:t xml:space="preserve">s2 </w:t>
      </w:r>
      <w:r w:rsidR="00A31E9F">
        <w:rPr>
          <w:szCs w:val="20"/>
        </w:rPr>
        <w:t>definition</w:t>
      </w:r>
      <w:r w:rsidR="007B2161">
        <w:rPr>
          <w:szCs w:val="20"/>
        </w:rPr>
        <w:t xml:space="preserve"> are some of the necessary requirements of TMs.</w:t>
      </w:r>
    </w:p>
    <w:p w14:paraId="00CF7D07" w14:textId="77777777" w:rsidR="00F16C9C" w:rsidRPr="007B2161" w:rsidRDefault="00F16C9C" w:rsidP="00A95EF0">
      <w:pPr>
        <w:rPr>
          <w:sz w:val="8"/>
          <w:szCs w:val="8"/>
        </w:rPr>
      </w:pPr>
    </w:p>
    <w:p w14:paraId="246192E9" w14:textId="77777777" w:rsidR="005E792B" w:rsidRDefault="007B2161" w:rsidP="00A95EF0">
      <w:pPr>
        <w:rPr>
          <w:szCs w:val="20"/>
        </w:rPr>
      </w:pPr>
      <w:r w:rsidRPr="005E792B">
        <w:rPr>
          <w:b/>
          <w:szCs w:val="20"/>
          <w:highlight w:val="yellow"/>
        </w:rPr>
        <w:t>MARK</w:t>
      </w:r>
      <w:r>
        <w:rPr>
          <w:szCs w:val="20"/>
        </w:rPr>
        <w:t xml:space="preserve"> </w:t>
      </w:r>
      <w:r w:rsidRPr="007B2161">
        <w:rPr>
          <w:szCs w:val="20"/>
        </w:rPr>
        <w:sym w:font="Wingdings" w:char="F0E0"/>
      </w:r>
      <w:r>
        <w:rPr>
          <w:szCs w:val="20"/>
        </w:rPr>
        <w:t xml:space="preserve"> </w:t>
      </w:r>
      <w:r w:rsidR="005E792B">
        <w:rPr>
          <w:szCs w:val="20"/>
        </w:rPr>
        <w:t>Words</w:t>
      </w:r>
      <w:r>
        <w:rPr>
          <w:szCs w:val="20"/>
        </w:rPr>
        <w:t xml:space="preserve"> and designs</w:t>
      </w:r>
      <w:r w:rsidR="005E792B">
        <w:rPr>
          <w:szCs w:val="20"/>
        </w:rPr>
        <w:t xml:space="preserve"> are the typical objects of TMs</w:t>
      </w:r>
    </w:p>
    <w:p w14:paraId="369155BA" w14:textId="77777777" w:rsidR="005E792B" w:rsidRDefault="005E792B" w:rsidP="005E792B">
      <w:pPr>
        <w:pStyle w:val="ListParagraph"/>
      </w:pPr>
      <w:r>
        <w:t xml:space="preserve">Non-traditional TMs include sound marks, smell marks, taste marks, and hologram marks—the process of registering these marks will become significantly easier if the reforms in </w:t>
      </w:r>
      <w:r w:rsidRPr="005E792B">
        <w:rPr>
          <w:color w:val="0500FF"/>
        </w:rPr>
        <w:t xml:space="preserve">Bill C-56 </w:t>
      </w:r>
      <w:r>
        <w:t>are adopted</w:t>
      </w:r>
    </w:p>
    <w:p w14:paraId="00DA37AE" w14:textId="2542364F" w:rsidR="007B2161" w:rsidRDefault="005E792B" w:rsidP="005E792B">
      <w:pPr>
        <w:pStyle w:val="ListParagraph"/>
      </w:pPr>
      <w:r>
        <w:t xml:space="preserve">As of March 2013, 21 sound marks have been registered (e.g. MGM’s roaring lion) </w:t>
      </w:r>
    </w:p>
    <w:p w14:paraId="5BEE185A" w14:textId="77777777" w:rsidR="005E792B" w:rsidRPr="005E792B" w:rsidRDefault="005E792B" w:rsidP="005E792B">
      <w:pPr>
        <w:rPr>
          <w:sz w:val="8"/>
          <w:szCs w:val="8"/>
        </w:rPr>
      </w:pPr>
    </w:p>
    <w:p w14:paraId="16D334B8" w14:textId="5FC9AFA3" w:rsidR="001127C8" w:rsidRPr="00C37C49" w:rsidRDefault="005E792B" w:rsidP="005E792B">
      <w:r w:rsidRPr="005E792B">
        <w:rPr>
          <w:b/>
          <w:highlight w:val="yellow"/>
        </w:rPr>
        <w:t>BARRIERS to the REGISTRATION of ORDINARY MARKS</w:t>
      </w:r>
      <w:r>
        <w:t xml:space="preserve"> </w:t>
      </w:r>
      <w:r>
        <w:sym w:font="Wingdings" w:char="F0E0"/>
      </w:r>
      <w:r>
        <w:t xml:space="preserve"> According to </w:t>
      </w:r>
      <w:r w:rsidRPr="005E792B">
        <w:rPr>
          <w:color w:val="0500FF"/>
        </w:rPr>
        <w:t>s12(1)</w:t>
      </w:r>
      <w:r>
        <w:t>, a TM is registrable unless it’s:</w:t>
      </w:r>
    </w:p>
    <w:p w14:paraId="1E9AECD6" w14:textId="0E48C64F" w:rsidR="005E792B" w:rsidRPr="00247941" w:rsidRDefault="005E792B" w:rsidP="00E45E6F">
      <w:pPr>
        <w:pStyle w:val="ListParagraph"/>
        <w:numPr>
          <w:ilvl w:val="0"/>
          <w:numId w:val="6"/>
        </w:numPr>
        <w:ind w:left="426"/>
        <w:rPr>
          <w:b/>
        </w:rPr>
      </w:pPr>
      <w:r w:rsidRPr="00247941">
        <w:rPr>
          <w:b/>
        </w:rPr>
        <w:t xml:space="preserve">A word that’s </w:t>
      </w:r>
      <w:r w:rsidR="00247941" w:rsidRPr="00247941">
        <w:rPr>
          <w:b/>
          <w:i/>
          <w:u w:val="single"/>
        </w:rPr>
        <w:t>primarily</w:t>
      </w:r>
      <w:r w:rsidRPr="00247941">
        <w:rPr>
          <w:b/>
          <w:i/>
          <w:u w:val="single"/>
        </w:rPr>
        <w:t xml:space="preserve"> merely</w:t>
      </w:r>
      <w:r w:rsidRPr="00247941">
        <w:rPr>
          <w:b/>
          <w:i/>
        </w:rPr>
        <w:t xml:space="preserve"> </w:t>
      </w:r>
      <w:r w:rsidRPr="00247941">
        <w:rPr>
          <w:b/>
        </w:rPr>
        <w:t>the name or surname of an individual who is living or has died within the preceding 30yrs</w:t>
      </w:r>
    </w:p>
    <w:tbl>
      <w:tblPr>
        <w:tblStyle w:val="TableGrid"/>
        <w:tblW w:w="0" w:type="auto"/>
        <w:tblInd w:w="424" w:type="dxa"/>
        <w:tblLook w:val="04A0" w:firstRow="1" w:lastRow="0" w:firstColumn="1" w:lastColumn="0" w:noHBand="0" w:noVBand="1"/>
      </w:tblPr>
      <w:tblGrid>
        <w:gridCol w:w="10056"/>
      </w:tblGrid>
      <w:tr w:rsidR="001127C8" w14:paraId="7CE98463" w14:textId="77777777" w:rsidTr="00D26A26">
        <w:tc>
          <w:tcPr>
            <w:tcW w:w="10056" w:type="dxa"/>
            <w:tcMar>
              <w:left w:w="0" w:type="dxa"/>
              <w:right w:w="0" w:type="dxa"/>
            </w:tcMar>
          </w:tcPr>
          <w:p w14:paraId="5D1B32B4" w14:textId="17E5EC53" w:rsidR="001127C8" w:rsidRDefault="00313E23" w:rsidP="001127C8">
            <w:pPr>
              <w:pStyle w:val="ListParagraph"/>
              <w:numPr>
                <w:ilvl w:val="0"/>
                <w:numId w:val="0"/>
              </w:numPr>
              <w:rPr>
                <w:b/>
              </w:rPr>
            </w:pPr>
            <w:r w:rsidRPr="00313E23">
              <w:rPr>
                <w:b/>
                <w:u w:val="single"/>
              </w:rPr>
              <w:lastRenderedPageBreak/>
              <w:t xml:space="preserve">PRIMARILY MERELY </w:t>
            </w:r>
            <w:r w:rsidR="00B86FD1" w:rsidRPr="00313E23">
              <w:rPr>
                <w:b/>
                <w:u w:val="single"/>
              </w:rPr>
              <w:t>TEST</w:t>
            </w:r>
            <w:r w:rsidR="001127C8">
              <w:t xml:space="preserve"> (</w:t>
            </w:r>
            <w:r w:rsidR="001127C8" w:rsidRPr="001127C8">
              <w:rPr>
                <w:i/>
                <w:color w:val="FF0000"/>
              </w:rPr>
              <w:t>Coles</w:t>
            </w:r>
            <w:r w:rsidR="001127C8">
              <w:t>)</w:t>
            </w:r>
            <w:r w:rsidR="001127C8">
              <w:rPr>
                <w:b/>
              </w:rPr>
              <w:t>:</w:t>
            </w:r>
          </w:p>
          <w:p w14:paraId="10AA65C2" w14:textId="3E3DF677" w:rsidR="001127C8" w:rsidRPr="001127C8" w:rsidRDefault="001127C8" w:rsidP="00E45E6F">
            <w:pPr>
              <w:pStyle w:val="ListParagraph"/>
              <w:numPr>
                <w:ilvl w:val="0"/>
                <w:numId w:val="7"/>
              </w:numPr>
              <w:rPr>
                <w:b/>
              </w:rPr>
            </w:pPr>
            <w:r>
              <w:rPr>
                <w:i/>
              </w:rPr>
              <w:t xml:space="preserve">Is the mark a word? </w:t>
            </w:r>
            <w:r>
              <w:sym w:font="Wingdings" w:char="F0E0"/>
            </w:r>
            <w:r>
              <w:t xml:space="preserve"> The mark can be a dictionary word, name, or invented word (</w:t>
            </w:r>
            <w:r w:rsidRPr="001127C8">
              <w:rPr>
                <w:i/>
                <w:color w:val="FF0000"/>
              </w:rPr>
              <w:t>Standard Oil</w:t>
            </w:r>
            <w:r w:rsidR="002E1E17">
              <w:t>)</w:t>
            </w:r>
          </w:p>
          <w:p w14:paraId="4DE06DF8" w14:textId="77777777" w:rsidR="001127C8" w:rsidRPr="002E1E17" w:rsidRDefault="001127C8" w:rsidP="00E45E6F">
            <w:pPr>
              <w:pStyle w:val="ListParagraph"/>
              <w:numPr>
                <w:ilvl w:val="0"/>
                <w:numId w:val="7"/>
              </w:numPr>
              <w:rPr>
                <w:b/>
              </w:rPr>
            </w:pPr>
            <w:r>
              <w:rPr>
                <w:i/>
              </w:rPr>
              <w:t>Is the chief, main, or principal character of that word a surname</w:t>
            </w:r>
            <w:r w:rsidR="00F46617">
              <w:rPr>
                <w:i/>
              </w:rPr>
              <w:t>, or is it principally or equally a word invented to be used as a TM?</w:t>
            </w:r>
          </w:p>
          <w:p w14:paraId="7BA26106" w14:textId="25A425C0" w:rsidR="002E1E17" w:rsidRPr="00D26A26" w:rsidRDefault="002E1E17" w:rsidP="002E1E17">
            <w:pPr>
              <w:pStyle w:val="ListParagraph"/>
              <w:ind w:left="990"/>
            </w:pPr>
            <w:r>
              <w:rPr>
                <w:b/>
              </w:rPr>
              <w:t xml:space="preserve">Ask: </w:t>
            </w:r>
            <w:r>
              <w:rPr>
                <w:i/>
              </w:rPr>
              <w:t xml:space="preserve">Would a person in Canada of </w:t>
            </w:r>
            <w:r>
              <w:rPr>
                <w:b/>
                <w:i/>
              </w:rPr>
              <w:t>ordinary intelligence and education</w:t>
            </w:r>
            <w:r w:rsidR="003E1326">
              <w:rPr>
                <w:i/>
              </w:rPr>
              <w:t xml:space="preserve"> in </w:t>
            </w:r>
            <w:proofErr w:type="spellStart"/>
            <w:r w:rsidR="003E1326">
              <w:rPr>
                <w:i/>
              </w:rPr>
              <w:t>Eng</w:t>
            </w:r>
            <w:proofErr w:type="spellEnd"/>
            <w:r w:rsidR="003E1326">
              <w:rPr>
                <w:i/>
              </w:rPr>
              <w:t>/Fr</w:t>
            </w:r>
            <w:r>
              <w:rPr>
                <w:i/>
              </w:rPr>
              <w:t xml:space="preserve"> be </w:t>
            </w:r>
            <w:r w:rsidRPr="00D26A26">
              <w:rPr>
                <w:i/>
              </w:rPr>
              <w:t>just as likely</w:t>
            </w:r>
            <w:r>
              <w:rPr>
                <w:i/>
              </w:rPr>
              <w:t>, if not more likely, to respond to the word by thinking of it as a brand or a mark of business than as a name or surname?</w:t>
            </w:r>
          </w:p>
          <w:p w14:paraId="0B044177" w14:textId="77777777" w:rsidR="00D26A26" w:rsidRPr="00B01ADC" w:rsidRDefault="00D26A26" w:rsidP="00E45E6F">
            <w:pPr>
              <w:pStyle w:val="ListParagraph"/>
              <w:numPr>
                <w:ilvl w:val="0"/>
                <w:numId w:val="8"/>
              </w:numPr>
              <w:ind w:left="1557" w:hanging="207"/>
            </w:pPr>
            <w:r w:rsidRPr="003E1326">
              <w:rPr>
                <w:b/>
              </w:rPr>
              <w:t>YES</w:t>
            </w:r>
            <w:r>
              <w:t xml:space="preserve"> = the TM isn’t primarily merely a name or surname and </w:t>
            </w:r>
            <w:r w:rsidRPr="003E1326">
              <w:rPr>
                <w:b/>
              </w:rPr>
              <w:t>can be registered</w:t>
            </w:r>
          </w:p>
          <w:p w14:paraId="7E1B9421" w14:textId="77777777" w:rsidR="00B01ADC" w:rsidRPr="00B01ADC" w:rsidRDefault="00B01ADC" w:rsidP="00B01ADC">
            <w:pPr>
              <w:pStyle w:val="ListParagraph"/>
              <w:numPr>
                <w:ilvl w:val="0"/>
                <w:numId w:val="0"/>
              </w:numPr>
              <w:ind w:left="1557"/>
              <w:rPr>
                <w:sz w:val="8"/>
                <w:szCs w:val="8"/>
              </w:rPr>
            </w:pPr>
          </w:p>
          <w:p w14:paraId="55FEDD2A" w14:textId="474A19E8" w:rsidR="00247941" w:rsidRDefault="00247941" w:rsidP="00247941">
            <w:r w:rsidRPr="00C30B38">
              <w:rPr>
                <w:i/>
                <w:color w:val="FF0000"/>
              </w:rPr>
              <w:t>Coles</w:t>
            </w:r>
            <w:r>
              <w:t xml:space="preserve">: </w:t>
            </w:r>
            <w:r w:rsidR="00C30B38">
              <w:t xml:space="preserve">A Canadian of ordinary intelligence and education in </w:t>
            </w:r>
            <w:proofErr w:type="spellStart"/>
            <w:r w:rsidR="00C30B38">
              <w:t>Eng</w:t>
            </w:r>
            <w:proofErr w:type="spellEnd"/>
            <w:r w:rsidR="00C30B38">
              <w:t>/Fr would immediately respond to the TM “Coles” by thinking of it as a surname, and wouldn’t be likely to know that “Coles” has a dictionary meaning = not registrable</w:t>
            </w:r>
          </w:p>
          <w:p w14:paraId="1B4D3B52" w14:textId="005EFBA6" w:rsidR="00247941" w:rsidRPr="00247941" w:rsidRDefault="00C30B38" w:rsidP="00247941">
            <w:pPr>
              <w:pStyle w:val="ListParagraph"/>
            </w:pPr>
            <w:r>
              <w:rPr>
                <w:b/>
              </w:rPr>
              <w:t>Work-around:</w:t>
            </w:r>
            <w:r>
              <w:t xml:space="preserve"> As was the case in </w:t>
            </w:r>
            <w:r w:rsidRPr="00C30B38">
              <w:rPr>
                <w:i/>
                <w:color w:val="FF0000"/>
              </w:rPr>
              <w:t>Coles</w:t>
            </w:r>
            <w:r>
              <w:t xml:space="preserve">, try to register the mark via </w:t>
            </w:r>
            <w:r w:rsidRPr="00C30B38">
              <w:rPr>
                <w:color w:val="0500FF"/>
              </w:rPr>
              <w:t xml:space="preserve">s12(2) </w:t>
            </w:r>
            <w:r>
              <w:t>(argue that the mark has been so used in Canada as to have become distinctive at the date of filing for registration)</w:t>
            </w:r>
          </w:p>
        </w:tc>
      </w:tr>
    </w:tbl>
    <w:p w14:paraId="68B4B487" w14:textId="77777777" w:rsidR="001127C8" w:rsidRPr="00CC3DA6" w:rsidRDefault="001127C8" w:rsidP="001127C8">
      <w:pPr>
        <w:pStyle w:val="ListParagraph"/>
        <w:numPr>
          <w:ilvl w:val="0"/>
          <w:numId w:val="0"/>
        </w:numPr>
        <w:ind w:left="426"/>
        <w:rPr>
          <w:sz w:val="8"/>
          <w:szCs w:val="8"/>
        </w:rPr>
      </w:pPr>
    </w:p>
    <w:p w14:paraId="6C733DA9" w14:textId="5D2D5042" w:rsidR="005E792B" w:rsidRDefault="005E792B" w:rsidP="00E45E6F">
      <w:pPr>
        <w:pStyle w:val="ListParagraph"/>
        <w:numPr>
          <w:ilvl w:val="0"/>
          <w:numId w:val="6"/>
        </w:numPr>
        <w:ind w:left="426"/>
      </w:pPr>
      <w:r w:rsidRPr="00247941">
        <w:rPr>
          <w:b/>
          <w:i/>
          <w:u w:val="single"/>
        </w:rPr>
        <w:t>Clearly descriptive</w:t>
      </w:r>
      <w:r w:rsidRPr="00247941">
        <w:rPr>
          <w:b/>
          <w:i/>
        </w:rPr>
        <w:t xml:space="preserve"> </w:t>
      </w:r>
      <w:r w:rsidRPr="00247941">
        <w:rPr>
          <w:b/>
        </w:rPr>
        <w:t xml:space="preserve">or </w:t>
      </w:r>
      <w:r w:rsidRPr="00247941">
        <w:rPr>
          <w:b/>
          <w:i/>
          <w:u w:val="single"/>
        </w:rPr>
        <w:t>deceptively misdescriptive</w:t>
      </w:r>
      <w:r w:rsidRPr="00247941">
        <w:rPr>
          <w:b/>
          <w:i/>
        </w:rPr>
        <w:t xml:space="preserve"> </w:t>
      </w:r>
      <w:r w:rsidR="0074039A">
        <w:rPr>
          <w:b/>
        </w:rPr>
        <w:t xml:space="preserve">in </w:t>
      </w:r>
      <w:proofErr w:type="spellStart"/>
      <w:r w:rsidR="0074039A">
        <w:rPr>
          <w:b/>
        </w:rPr>
        <w:t>Eng</w:t>
      </w:r>
      <w:proofErr w:type="spellEnd"/>
      <w:r w:rsidR="0074039A">
        <w:rPr>
          <w:b/>
        </w:rPr>
        <w:t>/Fr</w:t>
      </w:r>
      <w:r w:rsidRPr="00247941">
        <w:rPr>
          <w:b/>
        </w:rPr>
        <w:t xml:space="preserve"> of the character or quality of the goods/services, the conditions of their production, or their place of origin</w:t>
      </w:r>
    </w:p>
    <w:tbl>
      <w:tblPr>
        <w:tblStyle w:val="TableGrid"/>
        <w:tblW w:w="0" w:type="auto"/>
        <w:tblInd w:w="424" w:type="dxa"/>
        <w:tblLook w:val="04A0" w:firstRow="1" w:lastRow="0" w:firstColumn="1" w:lastColumn="0" w:noHBand="0" w:noVBand="1"/>
      </w:tblPr>
      <w:tblGrid>
        <w:gridCol w:w="10056"/>
      </w:tblGrid>
      <w:tr w:rsidR="003E1326" w14:paraId="524B13CF" w14:textId="77777777" w:rsidTr="00453957">
        <w:tc>
          <w:tcPr>
            <w:tcW w:w="10056" w:type="dxa"/>
            <w:tcMar>
              <w:left w:w="0" w:type="dxa"/>
              <w:right w:w="0" w:type="dxa"/>
            </w:tcMar>
          </w:tcPr>
          <w:p w14:paraId="22AADCF3" w14:textId="1ED12C25" w:rsidR="003E1326" w:rsidRDefault="003E1326" w:rsidP="003E1326">
            <w:pPr>
              <w:pStyle w:val="ListParagraph"/>
              <w:numPr>
                <w:ilvl w:val="0"/>
                <w:numId w:val="0"/>
              </w:numPr>
            </w:pPr>
            <w:r>
              <w:t xml:space="preserve">For both these tests, the point-of-view is that of an </w:t>
            </w:r>
            <w:r>
              <w:rPr>
                <w:b/>
              </w:rPr>
              <w:t>average purchaser of the goods</w:t>
            </w:r>
            <w:r>
              <w:t xml:space="preserve"> and the mark must be considered in its </w:t>
            </w:r>
            <w:r>
              <w:rPr>
                <w:b/>
              </w:rPr>
              <w:t xml:space="preserve">entirety </w:t>
            </w:r>
            <w:r>
              <w:t xml:space="preserve">as a matter of </w:t>
            </w:r>
            <w:r>
              <w:rPr>
                <w:b/>
              </w:rPr>
              <w:t>immediate impression</w:t>
            </w:r>
            <w:r>
              <w:t xml:space="preserve"> (</w:t>
            </w:r>
            <w:r w:rsidRPr="003E1326">
              <w:rPr>
                <w:i/>
                <w:color w:val="FF0000"/>
              </w:rPr>
              <w:t>Unilever</w:t>
            </w:r>
            <w:r>
              <w:t>)</w:t>
            </w:r>
          </w:p>
          <w:p w14:paraId="2C97CF2F" w14:textId="45A33CF0" w:rsidR="003E1326" w:rsidRDefault="003E1326" w:rsidP="003E1326">
            <w:pPr>
              <w:pStyle w:val="ListParagraph"/>
            </w:pPr>
            <w:r>
              <w:rPr>
                <w:b/>
              </w:rPr>
              <w:t>Rationale:</w:t>
            </w:r>
            <w:r>
              <w:t xml:space="preserve"> We don’t want to cripple free </w:t>
            </w:r>
            <w:r w:rsidR="00C37C49">
              <w:t>competition</w:t>
            </w:r>
            <w:r w:rsidR="00FE363E">
              <w:t>—common language should be usable by others and common phrases will eventually run out if we allow them to be the subject of TM</w:t>
            </w:r>
          </w:p>
          <w:p w14:paraId="0656476E" w14:textId="77777777" w:rsidR="003E1326" w:rsidRPr="001021D1" w:rsidRDefault="003E1326" w:rsidP="003E1326">
            <w:pPr>
              <w:pStyle w:val="ListParagraph"/>
            </w:pPr>
            <w:r>
              <w:rPr>
                <w:b/>
              </w:rPr>
              <w:t xml:space="preserve">Note: </w:t>
            </w:r>
            <w:r w:rsidRPr="003E1326">
              <w:t>A mark that’s found to be</w:t>
            </w:r>
            <w:r>
              <w:rPr>
                <w:b/>
              </w:rPr>
              <w:t xml:space="preserve"> clearly descriptive </w:t>
            </w:r>
            <w:r w:rsidRPr="003E1326">
              <w:t xml:space="preserve">will also be found not to be </w:t>
            </w:r>
            <w:r>
              <w:rPr>
                <w:b/>
              </w:rPr>
              <w:t>distinctive</w:t>
            </w:r>
          </w:p>
          <w:p w14:paraId="39CB3D6F" w14:textId="5311C1B7" w:rsidR="00FE363E" w:rsidRPr="00B01ADC" w:rsidRDefault="001021D1" w:rsidP="00FE363E">
            <w:pPr>
              <w:pStyle w:val="ListParagraph"/>
            </w:pPr>
            <w:r>
              <w:rPr>
                <w:b/>
              </w:rPr>
              <w:t>Quality:</w:t>
            </w:r>
            <w:r w:rsidR="00107BFB">
              <w:t xml:space="preserve"> The r</w:t>
            </w:r>
            <w:r>
              <w:t xml:space="preserve">eference to “quality” in </w:t>
            </w:r>
            <w:r w:rsidRPr="001021D1">
              <w:rPr>
                <w:color w:val="0500FF"/>
              </w:rPr>
              <w:t xml:space="preserve">s12(1)(b) </w:t>
            </w:r>
            <w:r>
              <w:t xml:space="preserve">implies that </w:t>
            </w:r>
            <w:r>
              <w:rPr>
                <w:b/>
                <w:i/>
              </w:rPr>
              <w:t xml:space="preserve">words that describe a degree of excellence </w:t>
            </w:r>
            <w:r w:rsidR="00107BFB">
              <w:t>≠</w:t>
            </w:r>
            <w:r>
              <w:rPr>
                <w:b/>
                <w:i/>
              </w:rPr>
              <w:t xml:space="preserve"> registrable</w:t>
            </w:r>
          </w:p>
          <w:p w14:paraId="030EBF1C" w14:textId="77777777" w:rsidR="00B01ADC" w:rsidRPr="00B01ADC" w:rsidRDefault="00B01ADC" w:rsidP="00B01ADC">
            <w:pPr>
              <w:pStyle w:val="ListParagraph"/>
              <w:numPr>
                <w:ilvl w:val="0"/>
                <w:numId w:val="0"/>
              </w:numPr>
              <w:ind w:left="426"/>
              <w:rPr>
                <w:sz w:val="8"/>
                <w:szCs w:val="8"/>
              </w:rPr>
            </w:pPr>
          </w:p>
          <w:p w14:paraId="00E1785B" w14:textId="73FC231C" w:rsidR="00B86FD1" w:rsidRPr="00EC3D76" w:rsidRDefault="00B86FD1" w:rsidP="00B86FD1">
            <w:r w:rsidRPr="00313E23">
              <w:rPr>
                <w:b/>
                <w:u w:val="single"/>
              </w:rPr>
              <w:t>CLEARLY DESCRIPTIVE TEST</w:t>
            </w:r>
            <w:r>
              <w:t xml:space="preserve"> (</w:t>
            </w:r>
            <w:r w:rsidRPr="00B86FD1">
              <w:rPr>
                <w:i/>
                <w:color w:val="FF0000"/>
              </w:rPr>
              <w:t>Unilever</w:t>
            </w:r>
            <w:r>
              <w:t>)</w:t>
            </w:r>
            <w:r>
              <w:rPr>
                <w:b/>
              </w:rPr>
              <w:t>:</w:t>
            </w:r>
            <w:r w:rsidR="00B01ADC">
              <w:rPr>
                <w:b/>
              </w:rPr>
              <w:t xml:space="preserve"> </w:t>
            </w:r>
            <w:r w:rsidR="00B01ADC">
              <w:rPr>
                <w:i/>
              </w:rPr>
              <w:t>Does the mark tell potential dealers/purchasers of the goods/services what they are, or describe them or a property which is commonly associated with them?</w:t>
            </w:r>
            <w:r w:rsidR="00EC3D76">
              <w:t xml:space="preserve"> </w:t>
            </w:r>
            <w:r w:rsidR="00EC3D76">
              <w:rPr>
                <w:b/>
              </w:rPr>
              <w:t>YES</w:t>
            </w:r>
            <w:r w:rsidR="00EC3D76">
              <w:t xml:space="preserve"> = clearly descriptive</w:t>
            </w:r>
          </w:p>
          <w:p w14:paraId="7C591DF4" w14:textId="22737652" w:rsidR="00FB3D11" w:rsidRDefault="00FB3D11" w:rsidP="00FB3D11">
            <w:pPr>
              <w:pStyle w:val="ListParagraph"/>
            </w:pPr>
            <w:r>
              <w:rPr>
                <w:b/>
              </w:rPr>
              <w:t>Clearly</w:t>
            </w:r>
            <w:r>
              <w:t xml:space="preserve"> = e</w:t>
            </w:r>
            <w:r w:rsidR="0074039A">
              <w:t>asy to understand, self-evident</w:t>
            </w:r>
            <w:r>
              <w:t>, or plain (</w:t>
            </w:r>
            <w:r w:rsidRPr="00FB3D11">
              <w:rPr>
                <w:i/>
                <w:color w:val="FF0000"/>
              </w:rPr>
              <w:t>Unilever</w:t>
            </w:r>
            <w:r>
              <w:t>)</w:t>
            </w:r>
          </w:p>
          <w:p w14:paraId="55279010" w14:textId="1C8244B4" w:rsidR="007E0A5A" w:rsidRDefault="007E0A5A" w:rsidP="00FB3D11">
            <w:pPr>
              <w:pStyle w:val="ListParagraph"/>
            </w:pPr>
            <w:r w:rsidRPr="003F7C76">
              <w:rPr>
                <w:b/>
                <w:i/>
                <w:color w:val="FF0000"/>
              </w:rPr>
              <w:t>Unilever</w:t>
            </w:r>
            <w:r>
              <w:rPr>
                <w:b/>
              </w:rPr>
              <w:t xml:space="preserve">: </w:t>
            </w:r>
            <w:r>
              <w:t xml:space="preserve">“Better than </w:t>
            </w:r>
            <w:proofErr w:type="spellStart"/>
            <w:r>
              <w:t>Boulilion</w:t>
            </w:r>
            <w:proofErr w:type="spellEnd"/>
            <w:r>
              <w:t>” was found to be clearly descriptive</w:t>
            </w:r>
            <w:r w:rsidR="00FE363E">
              <w:t xml:space="preserve"> (as a matter of 1</w:t>
            </w:r>
            <w:r w:rsidR="00FE363E" w:rsidRPr="00FE363E">
              <w:rPr>
                <w:vertAlign w:val="superscript"/>
              </w:rPr>
              <w:t>st</w:t>
            </w:r>
            <w:r w:rsidR="00FE363E">
              <w:t xml:space="preserve"> impression, </w:t>
            </w:r>
            <w:r w:rsidR="00FE363E">
              <w:rPr>
                <w:i/>
              </w:rPr>
              <w:t>expression of praise</w:t>
            </w:r>
            <w:r w:rsidR="00FE363E">
              <w:t>)</w:t>
            </w:r>
          </w:p>
          <w:p w14:paraId="1793DEA5" w14:textId="428EE29C" w:rsidR="007E0A5A" w:rsidRPr="00FB3D11" w:rsidRDefault="007E0A5A" w:rsidP="00FB3D11">
            <w:pPr>
              <w:pStyle w:val="ListParagraph"/>
            </w:pPr>
            <w:r w:rsidRPr="003F7C76">
              <w:rPr>
                <w:b/>
                <w:i/>
                <w:color w:val="FF0000"/>
              </w:rPr>
              <w:t>Word Wide Diamond</w:t>
            </w:r>
            <w:r>
              <w:rPr>
                <w:b/>
              </w:rPr>
              <w:t xml:space="preserve">: </w:t>
            </w:r>
            <w:r w:rsidR="003F7C76">
              <w:t>“Mark of a diamond cut an</w:t>
            </w:r>
            <w:r w:rsidR="0074039A">
              <w:t>d</w:t>
            </w:r>
            <w:r w:rsidR="003F7C76">
              <w:t xml:space="preserve"> polished in Canada” was found to be clearly descriptive</w:t>
            </w:r>
          </w:p>
          <w:p w14:paraId="54BE7468" w14:textId="77777777" w:rsidR="00B01ADC" w:rsidRPr="00313E23" w:rsidRDefault="00B01ADC" w:rsidP="00B86FD1">
            <w:pPr>
              <w:rPr>
                <w:i/>
                <w:sz w:val="8"/>
                <w:szCs w:val="8"/>
                <w:u w:val="single"/>
              </w:rPr>
            </w:pPr>
          </w:p>
          <w:p w14:paraId="48CCBB62" w14:textId="473F294B" w:rsidR="00B86FD1" w:rsidRPr="00EC3D76" w:rsidRDefault="00B86FD1" w:rsidP="00B86FD1">
            <w:r w:rsidRPr="00313E23">
              <w:rPr>
                <w:b/>
                <w:u w:val="single"/>
              </w:rPr>
              <w:t>DECEPTIVELY MISDESCRIPTIVE TEST</w:t>
            </w:r>
            <w:r>
              <w:rPr>
                <w:b/>
              </w:rPr>
              <w:t xml:space="preserve"> </w:t>
            </w:r>
            <w:r>
              <w:t>(</w:t>
            </w:r>
            <w:r w:rsidRPr="00B86FD1">
              <w:rPr>
                <w:i/>
                <w:color w:val="FF0000"/>
              </w:rPr>
              <w:t>Unilever</w:t>
            </w:r>
            <w:r>
              <w:t>)</w:t>
            </w:r>
            <w:r>
              <w:rPr>
                <w:b/>
              </w:rPr>
              <w:t>:</w:t>
            </w:r>
            <w:r w:rsidR="00B01ADC">
              <w:rPr>
                <w:i/>
              </w:rPr>
              <w:t xml:space="preserve"> Would dealers/purchasers of the goods be deceived by the </w:t>
            </w:r>
            <w:proofErr w:type="spellStart"/>
            <w:r w:rsidR="00B01ADC">
              <w:rPr>
                <w:i/>
              </w:rPr>
              <w:t>misdescription</w:t>
            </w:r>
            <w:proofErr w:type="spellEnd"/>
            <w:r w:rsidR="00B01ADC">
              <w:rPr>
                <w:i/>
              </w:rPr>
              <w:t xml:space="preserve"> into purchasing goods or ordering servic</w:t>
            </w:r>
            <w:r w:rsidR="00EC3D76">
              <w:rPr>
                <w:i/>
              </w:rPr>
              <w:t>es which differ in character/</w:t>
            </w:r>
            <w:r w:rsidR="00B01ADC">
              <w:rPr>
                <w:i/>
              </w:rPr>
              <w:t>quality from those expected?</w:t>
            </w:r>
            <w:r w:rsidR="00EC3D76">
              <w:t xml:space="preserve"> </w:t>
            </w:r>
            <w:r w:rsidR="00EC3D76">
              <w:rPr>
                <w:b/>
              </w:rPr>
              <w:t xml:space="preserve">YES </w:t>
            </w:r>
            <w:r w:rsidR="00EC3D76">
              <w:t>= deceptively misdescriptive</w:t>
            </w:r>
          </w:p>
          <w:p w14:paraId="713D87A6" w14:textId="6B79D201" w:rsidR="00FB3D11" w:rsidRPr="00FB3D11" w:rsidRDefault="00FB3D11" w:rsidP="00FB3D11">
            <w:pPr>
              <w:pStyle w:val="ListParagraph"/>
            </w:pPr>
            <w:r>
              <w:rPr>
                <w:b/>
              </w:rPr>
              <w:t>Character</w:t>
            </w:r>
            <w:r>
              <w:t xml:space="preserve"> = a feature, trait, or characteristic of the goods (</w:t>
            </w:r>
            <w:r w:rsidRPr="00FB3D11">
              <w:rPr>
                <w:i/>
                <w:color w:val="FF0000"/>
              </w:rPr>
              <w:t>Unilever</w:t>
            </w:r>
            <w:r>
              <w:t>)</w:t>
            </w:r>
          </w:p>
          <w:p w14:paraId="4FD8FC12" w14:textId="5D9B0D48" w:rsidR="00FB3D11" w:rsidRPr="00FB3D11" w:rsidRDefault="00FB3D11" w:rsidP="00FB3D11">
            <w:pPr>
              <w:pStyle w:val="ListParagraph"/>
            </w:pPr>
            <w:r>
              <w:rPr>
                <w:b/>
              </w:rPr>
              <w:t>Quality</w:t>
            </w:r>
            <w:r>
              <w:t xml:space="preserve"> = words that describe a degree of excellence; laudatory words; words expressing praise (</w:t>
            </w:r>
            <w:r w:rsidRPr="00FB3D11">
              <w:rPr>
                <w:i/>
                <w:color w:val="FF0000"/>
              </w:rPr>
              <w:t>Unilever</w:t>
            </w:r>
            <w:r>
              <w:t>)</w:t>
            </w:r>
          </w:p>
        </w:tc>
      </w:tr>
    </w:tbl>
    <w:p w14:paraId="777E9859" w14:textId="77777777" w:rsidR="001127C8" w:rsidRPr="003E1326" w:rsidRDefault="001127C8" w:rsidP="001127C8">
      <w:pPr>
        <w:rPr>
          <w:sz w:val="8"/>
          <w:szCs w:val="8"/>
        </w:rPr>
      </w:pPr>
    </w:p>
    <w:p w14:paraId="10BCE896" w14:textId="77777777" w:rsidR="005E792B" w:rsidRPr="00247941" w:rsidRDefault="005E792B" w:rsidP="00E45E6F">
      <w:pPr>
        <w:pStyle w:val="ListParagraph"/>
        <w:numPr>
          <w:ilvl w:val="0"/>
          <w:numId w:val="6"/>
        </w:numPr>
        <w:ind w:left="426"/>
        <w:rPr>
          <w:b/>
        </w:rPr>
      </w:pPr>
      <w:r w:rsidRPr="00247941">
        <w:rPr>
          <w:b/>
        </w:rPr>
        <w:t xml:space="preserve">The </w:t>
      </w:r>
      <w:r w:rsidRPr="0074039A">
        <w:rPr>
          <w:b/>
          <w:i/>
          <w:u w:val="single"/>
        </w:rPr>
        <w:t>name in any language</w:t>
      </w:r>
      <w:r w:rsidRPr="00247941">
        <w:rPr>
          <w:b/>
        </w:rPr>
        <w:t xml:space="preserve"> of the goods/services in connection with which it is used</w:t>
      </w:r>
    </w:p>
    <w:tbl>
      <w:tblPr>
        <w:tblStyle w:val="TableGrid"/>
        <w:tblW w:w="0" w:type="auto"/>
        <w:tblInd w:w="424" w:type="dxa"/>
        <w:tblLook w:val="04A0" w:firstRow="1" w:lastRow="0" w:firstColumn="1" w:lastColumn="0" w:noHBand="0" w:noVBand="1"/>
      </w:tblPr>
      <w:tblGrid>
        <w:gridCol w:w="10056"/>
      </w:tblGrid>
      <w:tr w:rsidR="003E1326" w14:paraId="4E6EE700" w14:textId="77777777" w:rsidTr="00453957">
        <w:tc>
          <w:tcPr>
            <w:tcW w:w="10056" w:type="dxa"/>
            <w:tcMar>
              <w:left w:w="0" w:type="dxa"/>
              <w:right w:w="0" w:type="dxa"/>
            </w:tcMar>
          </w:tcPr>
          <w:p w14:paraId="6AC7BB80" w14:textId="77777777" w:rsidR="003E1326" w:rsidRDefault="0074039A" w:rsidP="0074039A">
            <w:pPr>
              <w:pStyle w:val="ListParagraph"/>
              <w:numPr>
                <w:ilvl w:val="0"/>
                <w:numId w:val="0"/>
              </w:numPr>
            </w:pPr>
            <w:r w:rsidRPr="0074039A">
              <w:rPr>
                <w:color w:val="0500FF"/>
              </w:rPr>
              <w:t xml:space="preserve">s12(1)(c) </w:t>
            </w:r>
            <w:r>
              <w:t xml:space="preserve">is </w:t>
            </w:r>
            <w:r>
              <w:rPr>
                <w:i/>
              </w:rPr>
              <w:t xml:space="preserve">narrower </w:t>
            </w:r>
            <w:r>
              <w:t xml:space="preserve">than </w:t>
            </w:r>
            <w:r w:rsidRPr="0074039A">
              <w:rPr>
                <w:color w:val="0500FF"/>
              </w:rPr>
              <w:t xml:space="preserve">s12(1)(b) </w:t>
            </w:r>
            <w:r>
              <w:t xml:space="preserve">since it is only concerned about the </w:t>
            </w:r>
            <w:r>
              <w:rPr>
                <w:i/>
              </w:rPr>
              <w:t xml:space="preserve">name </w:t>
            </w:r>
            <w:r>
              <w:t xml:space="preserve">of the goods/services, but </w:t>
            </w:r>
            <w:r>
              <w:rPr>
                <w:i/>
              </w:rPr>
              <w:t xml:space="preserve">broader </w:t>
            </w:r>
            <w:r>
              <w:t xml:space="preserve">in the sense that it forbids registration of TMs in </w:t>
            </w:r>
            <w:r>
              <w:rPr>
                <w:i/>
              </w:rPr>
              <w:t>any language</w:t>
            </w:r>
            <w:r>
              <w:t xml:space="preserve">—not just </w:t>
            </w:r>
            <w:proofErr w:type="spellStart"/>
            <w:r>
              <w:t>Eng</w:t>
            </w:r>
            <w:proofErr w:type="spellEnd"/>
            <w:r>
              <w:t xml:space="preserve">/Fr. This is evidence of the court trying to maintain </w:t>
            </w:r>
            <w:r>
              <w:rPr>
                <w:b/>
              </w:rPr>
              <w:t xml:space="preserve">balance </w:t>
            </w:r>
            <w:r>
              <w:t>between the rights of the TM owner and the rights of the public, including other competing businesses.</w:t>
            </w:r>
          </w:p>
          <w:p w14:paraId="7C0E4864" w14:textId="77777777" w:rsidR="00A1410E" w:rsidRPr="00A1410E" w:rsidRDefault="00A1410E" w:rsidP="0074039A">
            <w:pPr>
              <w:pStyle w:val="ListParagraph"/>
              <w:numPr>
                <w:ilvl w:val="0"/>
                <w:numId w:val="0"/>
              </w:numPr>
              <w:rPr>
                <w:sz w:val="8"/>
                <w:szCs w:val="8"/>
              </w:rPr>
            </w:pPr>
          </w:p>
          <w:p w14:paraId="0CC82EEF" w14:textId="0CA9C14E" w:rsidR="00313E23" w:rsidRPr="00313E23" w:rsidRDefault="0074039A" w:rsidP="00106644">
            <w:pPr>
              <w:rPr>
                <w:color w:val="0500FF"/>
              </w:rPr>
            </w:pPr>
            <w:r w:rsidRPr="00A1410E">
              <w:rPr>
                <w:b/>
                <w:i/>
                <w:color w:val="FF0000"/>
              </w:rPr>
              <w:t>General Foods</w:t>
            </w:r>
            <w:r w:rsidRPr="00A1410E">
              <w:rPr>
                <w:b/>
              </w:rPr>
              <w:t>:</w:t>
            </w:r>
            <w:r>
              <w:t xml:space="preserve"> </w:t>
            </w:r>
            <w:r w:rsidR="00313E23">
              <w:t xml:space="preserve">If the appropriate description of the goods/services in “ordinary commercial terms” (req’d for registration under </w:t>
            </w:r>
            <w:r w:rsidR="00313E23" w:rsidRPr="00313E23">
              <w:rPr>
                <w:color w:val="0500FF"/>
              </w:rPr>
              <w:t>s30(a)</w:t>
            </w:r>
            <w:r w:rsidR="00313E23">
              <w:t xml:space="preserve">) consists of the same words as the mark itself, then the mark isn’t registrable under </w:t>
            </w:r>
            <w:r w:rsidR="00313E23" w:rsidRPr="00313E23">
              <w:rPr>
                <w:color w:val="0500FF"/>
              </w:rPr>
              <w:t xml:space="preserve">s12(1)(c) </w:t>
            </w:r>
          </w:p>
          <w:p w14:paraId="7745DE52" w14:textId="67698F6C" w:rsidR="0074039A" w:rsidRPr="0074039A" w:rsidRDefault="00313E23" w:rsidP="00313E23">
            <w:pPr>
              <w:pStyle w:val="ListParagraph"/>
            </w:pPr>
            <w:r>
              <w:rPr>
                <w:b/>
              </w:rPr>
              <w:t xml:space="preserve">Facts: </w:t>
            </w:r>
            <w:r w:rsidR="00106644">
              <w:t>Application to register “instant breakfast” for use in association w</w:t>
            </w:r>
            <w:proofErr w:type="gramStart"/>
            <w:r w:rsidR="00106644">
              <w:t>/”fortified</w:t>
            </w:r>
            <w:proofErr w:type="gramEnd"/>
            <w:r w:rsidR="00106644">
              <w:t xml:space="preserve"> powder food for mixing with milk” was denied—the appropriate description of the product in ordinary commercial terms was “instant breakfast” </w:t>
            </w:r>
          </w:p>
        </w:tc>
      </w:tr>
    </w:tbl>
    <w:p w14:paraId="07098C47" w14:textId="77777777" w:rsidR="001127C8" w:rsidRPr="003E1326" w:rsidRDefault="001127C8" w:rsidP="001127C8">
      <w:pPr>
        <w:rPr>
          <w:sz w:val="8"/>
          <w:szCs w:val="8"/>
        </w:rPr>
      </w:pPr>
    </w:p>
    <w:p w14:paraId="01E28B95" w14:textId="77777777" w:rsidR="005E792B" w:rsidRPr="00247941" w:rsidRDefault="005E792B" w:rsidP="00E45E6F">
      <w:pPr>
        <w:pStyle w:val="ListParagraph"/>
        <w:numPr>
          <w:ilvl w:val="0"/>
          <w:numId w:val="6"/>
        </w:numPr>
        <w:ind w:left="426"/>
        <w:rPr>
          <w:b/>
        </w:rPr>
      </w:pPr>
      <w:r w:rsidRPr="00247941">
        <w:rPr>
          <w:b/>
          <w:i/>
          <w:u w:val="single"/>
        </w:rPr>
        <w:t>Confusing</w:t>
      </w:r>
      <w:r w:rsidRPr="00247941">
        <w:rPr>
          <w:b/>
          <w:i/>
        </w:rPr>
        <w:t xml:space="preserve"> </w:t>
      </w:r>
      <w:r w:rsidRPr="00247941">
        <w:rPr>
          <w:b/>
        </w:rPr>
        <w:t>with a registered TM</w:t>
      </w:r>
    </w:p>
    <w:p w14:paraId="02520548" w14:textId="77777777" w:rsidR="001127C8" w:rsidRPr="003E1326" w:rsidRDefault="001127C8" w:rsidP="001127C8">
      <w:pPr>
        <w:rPr>
          <w:sz w:val="8"/>
          <w:szCs w:val="8"/>
        </w:rPr>
      </w:pPr>
    </w:p>
    <w:p w14:paraId="62B485DB" w14:textId="518C1FEC" w:rsidR="001127C8" w:rsidRPr="00247941" w:rsidRDefault="005E792B" w:rsidP="00E45E6F">
      <w:pPr>
        <w:pStyle w:val="ListParagraph"/>
        <w:numPr>
          <w:ilvl w:val="0"/>
          <w:numId w:val="6"/>
        </w:numPr>
        <w:ind w:left="426"/>
        <w:rPr>
          <w:b/>
        </w:rPr>
      </w:pPr>
      <w:r w:rsidRPr="00247941">
        <w:rPr>
          <w:b/>
        </w:rPr>
        <w:t xml:space="preserve">A mark of which the adoption is </w:t>
      </w:r>
      <w:r w:rsidRPr="00247941">
        <w:rPr>
          <w:b/>
          <w:i/>
          <w:u w:val="single"/>
        </w:rPr>
        <w:t>prohibited</w:t>
      </w:r>
      <w:r w:rsidRPr="00247941">
        <w:rPr>
          <w:b/>
        </w:rPr>
        <w:t xml:space="preserve"> by </w:t>
      </w:r>
      <w:r w:rsidRPr="00247941">
        <w:rPr>
          <w:b/>
          <w:color w:val="0500FF"/>
        </w:rPr>
        <w:t>ss9</w:t>
      </w:r>
      <w:r w:rsidRPr="00247941">
        <w:rPr>
          <w:b/>
        </w:rPr>
        <w:t xml:space="preserve"> or </w:t>
      </w:r>
      <w:r w:rsidRPr="00247941">
        <w:rPr>
          <w:b/>
          <w:color w:val="0500FF"/>
        </w:rPr>
        <w:t>10</w:t>
      </w:r>
    </w:p>
    <w:p w14:paraId="01CF8AC1" w14:textId="77777777" w:rsidR="00F16C9C" w:rsidRPr="00F16C9C" w:rsidRDefault="00F16C9C" w:rsidP="00A95EF0">
      <w:pPr>
        <w:rPr>
          <w:b/>
          <w:sz w:val="8"/>
          <w:szCs w:val="8"/>
        </w:rPr>
      </w:pPr>
    </w:p>
    <w:p w14:paraId="286196AC" w14:textId="5AAC10F3" w:rsidR="00A8779E" w:rsidRDefault="00A8779E" w:rsidP="00F16C9C">
      <w:pPr>
        <w:pStyle w:val="Heading3"/>
      </w:pPr>
      <w:bookmarkStart w:id="9" w:name="_Toc480804604"/>
      <w:r>
        <w:t>DISTINGUISHING GUISES</w:t>
      </w:r>
      <w:bookmarkEnd w:id="9"/>
    </w:p>
    <w:p w14:paraId="6FF2D473" w14:textId="13D6FBBD" w:rsidR="005A781C" w:rsidRPr="005A781C" w:rsidRDefault="005A781C" w:rsidP="00A95EF0">
      <w:pPr>
        <w:rPr>
          <w:szCs w:val="20"/>
        </w:rPr>
      </w:pPr>
      <w:r>
        <w:rPr>
          <w:szCs w:val="20"/>
        </w:rPr>
        <w:t xml:space="preserve">While TM may subsist in a distinguishing guise, it can only be registered once it has acquired distinctiveness through </w:t>
      </w:r>
      <w:r>
        <w:rPr>
          <w:b/>
          <w:szCs w:val="20"/>
        </w:rPr>
        <w:t>use</w:t>
      </w:r>
      <w:r>
        <w:rPr>
          <w:szCs w:val="20"/>
        </w:rPr>
        <w:t>.</w:t>
      </w:r>
    </w:p>
    <w:p w14:paraId="51CD338A" w14:textId="77777777" w:rsidR="005A781C" w:rsidRPr="005A781C" w:rsidRDefault="005A781C" w:rsidP="00A95EF0">
      <w:pPr>
        <w:rPr>
          <w:color w:val="0500FF"/>
          <w:sz w:val="8"/>
          <w:szCs w:val="8"/>
        </w:rPr>
      </w:pPr>
    </w:p>
    <w:p w14:paraId="1E0E310F" w14:textId="77777777" w:rsidR="00062CA9" w:rsidRDefault="00062CA9" w:rsidP="00A95EF0">
      <w:pPr>
        <w:rPr>
          <w:szCs w:val="20"/>
        </w:rPr>
      </w:pPr>
      <w:r w:rsidRPr="008701C6">
        <w:rPr>
          <w:color w:val="0500FF"/>
          <w:szCs w:val="20"/>
        </w:rPr>
        <w:t>s2</w:t>
      </w:r>
      <w:r>
        <w:rPr>
          <w:szCs w:val="20"/>
        </w:rPr>
        <w:t xml:space="preserve"> defines a “</w:t>
      </w:r>
      <w:r w:rsidRPr="002F0E52">
        <w:rPr>
          <w:b/>
          <w:szCs w:val="20"/>
        </w:rPr>
        <w:t>distinguishing guise</w:t>
      </w:r>
      <w:r>
        <w:rPr>
          <w:szCs w:val="20"/>
        </w:rPr>
        <w:t xml:space="preserve">” as either </w:t>
      </w:r>
    </w:p>
    <w:p w14:paraId="4B2C09A3" w14:textId="781982C5" w:rsidR="00062CA9" w:rsidRPr="002F0E52" w:rsidRDefault="00062CA9" w:rsidP="00E45E6F">
      <w:pPr>
        <w:pStyle w:val="ListParagraph"/>
        <w:numPr>
          <w:ilvl w:val="0"/>
          <w:numId w:val="10"/>
        </w:numPr>
        <w:ind w:left="709" w:hanging="425"/>
        <w:rPr>
          <w:szCs w:val="20"/>
        </w:rPr>
      </w:pPr>
      <w:r w:rsidRPr="002F0E52">
        <w:rPr>
          <w:szCs w:val="20"/>
        </w:rPr>
        <w:t>the shaping of goods or their containers</w:t>
      </w:r>
      <w:r w:rsidR="001061A3">
        <w:rPr>
          <w:szCs w:val="20"/>
        </w:rPr>
        <w:t xml:space="preserve"> (e.g. shape of Coke bottle)</w:t>
      </w:r>
      <w:r w:rsidRPr="002F0E52">
        <w:rPr>
          <w:szCs w:val="20"/>
        </w:rPr>
        <w:t xml:space="preserve">, or </w:t>
      </w:r>
    </w:p>
    <w:p w14:paraId="42DE067F" w14:textId="7E7D0385" w:rsidR="00A8779E" w:rsidRPr="002F0E52" w:rsidRDefault="00062CA9" w:rsidP="00E45E6F">
      <w:pPr>
        <w:pStyle w:val="ListParagraph"/>
        <w:numPr>
          <w:ilvl w:val="0"/>
          <w:numId w:val="10"/>
        </w:numPr>
        <w:rPr>
          <w:szCs w:val="20"/>
        </w:rPr>
      </w:pPr>
      <w:r w:rsidRPr="002F0E52">
        <w:rPr>
          <w:color w:val="0500FF"/>
          <w:szCs w:val="20"/>
        </w:rPr>
        <w:t xml:space="preserve"> </w:t>
      </w:r>
      <w:r w:rsidRPr="002F0E52">
        <w:rPr>
          <w:szCs w:val="20"/>
        </w:rPr>
        <w:t>the mode of wrapping or packaging the goods</w:t>
      </w:r>
    </w:p>
    <w:p w14:paraId="41C5CAF4" w14:textId="5FE894DD" w:rsidR="00062CA9" w:rsidRDefault="00062CA9" w:rsidP="00A95EF0">
      <w:pPr>
        <w:rPr>
          <w:szCs w:val="20"/>
        </w:rPr>
      </w:pPr>
      <w:r>
        <w:rPr>
          <w:szCs w:val="20"/>
        </w:rPr>
        <w:t>the appearance of which is used by a person for th</w:t>
      </w:r>
      <w:r w:rsidR="008701C6">
        <w:rPr>
          <w:szCs w:val="20"/>
        </w:rPr>
        <w:t>e purpose of distinguishing the goods/services in the marketplace from those manufactured/sold by others.</w:t>
      </w:r>
    </w:p>
    <w:p w14:paraId="4AA45809" w14:textId="77777777" w:rsidR="00D476AB" w:rsidRPr="002F0E52" w:rsidRDefault="00D476AB" w:rsidP="00A95EF0">
      <w:pPr>
        <w:rPr>
          <w:sz w:val="8"/>
          <w:szCs w:val="8"/>
        </w:rPr>
      </w:pPr>
    </w:p>
    <w:p w14:paraId="1DD223EB" w14:textId="3FA3B892" w:rsidR="00D476AB" w:rsidRDefault="001E6F0F" w:rsidP="00A95EF0">
      <w:pPr>
        <w:rPr>
          <w:szCs w:val="20"/>
        </w:rPr>
      </w:pPr>
      <w:r w:rsidRPr="001E6F0F">
        <w:rPr>
          <w:b/>
          <w:szCs w:val="20"/>
          <w:highlight w:val="yellow"/>
        </w:rPr>
        <w:t>REGISTRABILITY</w:t>
      </w:r>
      <w:r w:rsidR="00C35F4B">
        <w:rPr>
          <w:szCs w:val="20"/>
        </w:rPr>
        <w:t xml:space="preserve"> </w:t>
      </w:r>
      <w:r w:rsidR="00C35F4B" w:rsidRPr="00C35F4B">
        <w:rPr>
          <w:szCs w:val="20"/>
        </w:rPr>
        <w:sym w:font="Wingdings" w:char="F0E0"/>
      </w:r>
      <w:r w:rsidR="00C35F4B">
        <w:rPr>
          <w:szCs w:val="20"/>
        </w:rPr>
        <w:t xml:space="preserve"> </w:t>
      </w:r>
      <w:r w:rsidR="002F0E52" w:rsidRPr="00C35F4B">
        <w:rPr>
          <w:szCs w:val="20"/>
        </w:rPr>
        <w:t>As</w:t>
      </w:r>
      <w:r w:rsidR="002F0E52">
        <w:rPr>
          <w:szCs w:val="20"/>
        </w:rPr>
        <w:t xml:space="preserve"> per </w:t>
      </w:r>
      <w:r w:rsidR="002F0E52" w:rsidRPr="002F0E52">
        <w:rPr>
          <w:color w:val="0500FF"/>
          <w:szCs w:val="20"/>
        </w:rPr>
        <w:t>s13(1)</w:t>
      </w:r>
      <w:r w:rsidR="002F0E52">
        <w:rPr>
          <w:szCs w:val="20"/>
        </w:rPr>
        <w:t xml:space="preserve">, a distinguishing guise is only </w:t>
      </w:r>
      <w:r w:rsidR="002F0E52" w:rsidRPr="002F0E52">
        <w:rPr>
          <w:b/>
          <w:szCs w:val="20"/>
        </w:rPr>
        <w:t>registrable</w:t>
      </w:r>
      <w:r w:rsidR="002F0E52">
        <w:rPr>
          <w:szCs w:val="20"/>
        </w:rPr>
        <w:t xml:space="preserve"> if </w:t>
      </w:r>
    </w:p>
    <w:p w14:paraId="6623EF26" w14:textId="2FA50136" w:rsidR="00D476AB" w:rsidRPr="00FA756B" w:rsidRDefault="002F0E52" w:rsidP="00E45E6F">
      <w:pPr>
        <w:pStyle w:val="ListParagraph"/>
        <w:numPr>
          <w:ilvl w:val="0"/>
          <w:numId w:val="9"/>
        </w:numPr>
        <w:ind w:left="709" w:hanging="425"/>
        <w:rPr>
          <w:szCs w:val="20"/>
        </w:rPr>
      </w:pPr>
      <w:r w:rsidRPr="002F0E52">
        <w:rPr>
          <w:szCs w:val="20"/>
        </w:rPr>
        <w:t xml:space="preserve">it has been so used in Canada by the applicant or his predecessor as to have become </w:t>
      </w:r>
      <w:r w:rsidRPr="00BC1FF3">
        <w:rPr>
          <w:b/>
          <w:szCs w:val="20"/>
          <w:u w:val="single"/>
        </w:rPr>
        <w:t>distinctive</w:t>
      </w:r>
      <w:r w:rsidRPr="002F0E52">
        <w:rPr>
          <w:szCs w:val="20"/>
        </w:rPr>
        <w:t xml:space="preserve"> at the date of filing for registration</w:t>
      </w:r>
      <w:r>
        <w:rPr>
          <w:szCs w:val="20"/>
        </w:rPr>
        <w:t xml:space="preserve">, </w:t>
      </w:r>
      <w:r w:rsidR="00BC1FF3">
        <w:rPr>
          <w:b/>
          <w:szCs w:val="20"/>
          <w:u w:val="single"/>
        </w:rPr>
        <w:t>AND</w:t>
      </w:r>
    </w:p>
    <w:p w14:paraId="67107F72" w14:textId="6EA5A166" w:rsidR="00FA756B" w:rsidRDefault="00FA756B" w:rsidP="00FA756B">
      <w:pPr>
        <w:pStyle w:val="ListParagraph"/>
        <w:ind w:left="1134"/>
      </w:pPr>
      <w:r>
        <w:lastRenderedPageBreak/>
        <w:t>To have the guise recognized as “</w:t>
      </w:r>
      <w:r>
        <w:rPr>
          <w:b/>
        </w:rPr>
        <w:t>distinctive</w:t>
      </w:r>
      <w:r>
        <w:t xml:space="preserve">” under </w:t>
      </w:r>
      <w:r w:rsidRPr="00BC1FF3">
        <w:rPr>
          <w:color w:val="0500FF"/>
        </w:rPr>
        <w:t>s13(1)(a)</w:t>
      </w:r>
      <w:r>
        <w:t xml:space="preserve">, the applicant must establish on the </w:t>
      </w:r>
      <w:proofErr w:type="spellStart"/>
      <w:r>
        <w:t>BoP</w:t>
      </w:r>
      <w:proofErr w:type="spellEnd"/>
      <w:r>
        <w:t xml:space="preserve"> that the guise has been adapted to distinguish or actually distinguishes its goods from those of others throughout Canada (</w:t>
      </w:r>
      <w:r w:rsidRPr="00FA756B">
        <w:rPr>
          <w:i/>
          <w:color w:val="FF0000"/>
        </w:rPr>
        <w:t>Glaxo</w:t>
      </w:r>
      <w:r>
        <w:t>)</w:t>
      </w:r>
    </w:p>
    <w:p w14:paraId="1DD0B21A" w14:textId="47AAD6E2" w:rsidR="00D64FFF" w:rsidRDefault="00D64FFF" w:rsidP="00FA756B">
      <w:pPr>
        <w:pStyle w:val="ListParagraph"/>
        <w:ind w:left="1134"/>
      </w:pPr>
      <w:r w:rsidRPr="00D64FFF">
        <w:rPr>
          <w:i/>
          <w:color w:val="FF0000"/>
        </w:rPr>
        <w:t>Glaxo</w:t>
      </w:r>
      <w:r w:rsidR="00EA57D1">
        <w:rPr>
          <w:color w:val="FF0000"/>
        </w:rPr>
        <w:t xml:space="preserve"> </w:t>
      </w:r>
      <w:r w:rsidR="00EA57D1" w:rsidRPr="00EA57D1">
        <w:t>(</w:t>
      </w:r>
      <w:r w:rsidR="00EA57D1">
        <w:t>O’Keefe J)</w:t>
      </w:r>
      <w:r>
        <w:t>:</w:t>
      </w:r>
    </w:p>
    <w:p w14:paraId="34F970E7" w14:textId="35B9391C" w:rsidR="00D64FFF" w:rsidRDefault="00D64FFF" w:rsidP="00D1335A">
      <w:pPr>
        <w:pStyle w:val="ListParagraph"/>
        <w:numPr>
          <w:ilvl w:val="1"/>
          <w:numId w:val="1"/>
        </w:numPr>
        <w:ind w:left="1701" w:hanging="218"/>
      </w:pPr>
      <w:r>
        <w:t>The applicant isn’t req’d to show that most adult Canadians recognize the distinguishing guise—this is too strict a requirement</w:t>
      </w:r>
    </w:p>
    <w:p w14:paraId="5AF0841A" w14:textId="4BCF5922" w:rsidR="00D64FFF" w:rsidRDefault="00D64FFF" w:rsidP="00D1335A">
      <w:pPr>
        <w:pStyle w:val="ListParagraph"/>
        <w:numPr>
          <w:ilvl w:val="1"/>
          <w:numId w:val="1"/>
        </w:numPr>
        <w:ind w:left="1701" w:hanging="218"/>
      </w:pPr>
      <w:r>
        <w:t>Although the shape of a product can constitute a mark, the resulting mark is usually weak</w:t>
      </w:r>
      <w:r w:rsidR="00D1335A">
        <w:t xml:space="preserve"> (e.g. shield shape)</w:t>
      </w:r>
    </w:p>
    <w:p w14:paraId="4E49D355" w14:textId="20A7DA3D" w:rsidR="00D1335A" w:rsidRDefault="00D1335A" w:rsidP="00D1335A">
      <w:pPr>
        <w:pStyle w:val="ListParagraph"/>
        <w:numPr>
          <w:ilvl w:val="1"/>
          <w:numId w:val="1"/>
        </w:numPr>
        <w:ind w:left="1701" w:hanging="218"/>
      </w:pPr>
      <w:r>
        <w:rPr>
          <w:b/>
        </w:rPr>
        <w:t>Facts:</w:t>
      </w:r>
      <w:r>
        <w:t xml:space="preserve"> Applicant </w:t>
      </w:r>
      <w:r w:rsidR="00B9326E">
        <w:t>sought to register its tablets’ 6-sided shield shape for use in association w</w:t>
      </w:r>
      <w:proofErr w:type="gramStart"/>
      <w:r w:rsidR="00B9326E">
        <w:t>/“</w:t>
      </w:r>
      <w:proofErr w:type="gramEnd"/>
      <w:r w:rsidR="00B9326E">
        <w:t>pharmaceutical preparations employing acyclovir as an active ingredient”; the application was opposed on the basis that the guise wasn’t inherently distinctive and hadn’t become distinctive through use</w:t>
      </w:r>
    </w:p>
    <w:p w14:paraId="0A336902" w14:textId="3C9F716E" w:rsidR="00D1335A" w:rsidRPr="002F0E52" w:rsidRDefault="00D1335A" w:rsidP="00D1335A">
      <w:pPr>
        <w:pStyle w:val="ListParagraph"/>
        <w:numPr>
          <w:ilvl w:val="1"/>
          <w:numId w:val="1"/>
        </w:numPr>
        <w:ind w:left="1701" w:hanging="218"/>
      </w:pPr>
      <w:r>
        <w:rPr>
          <w:b/>
        </w:rPr>
        <w:t xml:space="preserve">Result: </w:t>
      </w:r>
      <w:r>
        <w:t>Applicant failed to establish that its distinguishing guise (shield shape) had become distinctive on the date of application</w:t>
      </w:r>
    </w:p>
    <w:p w14:paraId="417D5471" w14:textId="646E3135" w:rsidR="00D476AB" w:rsidRPr="002F0E52" w:rsidRDefault="002F0E52" w:rsidP="00E45E6F">
      <w:pPr>
        <w:pStyle w:val="ListParagraph"/>
        <w:numPr>
          <w:ilvl w:val="0"/>
          <w:numId w:val="9"/>
        </w:numPr>
        <w:ind w:left="709" w:hanging="425"/>
        <w:rPr>
          <w:szCs w:val="20"/>
        </w:rPr>
      </w:pPr>
      <w:r w:rsidRPr="00FA756B">
        <w:rPr>
          <w:b/>
          <w:szCs w:val="20"/>
        </w:rPr>
        <w:t>the applicant’s exclusive use</w:t>
      </w:r>
      <w:r>
        <w:rPr>
          <w:szCs w:val="20"/>
        </w:rPr>
        <w:t xml:space="preserve"> of the guise in association with goods/services </w:t>
      </w:r>
      <w:r w:rsidRPr="00FA756B">
        <w:rPr>
          <w:b/>
          <w:szCs w:val="20"/>
        </w:rPr>
        <w:t>isn’t like</w:t>
      </w:r>
      <w:r w:rsidR="00FA756B" w:rsidRPr="00FA756B">
        <w:rPr>
          <w:b/>
          <w:szCs w:val="20"/>
        </w:rPr>
        <w:t>ly unreasonably to limit the development of any art or industry</w:t>
      </w:r>
      <w:r w:rsidR="004F7ECB">
        <w:rPr>
          <w:b/>
          <w:szCs w:val="20"/>
        </w:rPr>
        <w:t xml:space="preserve"> </w:t>
      </w:r>
      <w:r w:rsidR="004F7ECB">
        <w:rPr>
          <w:szCs w:val="20"/>
        </w:rPr>
        <w:t>(</w:t>
      </w:r>
      <w:r w:rsidR="004F7ECB">
        <w:rPr>
          <w:i/>
          <w:szCs w:val="20"/>
        </w:rPr>
        <w:t xml:space="preserve">note: </w:t>
      </w:r>
      <w:r w:rsidR="004F7ECB" w:rsidRPr="004F7ECB">
        <w:rPr>
          <w:i/>
          <w:color w:val="0500FF"/>
          <w:szCs w:val="20"/>
        </w:rPr>
        <w:t xml:space="preserve">s13(3) </w:t>
      </w:r>
      <w:r w:rsidR="004F7ECB">
        <w:rPr>
          <w:i/>
          <w:szCs w:val="20"/>
        </w:rPr>
        <w:t>allows for expungement post-registration for this reason</w:t>
      </w:r>
      <w:r w:rsidR="004F7ECB">
        <w:rPr>
          <w:szCs w:val="20"/>
        </w:rPr>
        <w:t>)</w:t>
      </w:r>
    </w:p>
    <w:p w14:paraId="01C78FE9" w14:textId="77777777" w:rsidR="008701C6" w:rsidRPr="00492595" w:rsidRDefault="008701C6" w:rsidP="00A95EF0">
      <w:pPr>
        <w:rPr>
          <w:sz w:val="8"/>
          <w:szCs w:val="8"/>
        </w:rPr>
      </w:pPr>
    </w:p>
    <w:p w14:paraId="3BC03F70" w14:textId="61FAC48F" w:rsidR="001E6F0F" w:rsidRPr="00BC6D1F" w:rsidRDefault="001E6F0F" w:rsidP="00A95EF0">
      <w:pPr>
        <w:rPr>
          <w:b/>
          <w:szCs w:val="20"/>
        </w:rPr>
      </w:pPr>
      <w:r w:rsidRPr="00492595">
        <w:rPr>
          <w:b/>
          <w:szCs w:val="20"/>
          <w:highlight w:val="yellow"/>
        </w:rPr>
        <w:t>EFFECT of REGISTRATION</w:t>
      </w:r>
      <w:r>
        <w:rPr>
          <w:szCs w:val="20"/>
        </w:rPr>
        <w:t xml:space="preserve"> </w:t>
      </w:r>
      <w:r w:rsidRPr="001E6F0F">
        <w:rPr>
          <w:szCs w:val="20"/>
        </w:rPr>
        <w:sym w:font="Wingdings" w:char="F0E0"/>
      </w:r>
      <w:r w:rsidR="005D1427">
        <w:rPr>
          <w:szCs w:val="20"/>
        </w:rPr>
        <w:t xml:space="preserve"> </w:t>
      </w:r>
      <w:r w:rsidR="005D1427" w:rsidRPr="00492595">
        <w:rPr>
          <w:color w:val="0500FF"/>
          <w:szCs w:val="20"/>
        </w:rPr>
        <w:t xml:space="preserve">s13(2) </w:t>
      </w:r>
      <w:r w:rsidR="005D1427">
        <w:rPr>
          <w:szCs w:val="20"/>
        </w:rPr>
        <w:t xml:space="preserve">provides that </w:t>
      </w:r>
      <w:r w:rsidR="00D425DE">
        <w:rPr>
          <w:szCs w:val="20"/>
        </w:rPr>
        <w:t>no registration of a distinguishing guise can interfere with the use of any utilitarian feature embod</w:t>
      </w:r>
      <w:r w:rsidR="00A67B22">
        <w:rPr>
          <w:szCs w:val="20"/>
        </w:rPr>
        <w:t xml:space="preserve">ied in the guise, meaning that the </w:t>
      </w:r>
      <w:r w:rsidR="00CD259C">
        <w:rPr>
          <w:szCs w:val="20"/>
        </w:rPr>
        <w:t>guise</w:t>
      </w:r>
      <w:r w:rsidR="00BC6D1F">
        <w:rPr>
          <w:szCs w:val="20"/>
        </w:rPr>
        <w:t xml:space="preserve"> itself can’t have </w:t>
      </w:r>
      <w:r w:rsidR="00BC6D1F">
        <w:rPr>
          <w:b/>
          <w:szCs w:val="20"/>
        </w:rPr>
        <w:t>functional components</w:t>
      </w:r>
    </w:p>
    <w:p w14:paraId="17BF2946" w14:textId="77777777" w:rsidR="001E6F0F" w:rsidRPr="002A5411" w:rsidRDefault="001E6F0F" w:rsidP="00A95EF0">
      <w:pPr>
        <w:rPr>
          <w:sz w:val="8"/>
          <w:szCs w:val="8"/>
        </w:rPr>
      </w:pPr>
      <w:bookmarkStart w:id="10" w:name="_GoBack"/>
      <w:bookmarkEnd w:id="10"/>
    </w:p>
    <w:p w14:paraId="1B9F214C" w14:textId="5BBA40C2" w:rsidR="001E6F0F" w:rsidRPr="00CD259C" w:rsidRDefault="00CD259C" w:rsidP="00A95EF0">
      <w:pPr>
        <w:rPr>
          <w:szCs w:val="20"/>
        </w:rPr>
      </w:pPr>
      <w:r w:rsidRPr="004F7ECB">
        <w:rPr>
          <w:b/>
          <w:szCs w:val="20"/>
          <w:highlight w:val="yellow"/>
        </w:rPr>
        <w:t>EXPUNGEMENT</w:t>
      </w:r>
      <w:r>
        <w:rPr>
          <w:szCs w:val="20"/>
        </w:rPr>
        <w:t xml:space="preserve"> </w:t>
      </w:r>
      <w:r w:rsidRPr="00CD259C">
        <w:rPr>
          <w:szCs w:val="20"/>
        </w:rPr>
        <w:sym w:font="Wingdings" w:char="F0E0"/>
      </w:r>
      <w:r w:rsidR="007D3AED">
        <w:rPr>
          <w:szCs w:val="20"/>
        </w:rPr>
        <w:t xml:space="preserve"> </w:t>
      </w:r>
      <w:r w:rsidR="004F7ECB">
        <w:rPr>
          <w:szCs w:val="20"/>
        </w:rPr>
        <w:t xml:space="preserve">On the application of any interested person under </w:t>
      </w:r>
      <w:r w:rsidR="004F7ECB" w:rsidRPr="004F7ECB">
        <w:rPr>
          <w:color w:val="0500FF"/>
          <w:szCs w:val="20"/>
        </w:rPr>
        <w:t>s13(3)</w:t>
      </w:r>
      <w:r w:rsidR="004F7ECB">
        <w:rPr>
          <w:szCs w:val="20"/>
        </w:rPr>
        <w:t>, the FC may expunge the registration of a distinguishing guise if it decides that the registration has become likely unreasonably to limit the development of any art/industry</w:t>
      </w:r>
    </w:p>
    <w:p w14:paraId="78A3DD77" w14:textId="77777777" w:rsidR="008701C6" w:rsidRPr="00A83563" w:rsidRDefault="008701C6" w:rsidP="00A95EF0">
      <w:pPr>
        <w:rPr>
          <w:sz w:val="8"/>
          <w:szCs w:val="8"/>
        </w:rPr>
      </w:pPr>
    </w:p>
    <w:p w14:paraId="612E83BB" w14:textId="35CE0F5C" w:rsidR="00A83563" w:rsidRPr="00A83563" w:rsidRDefault="00A83563" w:rsidP="00A95EF0">
      <w:pPr>
        <w:rPr>
          <w:szCs w:val="20"/>
        </w:rPr>
      </w:pPr>
      <w:r w:rsidRPr="00A83563">
        <w:rPr>
          <w:b/>
          <w:szCs w:val="20"/>
          <w:highlight w:val="yellow"/>
        </w:rPr>
        <w:t>NOTE</w:t>
      </w:r>
      <w:r>
        <w:rPr>
          <w:szCs w:val="20"/>
        </w:rPr>
        <w:t xml:space="preserve"> </w:t>
      </w:r>
      <w:r w:rsidRPr="00A83563">
        <w:rPr>
          <w:szCs w:val="20"/>
        </w:rPr>
        <w:sym w:font="Wingdings" w:char="F0E0"/>
      </w:r>
      <w:r>
        <w:rPr>
          <w:szCs w:val="20"/>
        </w:rPr>
        <w:t xml:space="preserve"> </w:t>
      </w:r>
      <w:r w:rsidRPr="00A83563">
        <w:rPr>
          <w:color w:val="0500FF"/>
          <w:szCs w:val="20"/>
        </w:rPr>
        <w:t xml:space="preserve">Bill C-56 </w:t>
      </w:r>
      <w:r>
        <w:rPr>
          <w:szCs w:val="20"/>
        </w:rPr>
        <w:t xml:space="preserve">seeks to repeal </w:t>
      </w:r>
      <w:r w:rsidRPr="00A83563">
        <w:rPr>
          <w:color w:val="0500FF"/>
          <w:szCs w:val="20"/>
        </w:rPr>
        <w:t>s13</w:t>
      </w:r>
      <w:r>
        <w:rPr>
          <w:szCs w:val="20"/>
        </w:rPr>
        <w:t>, but a broader definition of “sign” should allow for registration of distinguishing guises</w:t>
      </w:r>
    </w:p>
    <w:p w14:paraId="716BE852" w14:textId="77777777" w:rsidR="00F16C9C" w:rsidRDefault="00F16C9C" w:rsidP="00A95EF0">
      <w:pPr>
        <w:rPr>
          <w:sz w:val="8"/>
          <w:szCs w:val="8"/>
        </w:rPr>
      </w:pPr>
    </w:p>
    <w:p w14:paraId="161319D0" w14:textId="15F2EE1F" w:rsidR="00A8779E" w:rsidRDefault="00A8779E" w:rsidP="00F16C9C">
      <w:pPr>
        <w:pStyle w:val="Heading3"/>
      </w:pPr>
      <w:bookmarkStart w:id="11" w:name="_Toc480804605"/>
      <w:r>
        <w:t>SPECIAL MARKS</w:t>
      </w:r>
      <w:bookmarkEnd w:id="11"/>
    </w:p>
    <w:p w14:paraId="75D20ABD" w14:textId="77777777" w:rsidR="00A8779E" w:rsidRPr="00B133A4" w:rsidRDefault="00A8779E" w:rsidP="00A95EF0">
      <w:pPr>
        <w:rPr>
          <w:sz w:val="8"/>
          <w:szCs w:val="8"/>
        </w:rPr>
      </w:pPr>
    </w:p>
    <w:p w14:paraId="1F47F947" w14:textId="57887681" w:rsidR="005A781C" w:rsidRDefault="00B133A4" w:rsidP="005A781C">
      <w:pPr>
        <w:rPr>
          <w:szCs w:val="20"/>
        </w:rPr>
      </w:pPr>
      <w:r w:rsidRPr="00B133A4">
        <w:rPr>
          <w:b/>
          <w:szCs w:val="20"/>
          <w:highlight w:val="yellow"/>
        </w:rPr>
        <w:t>PROHIBITED MARKS</w:t>
      </w:r>
      <w:r>
        <w:rPr>
          <w:szCs w:val="20"/>
        </w:rPr>
        <w:t xml:space="preserve"> </w:t>
      </w:r>
      <w:r w:rsidRPr="00B133A4">
        <w:rPr>
          <w:szCs w:val="20"/>
        </w:rPr>
        <w:sym w:font="Wingdings" w:char="F0E0"/>
      </w:r>
      <w:r w:rsidR="005A781C">
        <w:rPr>
          <w:szCs w:val="20"/>
        </w:rPr>
        <w:t xml:space="preserve"> </w:t>
      </w:r>
      <w:r w:rsidR="005A781C" w:rsidRPr="005A781C">
        <w:rPr>
          <w:color w:val="0500FF"/>
          <w:szCs w:val="20"/>
        </w:rPr>
        <w:t>s9</w:t>
      </w:r>
      <w:r w:rsidR="00397E75">
        <w:rPr>
          <w:color w:val="0500FF"/>
          <w:szCs w:val="20"/>
        </w:rPr>
        <w:t>(1)</w:t>
      </w:r>
      <w:r w:rsidR="005A781C">
        <w:rPr>
          <w:color w:val="0500FF"/>
          <w:szCs w:val="20"/>
        </w:rPr>
        <w:t>(iii)</w:t>
      </w:r>
      <w:r w:rsidR="005A781C">
        <w:rPr>
          <w:szCs w:val="20"/>
        </w:rPr>
        <w:t xml:space="preserve"> prohibits persons from adopting any badge, crest, emblem, or mark for use in business that has been adopted and used by any Canadian public authority as an official mark for goods/services</w:t>
      </w:r>
    </w:p>
    <w:p w14:paraId="39F3BF7A" w14:textId="0DD3AE75" w:rsidR="005A781C" w:rsidRPr="005A781C" w:rsidRDefault="00D73315" w:rsidP="005A781C">
      <w:pPr>
        <w:pStyle w:val="ListParagraph"/>
      </w:pPr>
      <w:r>
        <w:rPr>
          <w:b/>
          <w:u w:val="single"/>
        </w:rPr>
        <w:t>Requirements</w:t>
      </w:r>
      <w:r w:rsidR="00397E75">
        <w:rPr>
          <w:b/>
        </w:rPr>
        <w:t xml:space="preserve"> </w:t>
      </w:r>
      <w:r w:rsidR="00397E75">
        <w:t>(derived from</w:t>
      </w:r>
      <w:r w:rsidR="001458F3">
        <w:t xml:space="preserve"> the wording of</w:t>
      </w:r>
      <w:r w:rsidR="00397E75">
        <w:t xml:space="preserve"> </w:t>
      </w:r>
      <w:r w:rsidR="00397E75" w:rsidRPr="00397E75">
        <w:rPr>
          <w:color w:val="0500FF"/>
        </w:rPr>
        <w:t>s9(1)(n)(iii)</w:t>
      </w:r>
      <w:r w:rsidR="00397E75">
        <w:t>)</w:t>
      </w:r>
      <w:r w:rsidR="00397E75">
        <w:rPr>
          <w:b/>
        </w:rPr>
        <w:t>:</w:t>
      </w:r>
    </w:p>
    <w:p w14:paraId="0A06053E" w14:textId="6D58A8CF" w:rsidR="005A781C" w:rsidRPr="00CA68D3" w:rsidRDefault="005A781C" w:rsidP="00E45E6F">
      <w:pPr>
        <w:pStyle w:val="ListParagraph"/>
        <w:numPr>
          <w:ilvl w:val="1"/>
          <w:numId w:val="12"/>
        </w:numPr>
        <w:ind w:left="851" w:hanging="218"/>
      </w:pPr>
      <w:r>
        <w:t xml:space="preserve">Mark must have been </w:t>
      </w:r>
      <w:r w:rsidRPr="005A781C">
        <w:rPr>
          <w:b/>
          <w:u w:val="single"/>
        </w:rPr>
        <w:t>adopted</w:t>
      </w:r>
      <w:r>
        <w:rPr>
          <w:b/>
        </w:rPr>
        <w:t xml:space="preserve"> </w:t>
      </w:r>
    </w:p>
    <w:p w14:paraId="27540243" w14:textId="6C1E8FB4" w:rsidR="00CA68D3" w:rsidRPr="00C50B1A" w:rsidRDefault="00CA68D3" w:rsidP="00E45E6F">
      <w:pPr>
        <w:pStyle w:val="ListParagraph"/>
        <w:numPr>
          <w:ilvl w:val="0"/>
          <w:numId w:val="8"/>
        </w:numPr>
        <w:ind w:left="1418" w:hanging="284"/>
      </w:pPr>
      <w:r>
        <w:t xml:space="preserve">As per </w:t>
      </w:r>
      <w:r w:rsidRPr="00CA68D3">
        <w:rPr>
          <w:color w:val="0500FF"/>
        </w:rPr>
        <w:t>s3</w:t>
      </w:r>
      <w:r>
        <w:t>, a TM is deemed to have been “</w:t>
      </w:r>
      <w:r w:rsidRPr="001458F3">
        <w:rPr>
          <w:b/>
        </w:rPr>
        <w:t>adopted</w:t>
      </w:r>
      <w:r>
        <w:t xml:space="preserve">” by a person when that person </w:t>
      </w:r>
      <w:r w:rsidR="00C50B1A">
        <w:t xml:space="preserve">commenced to </w:t>
      </w:r>
      <w:r w:rsidR="00C50B1A">
        <w:rPr>
          <w:i/>
        </w:rPr>
        <w:t>use</w:t>
      </w:r>
      <w:r w:rsidR="00C50B1A">
        <w:t xml:space="preserve"> </w:t>
      </w:r>
      <w:r w:rsidR="00C50B1A">
        <w:rPr>
          <w:i/>
        </w:rPr>
        <w:t xml:space="preserve">it </w:t>
      </w:r>
      <w:r w:rsidR="00C50B1A">
        <w:t xml:space="preserve">or </w:t>
      </w:r>
      <w:r w:rsidR="00C50B1A">
        <w:rPr>
          <w:i/>
        </w:rPr>
        <w:t>make it known</w:t>
      </w:r>
      <w:r w:rsidRPr="00C50B1A">
        <w:t xml:space="preserve"> </w:t>
      </w:r>
      <w:r w:rsidR="00C50B1A">
        <w:t xml:space="preserve">in Canada or, if it hadn’t previously been used or made known, when the person </w:t>
      </w:r>
      <w:r w:rsidR="00C50B1A">
        <w:rPr>
          <w:i/>
        </w:rPr>
        <w:t>filed for registration</w:t>
      </w:r>
    </w:p>
    <w:p w14:paraId="7D510C46" w14:textId="1E15E976" w:rsidR="005A781C" w:rsidRDefault="005A781C" w:rsidP="00E45E6F">
      <w:pPr>
        <w:pStyle w:val="ListParagraph"/>
        <w:numPr>
          <w:ilvl w:val="1"/>
          <w:numId w:val="12"/>
        </w:numPr>
        <w:ind w:left="851" w:hanging="218"/>
      </w:pPr>
      <w:r>
        <w:t xml:space="preserve">Mark must have been </w:t>
      </w:r>
      <w:r w:rsidRPr="005A781C">
        <w:rPr>
          <w:b/>
          <w:u w:val="single"/>
        </w:rPr>
        <w:t>used</w:t>
      </w:r>
    </w:p>
    <w:p w14:paraId="49AA2371" w14:textId="02D9BBB7" w:rsidR="005A781C" w:rsidRDefault="005A781C" w:rsidP="00E45E6F">
      <w:pPr>
        <w:pStyle w:val="ListParagraph"/>
        <w:numPr>
          <w:ilvl w:val="1"/>
          <w:numId w:val="12"/>
        </w:numPr>
        <w:ind w:left="851" w:hanging="218"/>
      </w:pPr>
      <w:r>
        <w:t xml:space="preserve">The adoption and use must have been by a </w:t>
      </w:r>
      <w:r w:rsidRPr="005A781C">
        <w:rPr>
          <w:b/>
          <w:u w:val="single"/>
        </w:rPr>
        <w:t>public authority</w:t>
      </w:r>
      <w:r>
        <w:t xml:space="preserve"> in Canada</w:t>
      </w:r>
      <w:r w:rsidR="001458F3">
        <w:t xml:space="preserve"> </w:t>
      </w:r>
      <w:r w:rsidR="001458F3">
        <w:sym w:font="Wingdings" w:char="F0E0"/>
      </w:r>
      <w:r w:rsidR="001458F3">
        <w:t xml:space="preserve"> to determine whether a body is a “public authority”, </w:t>
      </w:r>
      <w:r w:rsidR="001458F3" w:rsidRPr="001458F3">
        <w:rPr>
          <w:i/>
          <w:color w:val="FF0000"/>
        </w:rPr>
        <w:t xml:space="preserve">OAA </w:t>
      </w:r>
      <w:r w:rsidR="001458F3">
        <w:t>directs us to assess the following factors:</w:t>
      </w:r>
    </w:p>
    <w:p w14:paraId="4DA5DF4B" w14:textId="0553D583" w:rsidR="001458F3" w:rsidRDefault="001458F3" w:rsidP="00E45E6F">
      <w:pPr>
        <w:pStyle w:val="ListParagraph"/>
        <w:numPr>
          <w:ilvl w:val="2"/>
          <w:numId w:val="12"/>
        </w:numPr>
        <w:ind w:left="1418"/>
      </w:pPr>
      <w:r>
        <w:t xml:space="preserve">The </w:t>
      </w:r>
      <w:r w:rsidRPr="00281D6B">
        <w:rPr>
          <w:b/>
          <w:u w:val="single"/>
        </w:rPr>
        <w:t>degree of gov’t control</w:t>
      </w:r>
      <w:r>
        <w:t xml:space="preserve"> (most rigorous part of test)</w:t>
      </w:r>
    </w:p>
    <w:p w14:paraId="185FBB3B" w14:textId="2A1B7FFD" w:rsidR="00D03FE3" w:rsidRDefault="00D03FE3" w:rsidP="00E45E6F">
      <w:pPr>
        <w:pStyle w:val="ListParagraph"/>
        <w:numPr>
          <w:ilvl w:val="0"/>
          <w:numId w:val="13"/>
        </w:numPr>
        <w:ind w:left="1985" w:hanging="207"/>
      </w:pPr>
      <w:r>
        <w:t>Consider the body’s objects, duties, and powers, including the distribution of its assets</w:t>
      </w:r>
    </w:p>
    <w:p w14:paraId="67C27551" w14:textId="46C06F0E" w:rsidR="00D03FE3" w:rsidRDefault="00D03FE3" w:rsidP="00E45E6F">
      <w:pPr>
        <w:pStyle w:val="ListParagraph"/>
        <w:numPr>
          <w:ilvl w:val="0"/>
          <w:numId w:val="13"/>
        </w:numPr>
        <w:ind w:left="1985" w:hanging="207"/>
      </w:pPr>
      <w:r>
        <w:t xml:space="preserve">Look for </w:t>
      </w:r>
      <w:r w:rsidRPr="00D03FE3">
        <w:rPr>
          <w:i/>
        </w:rPr>
        <w:t>ongoing gov’t supervision</w:t>
      </w:r>
      <w:r>
        <w:t xml:space="preserve"> of the body’s activities—the body can be said to be a public authority if the gov’t exercises a degree of ongoing influence in its governance and decision-making</w:t>
      </w:r>
    </w:p>
    <w:p w14:paraId="0911FD5E" w14:textId="30960758" w:rsidR="00D03FE3" w:rsidRDefault="00D03FE3" w:rsidP="00E45E6F">
      <w:pPr>
        <w:pStyle w:val="ListParagraph"/>
        <w:numPr>
          <w:ilvl w:val="0"/>
          <w:numId w:val="13"/>
        </w:numPr>
        <w:ind w:left="1985" w:hanging="207"/>
      </w:pPr>
      <w:r>
        <w:t>Being created by statute isn’t enough to satisfy this element</w:t>
      </w:r>
    </w:p>
    <w:p w14:paraId="673065DB" w14:textId="0F30B3E1" w:rsidR="00D03FE3" w:rsidRPr="00D03FE3" w:rsidRDefault="00D03FE3" w:rsidP="00E45E6F">
      <w:pPr>
        <w:pStyle w:val="ListParagraph"/>
        <w:numPr>
          <w:ilvl w:val="0"/>
          <w:numId w:val="13"/>
        </w:numPr>
        <w:ind w:left="1985" w:hanging="207"/>
      </w:pPr>
      <w:r>
        <w:rPr>
          <w:i/>
          <w:color w:val="FF0000"/>
        </w:rPr>
        <w:t>OA</w:t>
      </w:r>
      <w:r w:rsidRPr="00D03FE3">
        <w:rPr>
          <w:i/>
          <w:color w:val="FF0000"/>
        </w:rPr>
        <w:t>A</w:t>
      </w:r>
      <w:r>
        <w:t xml:space="preserve">: The only form of gov’t control was the Legislature’s exclusive power to change the AATO’s statutory objects, powers, and duties—Evans JA determined that this was </w:t>
      </w:r>
      <w:r>
        <w:rPr>
          <w:u w:val="single"/>
        </w:rPr>
        <w:t>insufficient</w:t>
      </w:r>
      <w:r>
        <w:t xml:space="preserve"> to satisfy the gov’t control test because it wasn’t a power that enabled the gov’t, directly or through its nominees, to exercise a degree of ongoing influence in the AATO’s governance and decision-making</w:t>
      </w:r>
    </w:p>
    <w:p w14:paraId="077096BF" w14:textId="7EA7280B" w:rsidR="001458F3" w:rsidRDefault="001458F3" w:rsidP="00E45E6F">
      <w:pPr>
        <w:pStyle w:val="ListParagraph"/>
        <w:numPr>
          <w:ilvl w:val="2"/>
          <w:numId w:val="12"/>
        </w:numPr>
        <w:ind w:left="1418"/>
      </w:pPr>
      <w:r>
        <w:t xml:space="preserve">The extent to which the body’s activities </w:t>
      </w:r>
      <w:r w:rsidRPr="00281D6B">
        <w:rPr>
          <w:b/>
          <w:u w:val="single"/>
        </w:rPr>
        <w:t>benefit the public</w:t>
      </w:r>
      <w:r>
        <w:t xml:space="preserve"> </w:t>
      </w:r>
      <w:r w:rsidR="00D03FE3">
        <w:t>(lower threshold)</w:t>
      </w:r>
    </w:p>
    <w:p w14:paraId="6FB23B61" w14:textId="4C734EE9" w:rsidR="00D03FE3" w:rsidRPr="00921F25" w:rsidRDefault="00D03FE3" w:rsidP="00E45E6F">
      <w:pPr>
        <w:pStyle w:val="ListParagraph"/>
        <w:numPr>
          <w:ilvl w:val="0"/>
          <w:numId w:val="13"/>
        </w:numPr>
        <w:ind w:left="1985" w:hanging="207"/>
      </w:pPr>
      <w:r>
        <w:t xml:space="preserve">This element is broadly interpreted—must merely establish that there’s </w:t>
      </w:r>
      <w:r w:rsidRPr="00D03FE3">
        <w:rPr>
          <w:i/>
        </w:rPr>
        <w:t>some</w:t>
      </w:r>
      <w:r>
        <w:t xml:space="preserve"> aspect for public benefit</w:t>
      </w:r>
      <w:r>
        <w:rPr>
          <w:i/>
        </w:rPr>
        <w:t xml:space="preserve"> </w:t>
      </w:r>
    </w:p>
    <w:p w14:paraId="483BFCEF" w14:textId="70F3AE46" w:rsidR="00921F25" w:rsidRPr="00D278DD" w:rsidRDefault="00921F25" w:rsidP="00E45E6F">
      <w:pPr>
        <w:pStyle w:val="ListParagraph"/>
        <w:numPr>
          <w:ilvl w:val="0"/>
          <w:numId w:val="13"/>
        </w:numPr>
        <w:ind w:left="1985" w:hanging="207"/>
      </w:pPr>
      <w:r>
        <w:t xml:space="preserve">As in </w:t>
      </w:r>
      <w:r>
        <w:rPr>
          <w:i/>
        </w:rPr>
        <w:t>OAA</w:t>
      </w:r>
      <w:r>
        <w:t>, the fact that a body also benefits its members doesn’t preclude a finding of public benefit</w:t>
      </w:r>
    </w:p>
    <w:p w14:paraId="0A4C1518" w14:textId="5270A96B" w:rsidR="00D278DD" w:rsidRDefault="00D278DD" w:rsidP="00E45E6F">
      <w:pPr>
        <w:pStyle w:val="ListParagraph"/>
        <w:numPr>
          <w:ilvl w:val="0"/>
          <w:numId w:val="13"/>
        </w:numPr>
        <w:ind w:left="1985" w:hanging="207"/>
      </w:pPr>
      <w:r w:rsidRPr="00D278DD">
        <w:rPr>
          <w:i/>
          <w:color w:val="FF0000"/>
        </w:rPr>
        <w:t>OAA</w:t>
      </w:r>
      <w:r>
        <w:t>:</w:t>
      </w:r>
      <w:r w:rsidR="00921F25">
        <w:t xml:space="preserve"> Evans JA determined that the AATO’s object had a dual function: to encourage the public to seek out its member’s services by eliminating unseemly conduct among its members (thus enhancing AATO’s reputation), and thereby increasing members’ professional income = </w:t>
      </w:r>
      <w:r w:rsidR="00921F25">
        <w:rPr>
          <w:u w:val="single"/>
        </w:rPr>
        <w:t>sufficient</w:t>
      </w:r>
      <w:r w:rsidR="00921F25">
        <w:t xml:space="preserve"> public benefit   </w:t>
      </w:r>
    </w:p>
    <w:p w14:paraId="023AE233" w14:textId="5ACEF1C5" w:rsidR="00397E75" w:rsidRDefault="00445DE0" w:rsidP="00445DE0">
      <w:pPr>
        <w:pStyle w:val="ListParagraph"/>
      </w:pPr>
      <w:r w:rsidRPr="00453957">
        <w:rPr>
          <w:b/>
        </w:rPr>
        <w:t>Examples</w:t>
      </w:r>
      <w:r>
        <w:t xml:space="preserve"> of “public authorities” include the Anne of Green Gables Association and First Nations groups</w:t>
      </w:r>
    </w:p>
    <w:p w14:paraId="7975F017" w14:textId="37163F0E" w:rsidR="00453957" w:rsidRDefault="00453957" w:rsidP="00445DE0">
      <w:pPr>
        <w:pStyle w:val="ListParagraph"/>
      </w:pPr>
      <w:r>
        <w:rPr>
          <w:b/>
        </w:rPr>
        <w:t>Policy justifications:</w:t>
      </w:r>
      <w:r>
        <w:t xml:space="preserve"> </w:t>
      </w:r>
    </w:p>
    <w:p w14:paraId="2561E18A" w14:textId="5248DC04" w:rsidR="00453957" w:rsidRDefault="00453957" w:rsidP="00453957">
      <w:pPr>
        <w:pStyle w:val="ListParagraph"/>
        <w:numPr>
          <w:ilvl w:val="1"/>
          <w:numId w:val="1"/>
        </w:numPr>
        <w:ind w:left="993" w:hanging="284"/>
      </w:pPr>
      <w:r>
        <w:t>The importance of certain symbols should preclude them from commercial use</w:t>
      </w:r>
    </w:p>
    <w:p w14:paraId="6B7DC058" w14:textId="77461692" w:rsidR="00453957" w:rsidRDefault="00453957" w:rsidP="00453957">
      <w:pPr>
        <w:pStyle w:val="ListParagraph"/>
        <w:numPr>
          <w:ilvl w:val="1"/>
          <w:numId w:val="1"/>
        </w:numPr>
        <w:ind w:left="993" w:hanging="284"/>
      </w:pPr>
      <w:r>
        <w:t>These symbols carry a lot of weight—unauthorized usage could signal the wrong message to specific consumers</w:t>
      </w:r>
    </w:p>
    <w:p w14:paraId="502D5C98" w14:textId="6A121D6E" w:rsidR="00453957" w:rsidRPr="00453957" w:rsidRDefault="00453957" w:rsidP="00453957">
      <w:pPr>
        <w:pStyle w:val="ListParagraph"/>
        <w:numPr>
          <w:ilvl w:val="1"/>
          <w:numId w:val="1"/>
        </w:numPr>
        <w:ind w:left="993" w:hanging="284"/>
      </w:pPr>
      <w:r>
        <w:t>Usage could lead to the depreciation of the goodwill embedded in the marks themselves (e.g. Red Cross)</w:t>
      </w:r>
    </w:p>
    <w:p w14:paraId="3C88A196" w14:textId="266C95EB" w:rsidR="00453957" w:rsidRDefault="00453957" w:rsidP="00445DE0">
      <w:pPr>
        <w:pStyle w:val="ListParagraph"/>
      </w:pPr>
      <w:r>
        <w:rPr>
          <w:b/>
        </w:rPr>
        <w:t>Criticism:</w:t>
      </w:r>
      <w:r>
        <w:t xml:space="preserve"> </w:t>
      </w:r>
      <w:r w:rsidRPr="00881671">
        <w:rPr>
          <w:color w:val="0500FF"/>
        </w:rPr>
        <w:t>s9(1)(n)(iii)</w:t>
      </w:r>
      <w:r w:rsidR="00881671">
        <w:t xml:space="preserve"> has been routinely criticized by courts, lawyers, and academics for its relative lack of boundaries</w:t>
      </w:r>
    </w:p>
    <w:p w14:paraId="2EC02D31" w14:textId="354CB42D" w:rsidR="00881671" w:rsidRDefault="00322B4A" w:rsidP="00881671">
      <w:pPr>
        <w:pStyle w:val="ListParagraph"/>
        <w:numPr>
          <w:ilvl w:val="1"/>
          <w:numId w:val="1"/>
        </w:numPr>
        <w:ind w:left="993" w:hanging="284"/>
      </w:pPr>
      <w:r>
        <w:t xml:space="preserve">Prohibits anyone else from adopting official marks, and this prohibition is </w:t>
      </w:r>
      <w:r w:rsidRPr="00322B4A">
        <w:rPr>
          <w:b/>
        </w:rPr>
        <w:t>absolute</w:t>
      </w:r>
    </w:p>
    <w:p w14:paraId="5AA8FDAF" w14:textId="6E5822C5" w:rsidR="00322B4A" w:rsidRDefault="00322B4A" w:rsidP="00881671">
      <w:pPr>
        <w:pStyle w:val="ListParagraph"/>
        <w:numPr>
          <w:ilvl w:val="1"/>
          <w:numId w:val="1"/>
        </w:numPr>
        <w:ind w:left="993" w:hanging="284"/>
      </w:pPr>
      <w:r>
        <w:t xml:space="preserve">None of the usual </w:t>
      </w:r>
      <w:r>
        <w:rPr>
          <w:b/>
        </w:rPr>
        <w:t>formalities</w:t>
      </w:r>
      <w:r>
        <w:t xml:space="preserve"> for the adoption of official marks are imposed</w:t>
      </w:r>
    </w:p>
    <w:p w14:paraId="031F99B3" w14:textId="583D988E" w:rsidR="00322B4A" w:rsidRDefault="00322B4A" w:rsidP="00881671">
      <w:pPr>
        <w:pStyle w:val="ListParagraph"/>
        <w:numPr>
          <w:ilvl w:val="1"/>
          <w:numId w:val="1"/>
        </w:numPr>
        <w:ind w:left="993" w:hanging="284"/>
      </w:pPr>
      <w:r>
        <w:t>Nothing prevents official marks from being clearly descriptive, deceptively misdescriptive, or generic</w:t>
      </w:r>
    </w:p>
    <w:p w14:paraId="463AC8FE" w14:textId="0F11AF9C" w:rsidR="00322B4A" w:rsidRDefault="00322B4A" w:rsidP="00881671">
      <w:pPr>
        <w:pStyle w:val="ListParagraph"/>
        <w:numPr>
          <w:ilvl w:val="1"/>
          <w:numId w:val="1"/>
        </w:numPr>
        <w:ind w:left="993" w:hanging="284"/>
      </w:pPr>
      <w:r>
        <w:lastRenderedPageBreak/>
        <w:t>No opposition proceeding or scrutiny by the Registrar</w:t>
      </w:r>
    </w:p>
    <w:p w14:paraId="348A9D1C" w14:textId="270DBD44" w:rsidR="00322B4A" w:rsidRDefault="00322B4A" w:rsidP="00881671">
      <w:pPr>
        <w:pStyle w:val="ListParagraph"/>
        <w:numPr>
          <w:ilvl w:val="1"/>
          <w:numId w:val="1"/>
        </w:numPr>
        <w:ind w:left="993" w:hanging="284"/>
      </w:pPr>
      <w:r>
        <w:t xml:space="preserve">Nothing in the </w:t>
      </w:r>
      <w:r>
        <w:rPr>
          <w:i/>
        </w:rPr>
        <w:t xml:space="preserve">TA </w:t>
      </w:r>
      <w:r>
        <w:t>prevents an official mark from being confusing with or identical to an existing TM already in use</w:t>
      </w:r>
    </w:p>
    <w:p w14:paraId="30C595BA" w14:textId="7D1E0C95" w:rsidR="00322B4A" w:rsidRDefault="00322B4A" w:rsidP="00881671">
      <w:pPr>
        <w:pStyle w:val="ListParagraph"/>
        <w:numPr>
          <w:ilvl w:val="1"/>
          <w:numId w:val="1"/>
        </w:numPr>
        <w:ind w:left="993" w:hanging="284"/>
      </w:pPr>
      <w:r>
        <w:t xml:space="preserve">Official marks don’t </w:t>
      </w:r>
      <w:r>
        <w:rPr>
          <w:b/>
        </w:rPr>
        <w:t>expire</w:t>
      </w:r>
      <w:r>
        <w:t>, there’s no need to renew them, and there’s no easy way to remove them from Registrar</w:t>
      </w:r>
    </w:p>
    <w:p w14:paraId="04D5A984" w14:textId="3B4AF265" w:rsidR="00D73315" w:rsidRPr="00B133A4" w:rsidRDefault="00D73315" w:rsidP="00881671">
      <w:pPr>
        <w:pStyle w:val="ListParagraph"/>
        <w:numPr>
          <w:ilvl w:val="1"/>
          <w:numId w:val="1"/>
        </w:numPr>
        <w:ind w:left="993" w:hanging="284"/>
      </w:pPr>
      <w:r>
        <w:t>A TM owner who already had a registered mark that resembles an official mark can continue to use it, but effectively has his rights frozen at the time of publication of the official mark (</w:t>
      </w:r>
      <w:r w:rsidRPr="00D73315">
        <w:rPr>
          <w:i/>
          <w:color w:val="FF0000"/>
        </w:rPr>
        <w:t>Royal Roads</w:t>
      </w:r>
      <w:r>
        <w:t>)</w:t>
      </w:r>
    </w:p>
    <w:p w14:paraId="50ABE492" w14:textId="77777777" w:rsidR="00B133A4" w:rsidRPr="00E268BA" w:rsidRDefault="00B133A4" w:rsidP="00A95EF0">
      <w:pPr>
        <w:rPr>
          <w:b/>
          <w:sz w:val="8"/>
          <w:szCs w:val="8"/>
        </w:rPr>
      </w:pPr>
    </w:p>
    <w:p w14:paraId="5ACE0533" w14:textId="618FEBB3" w:rsidR="001061A3" w:rsidRDefault="00B133A4" w:rsidP="00C73DAE">
      <w:r w:rsidRPr="00B133A4">
        <w:rPr>
          <w:b/>
          <w:szCs w:val="20"/>
          <w:highlight w:val="yellow"/>
        </w:rPr>
        <w:t>CERTIFICATION MARKS</w:t>
      </w:r>
      <w:r>
        <w:rPr>
          <w:szCs w:val="20"/>
        </w:rPr>
        <w:t xml:space="preserve"> </w:t>
      </w:r>
      <w:r w:rsidRPr="00B133A4">
        <w:rPr>
          <w:szCs w:val="20"/>
        </w:rPr>
        <w:sym w:font="Wingdings" w:char="F0E0"/>
      </w:r>
      <w:r w:rsidR="002A7191" w:rsidRPr="00C73DAE">
        <w:rPr>
          <w:color w:val="0500FF"/>
          <w:szCs w:val="20"/>
        </w:rPr>
        <w:t xml:space="preserve"> </w:t>
      </w:r>
      <w:r w:rsidR="001061A3" w:rsidRPr="00C73DAE">
        <w:rPr>
          <w:color w:val="0500FF"/>
        </w:rPr>
        <w:t xml:space="preserve">s2 </w:t>
      </w:r>
      <w:r w:rsidR="001061A3">
        <w:t>defines “</w:t>
      </w:r>
      <w:r w:rsidR="001061A3" w:rsidRPr="00C73DAE">
        <w:rPr>
          <w:b/>
        </w:rPr>
        <w:t>certification marks</w:t>
      </w:r>
      <w:r w:rsidR="001061A3">
        <w:t xml:space="preserve">” </w:t>
      </w:r>
      <w:r w:rsidR="00C73DAE">
        <w:t>as those that are used for the purpose of distinguishing goods/services that are of a defined standard wrt:</w:t>
      </w:r>
    </w:p>
    <w:p w14:paraId="69520A4A" w14:textId="55A5C1A5" w:rsidR="00C73DAE" w:rsidRDefault="00C73DAE" w:rsidP="00E45E6F">
      <w:pPr>
        <w:pStyle w:val="ListParagraph"/>
        <w:numPr>
          <w:ilvl w:val="0"/>
          <w:numId w:val="11"/>
        </w:numPr>
        <w:ind w:left="993"/>
        <w:rPr>
          <w:szCs w:val="20"/>
        </w:rPr>
      </w:pPr>
      <w:r>
        <w:rPr>
          <w:szCs w:val="20"/>
        </w:rPr>
        <w:t xml:space="preserve">the </w:t>
      </w:r>
      <w:r w:rsidRPr="00C73DAE">
        <w:rPr>
          <w:b/>
          <w:szCs w:val="20"/>
        </w:rPr>
        <w:t>character or quality</w:t>
      </w:r>
      <w:r>
        <w:rPr>
          <w:szCs w:val="20"/>
        </w:rPr>
        <w:t xml:space="preserve"> of the goods/services</w:t>
      </w:r>
    </w:p>
    <w:p w14:paraId="40033219" w14:textId="2D49CC08" w:rsidR="00C73DAE" w:rsidRDefault="00C73DAE" w:rsidP="00E45E6F">
      <w:pPr>
        <w:pStyle w:val="ListParagraph"/>
        <w:numPr>
          <w:ilvl w:val="0"/>
          <w:numId w:val="11"/>
        </w:numPr>
        <w:ind w:left="993"/>
        <w:rPr>
          <w:szCs w:val="20"/>
        </w:rPr>
      </w:pPr>
      <w:r>
        <w:rPr>
          <w:szCs w:val="20"/>
        </w:rPr>
        <w:t xml:space="preserve">the </w:t>
      </w:r>
      <w:r w:rsidRPr="00C73DAE">
        <w:rPr>
          <w:b/>
          <w:szCs w:val="20"/>
        </w:rPr>
        <w:t>working conditions</w:t>
      </w:r>
      <w:r>
        <w:rPr>
          <w:szCs w:val="20"/>
        </w:rPr>
        <w:t xml:space="preserve"> under which the goods are produced (or services performed)</w:t>
      </w:r>
    </w:p>
    <w:p w14:paraId="5302CB9B" w14:textId="40E71819" w:rsidR="00C73DAE" w:rsidRDefault="00C73DAE" w:rsidP="00E45E6F">
      <w:pPr>
        <w:pStyle w:val="ListParagraph"/>
        <w:numPr>
          <w:ilvl w:val="0"/>
          <w:numId w:val="11"/>
        </w:numPr>
        <w:ind w:left="993"/>
        <w:rPr>
          <w:szCs w:val="20"/>
        </w:rPr>
      </w:pPr>
      <w:r>
        <w:rPr>
          <w:szCs w:val="20"/>
        </w:rPr>
        <w:t xml:space="preserve">the </w:t>
      </w:r>
      <w:r w:rsidRPr="00C73DAE">
        <w:rPr>
          <w:b/>
          <w:szCs w:val="20"/>
        </w:rPr>
        <w:t>class of persons</w:t>
      </w:r>
      <w:r>
        <w:rPr>
          <w:szCs w:val="20"/>
        </w:rPr>
        <w:t xml:space="preserve"> by whom the goods have been produced (or services performed)</w:t>
      </w:r>
    </w:p>
    <w:p w14:paraId="032516C4" w14:textId="7C944814" w:rsidR="00C73DAE" w:rsidRPr="00C73DAE" w:rsidRDefault="00C73DAE" w:rsidP="00E45E6F">
      <w:pPr>
        <w:pStyle w:val="ListParagraph"/>
        <w:numPr>
          <w:ilvl w:val="0"/>
          <w:numId w:val="11"/>
        </w:numPr>
        <w:ind w:left="993"/>
        <w:rPr>
          <w:szCs w:val="20"/>
        </w:rPr>
      </w:pPr>
      <w:r>
        <w:rPr>
          <w:szCs w:val="20"/>
        </w:rPr>
        <w:t xml:space="preserve">the </w:t>
      </w:r>
      <w:r w:rsidRPr="00C73DAE">
        <w:rPr>
          <w:b/>
          <w:szCs w:val="20"/>
        </w:rPr>
        <w:t>area</w:t>
      </w:r>
      <w:r>
        <w:rPr>
          <w:szCs w:val="20"/>
        </w:rPr>
        <w:t xml:space="preserve"> within which the goods have been produced (or services performed)</w:t>
      </w:r>
    </w:p>
    <w:p w14:paraId="448BE18F" w14:textId="583BFCFE" w:rsidR="009C24B0" w:rsidRDefault="00D35AF9" w:rsidP="009C24B0">
      <w:pPr>
        <w:pStyle w:val="ListParagraph"/>
      </w:pPr>
      <w:r>
        <w:rPr>
          <w:b/>
        </w:rPr>
        <w:t>Ownership:</w:t>
      </w:r>
      <w:r>
        <w:t xml:space="preserve"> </w:t>
      </w:r>
      <w:r w:rsidR="00EB1127">
        <w:t xml:space="preserve">Owned by one person, but </w:t>
      </w:r>
      <w:r w:rsidR="00EB1127">
        <w:rPr>
          <w:i/>
        </w:rPr>
        <w:t>licensed</w:t>
      </w:r>
      <w:r w:rsidR="009C24B0">
        <w:t xml:space="preserve"> to others as per </w:t>
      </w:r>
      <w:r w:rsidR="009C24B0" w:rsidRPr="009C24B0">
        <w:rPr>
          <w:color w:val="0500FF"/>
        </w:rPr>
        <w:t>s23(2)</w:t>
      </w:r>
    </w:p>
    <w:p w14:paraId="1EEFEFE3" w14:textId="6882E4FF" w:rsidR="00B133A4" w:rsidRPr="00D35AF9" w:rsidRDefault="009C24B0" w:rsidP="009C24B0">
      <w:pPr>
        <w:pStyle w:val="ListParagraph"/>
        <w:numPr>
          <w:ilvl w:val="1"/>
          <w:numId w:val="1"/>
        </w:numPr>
        <w:ind w:left="993" w:hanging="284"/>
      </w:pPr>
      <w:r>
        <w:rPr>
          <w:b/>
        </w:rPr>
        <w:t>N</w:t>
      </w:r>
      <w:r w:rsidR="00EB1127" w:rsidRPr="009C24B0">
        <w:rPr>
          <w:b/>
        </w:rPr>
        <w:t>ote:</w:t>
      </w:r>
      <w:r w:rsidR="00EB1127">
        <w:t xml:space="preserve"> </w:t>
      </w:r>
      <w:r>
        <w:t xml:space="preserve">Under </w:t>
      </w:r>
      <w:r w:rsidRPr="009C24B0">
        <w:rPr>
          <w:color w:val="0500FF"/>
        </w:rPr>
        <w:t>s23(1</w:t>
      </w:r>
      <w:r w:rsidR="00AD7D0A">
        <w:rPr>
          <w:color w:val="0500FF"/>
        </w:rPr>
        <w:t>)</w:t>
      </w:r>
      <w:r w:rsidR="00AD7D0A" w:rsidRPr="00AD7D0A">
        <w:t>,</w:t>
      </w:r>
      <w:r w:rsidR="00AD7D0A">
        <w:rPr>
          <w:color w:val="0500FF"/>
        </w:rPr>
        <w:t xml:space="preserve"> </w:t>
      </w:r>
      <w:r>
        <w:t>the owner of a certification mark can’t be associated with the relevant trade</w:t>
      </w:r>
    </w:p>
    <w:p w14:paraId="53E42F1B" w14:textId="77777777" w:rsidR="00D35AF9" w:rsidRPr="00D35AF9" w:rsidRDefault="00D35AF9" w:rsidP="00D35AF9">
      <w:pPr>
        <w:ind w:left="142"/>
        <w:rPr>
          <w:sz w:val="8"/>
          <w:szCs w:val="8"/>
        </w:rPr>
      </w:pPr>
    </w:p>
    <w:p w14:paraId="291D91BE" w14:textId="3B1524B2" w:rsidR="00B133A4" w:rsidRDefault="00B133A4" w:rsidP="00A95EF0">
      <w:pPr>
        <w:rPr>
          <w:szCs w:val="20"/>
        </w:rPr>
      </w:pPr>
      <w:r w:rsidRPr="00B133A4">
        <w:rPr>
          <w:b/>
          <w:szCs w:val="20"/>
          <w:highlight w:val="yellow"/>
        </w:rPr>
        <w:t>COLLECTIVE MARKS</w:t>
      </w:r>
      <w:r>
        <w:rPr>
          <w:szCs w:val="20"/>
        </w:rPr>
        <w:t xml:space="preserve"> </w:t>
      </w:r>
      <w:r w:rsidRPr="00B133A4">
        <w:rPr>
          <w:szCs w:val="20"/>
        </w:rPr>
        <w:sym w:font="Wingdings" w:char="F0E0"/>
      </w:r>
      <w:r w:rsidR="00943C9A">
        <w:rPr>
          <w:szCs w:val="20"/>
        </w:rPr>
        <w:t xml:space="preserve"> </w:t>
      </w:r>
      <w:r w:rsidR="002A7F6E">
        <w:rPr>
          <w:szCs w:val="20"/>
        </w:rPr>
        <w:t xml:space="preserve">While not defined in the </w:t>
      </w:r>
      <w:r w:rsidR="002A7F6E" w:rsidRPr="002A7F6E">
        <w:rPr>
          <w:i/>
          <w:color w:val="0500FF"/>
          <w:szCs w:val="20"/>
        </w:rPr>
        <w:t>TA</w:t>
      </w:r>
      <w:r w:rsidR="002A7F6E">
        <w:rPr>
          <w:szCs w:val="20"/>
        </w:rPr>
        <w:t>, collective marks include s</w:t>
      </w:r>
      <w:r w:rsidR="00943C9A" w:rsidRPr="002A7F6E">
        <w:rPr>
          <w:szCs w:val="20"/>
        </w:rPr>
        <w:t>igns</w:t>
      </w:r>
      <w:r w:rsidR="00943C9A">
        <w:rPr>
          <w:szCs w:val="20"/>
        </w:rPr>
        <w:t xml:space="preserve"> that distinguish the geographical origin, material, mode of manufacture, or other common characteristics of the goods/services using the collective mark (e.g. NHL logo)</w:t>
      </w:r>
    </w:p>
    <w:p w14:paraId="642E0536" w14:textId="26059510" w:rsidR="001061A3" w:rsidRDefault="001061A3" w:rsidP="001061A3">
      <w:pPr>
        <w:pStyle w:val="ListParagraph"/>
      </w:pPr>
      <w:r>
        <w:rPr>
          <w:b/>
        </w:rPr>
        <w:t>Function:</w:t>
      </w:r>
      <w:r>
        <w:t xml:space="preserve"> To inform the public about certain features of the product</w:t>
      </w:r>
    </w:p>
    <w:p w14:paraId="219681FD" w14:textId="354372BE" w:rsidR="001061A3" w:rsidRPr="00B133A4" w:rsidRDefault="001061A3" w:rsidP="001061A3">
      <w:pPr>
        <w:pStyle w:val="ListParagraph"/>
      </w:pPr>
      <w:r>
        <w:rPr>
          <w:b/>
        </w:rPr>
        <w:t xml:space="preserve">Ownership: </w:t>
      </w:r>
      <w:r>
        <w:t xml:space="preserve">Collective marks are owned by an </w:t>
      </w:r>
      <w:r>
        <w:rPr>
          <w:i/>
        </w:rPr>
        <w:t>entity</w:t>
      </w:r>
      <w:r>
        <w:t>, and can be used by members of that entity</w:t>
      </w:r>
      <w:r w:rsidR="00EB1127">
        <w:t xml:space="preserve"> (vs. </w:t>
      </w:r>
      <w:r w:rsidR="00EB1127">
        <w:rPr>
          <w:b/>
        </w:rPr>
        <w:t>certification marks</w:t>
      </w:r>
      <w:r w:rsidR="00EB1127">
        <w:t>)</w:t>
      </w:r>
    </w:p>
    <w:p w14:paraId="6E6CE9AE" w14:textId="77777777" w:rsidR="00B133A4" w:rsidRPr="00E268BA" w:rsidRDefault="00B133A4" w:rsidP="00A95EF0">
      <w:pPr>
        <w:rPr>
          <w:b/>
          <w:sz w:val="8"/>
          <w:szCs w:val="8"/>
        </w:rPr>
      </w:pPr>
    </w:p>
    <w:p w14:paraId="2018BC0C" w14:textId="4997BF95" w:rsidR="005A781C" w:rsidRPr="00EB0EA0" w:rsidRDefault="00B133A4" w:rsidP="00A95EF0">
      <w:pPr>
        <w:rPr>
          <w:szCs w:val="20"/>
          <w:lang w:val="en-US"/>
        </w:rPr>
      </w:pPr>
      <w:r w:rsidRPr="00B133A4">
        <w:rPr>
          <w:b/>
          <w:szCs w:val="20"/>
          <w:highlight w:val="yellow"/>
        </w:rPr>
        <w:t>GEOGRAPHICAL INDICATIONS</w:t>
      </w:r>
      <w:r>
        <w:rPr>
          <w:szCs w:val="20"/>
        </w:rPr>
        <w:t xml:space="preserve"> </w:t>
      </w:r>
      <w:r w:rsidRPr="00B133A4">
        <w:rPr>
          <w:szCs w:val="20"/>
        </w:rPr>
        <w:sym w:font="Wingdings" w:char="F0E0"/>
      </w:r>
      <w:r w:rsidR="005A781C">
        <w:rPr>
          <w:szCs w:val="20"/>
        </w:rPr>
        <w:t xml:space="preserve"> </w:t>
      </w:r>
      <w:r w:rsidR="005A781C" w:rsidRPr="005A781C">
        <w:rPr>
          <w:color w:val="0500FF"/>
          <w:szCs w:val="20"/>
        </w:rPr>
        <w:t xml:space="preserve">s11.14 </w:t>
      </w:r>
      <w:r w:rsidR="005A781C">
        <w:rPr>
          <w:szCs w:val="20"/>
        </w:rPr>
        <w:t xml:space="preserve">sets out certain prohibitions wrt the wine industry—as per </w:t>
      </w:r>
      <w:r w:rsidR="005A781C" w:rsidRPr="005A781C">
        <w:rPr>
          <w:color w:val="0500FF"/>
          <w:szCs w:val="20"/>
        </w:rPr>
        <w:t>(1)</w:t>
      </w:r>
      <w:r w:rsidR="005A781C">
        <w:rPr>
          <w:szCs w:val="20"/>
        </w:rPr>
        <w:t xml:space="preserve">, no person can adopt a geographical indication in association with a wine not originating from that geographical area </w:t>
      </w:r>
      <w:r w:rsidR="005A781C" w:rsidRPr="005A781C">
        <w:rPr>
          <w:rFonts w:ascii="Apple Color Emoji" w:eastAsia="Apple Color Emoji" w:hAnsi="Apple Color Emoji" w:cs="Apple Color Emoji"/>
          <w:szCs w:val="20"/>
          <w:lang w:val="en-US"/>
        </w:rPr>
        <w:t>🍷</w:t>
      </w:r>
    </w:p>
    <w:p w14:paraId="53BC81E2" w14:textId="77777777" w:rsidR="00F16C9C" w:rsidRPr="00F511EC" w:rsidRDefault="00F16C9C" w:rsidP="00A95EF0">
      <w:pPr>
        <w:rPr>
          <w:sz w:val="8"/>
          <w:szCs w:val="8"/>
        </w:rPr>
      </w:pPr>
    </w:p>
    <w:p w14:paraId="7CFAB86D" w14:textId="5616F3E7" w:rsidR="00E07FBE" w:rsidRPr="009A71EE" w:rsidRDefault="00EB0EA0" w:rsidP="00623BFF">
      <w:pPr>
        <w:pStyle w:val="Heading2"/>
      </w:pPr>
      <w:bookmarkStart w:id="12" w:name="_Toc480804606"/>
      <w:r>
        <w:t>USE of TRADE-MARKS</w:t>
      </w:r>
      <w:bookmarkEnd w:id="12"/>
    </w:p>
    <w:p w14:paraId="6A0F944B" w14:textId="7E66E748" w:rsidR="009A71EE" w:rsidRDefault="00780803" w:rsidP="00EB0EA0">
      <w:r>
        <w:t xml:space="preserve">Broadly speaking, Canadian TM law aims to create a system that privileges </w:t>
      </w:r>
      <w:r>
        <w:rPr>
          <w:b/>
        </w:rPr>
        <w:t>use</w:t>
      </w:r>
      <w:r>
        <w:t xml:space="preserve">; hence, </w:t>
      </w:r>
      <w:r w:rsidRPr="00780803">
        <w:rPr>
          <w:b/>
        </w:rPr>
        <w:t>first use</w:t>
      </w:r>
      <w:r>
        <w:t xml:space="preserve"> is the basis on which one is entitled to register the TM while a </w:t>
      </w:r>
      <w:r>
        <w:rPr>
          <w:b/>
        </w:rPr>
        <w:t xml:space="preserve">failure to use </w:t>
      </w:r>
      <w:r>
        <w:t xml:space="preserve">is the basis for expungement under </w:t>
      </w:r>
      <w:r w:rsidRPr="00780803">
        <w:rPr>
          <w:color w:val="0500FF"/>
        </w:rPr>
        <w:t>ss45</w:t>
      </w:r>
      <w:r>
        <w:t xml:space="preserve"> and </w:t>
      </w:r>
      <w:r w:rsidRPr="00780803">
        <w:rPr>
          <w:color w:val="0500FF"/>
        </w:rPr>
        <w:t>57</w:t>
      </w:r>
      <w:r>
        <w:t>.</w:t>
      </w:r>
      <w:r w:rsidR="004546D9">
        <w:t xml:space="preserve"> </w:t>
      </w:r>
      <w:r w:rsidR="004546D9" w:rsidRPr="004546D9">
        <w:rPr>
          <w:color w:val="0500FF"/>
        </w:rPr>
        <w:t>s2</w:t>
      </w:r>
      <w:r w:rsidR="004546D9">
        <w:t xml:space="preserve"> instructs us to look to </w:t>
      </w:r>
      <w:r w:rsidR="004546D9" w:rsidRPr="004546D9">
        <w:rPr>
          <w:color w:val="0500FF"/>
        </w:rPr>
        <w:t>s4</w:t>
      </w:r>
      <w:r w:rsidR="004546D9">
        <w:t xml:space="preserve"> in determining what is deemed to be “use” of a TM.</w:t>
      </w:r>
    </w:p>
    <w:p w14:paraId="445BC453" w14:textId="77777777" w:rsidR="004546D9" w:rsidRPr="00CF1997" w:rsidRDefault="004546D9" w:rsidP="00EB0EA0">
      <w:pPr>
        <w:rPr>
          <w:sz w:val="8"/>
          <w:szCs w:val="8"/>
        </w:rPr>
      </w:pPr>
    </w:p>
    <w:p w14:paraId="776DA632" w14:textId="1A958718" w:rsidR="00CF1997" w:rsidRDefault="004546D9" w:rsidP="00EB0EA0">
      <w:r w:rsidRPr="00CF1997">
        <w:rPr>
          <w:b/>
          <w:highlight w:val="yellow"/>
        </w:rPr>
        <w:t>GOODS</w:t>
      </w:r>
      <w:r>
        <w:t xml:space="preserve"> </w:t>
      </w:r>
      <w:r w:rsidR="00105212">
        <w:t>[</w:t>
      </w:r>
      <w:r w:rsidR="00105212" w:rsidRPr="00105212">
        <w:rPr>
          <w:color w:val="0500FF"/>
        </w:rPr>
        <w:t>4(1)</w:t>
      </w:r>
      <w:r w:rsidR="00105212">
        <w:t xml:space="preserve">] </w:t>
      </w:r>
      <w:r>
        <w:sym w:font="Wingdings" w:char="F0E0"/>
      </w:r>
      <w:r>
        <w:t xml:space="preserve"> A TM is deemed to be </w:t>
      </w:r>
      <w:r>
        <w:rPr>
          <w:i/>
        </w:rPr>
        <w:t xml:space="preserve">used </w:t>
      </w:r>
      <w:r>
        <w:t xml:space="preserve">in association with goods if, </w:t>
      </w:r>
      <w:r w:rsidRPr="00CC5000">
        <w:rPr>
          <w:i/>
        </w:rPr>
        <w:t xml:space="preserve">at the time of the transfer of the </w:t>
      </w:r>
      <w:r w:rsidR="00CF1997" w:rsidRPr="00CC5000">
        <w:rPr>
          <w:i/>
        </w:rPr>
        <w:t>goods</w:t>
      </w:r>
      <w:r w:rsidR="00CF1997">
        <w:t xml:space="preserve">, </w:t>
      </w:r>
      <w:r w:rsidR="00CF1997" w:rsidRPr="00CC5000">
        <w:rPr>
          <w:i/>
        </w:rPr>
        <w:t>in the normal course of trade</w:t>
      </w:r>
      <w:r w:rsidR="00CF1997">
        <w:t xml:space="preserve"> (</w:t>
      </w:r>
      <w:r w:rsidR="00CF1997">
        <w:rPr>
          <w:i/>
          <w:color w:val="FF0000"/>
        </w:rPr>
        <w:t>CBM</w:t>
      </w:r>
      <w:r w:rsidR="00CF1997">
        <w:t>), the TM is either:</w:t>
      </w:r>
    </w:p>
    <w:p w14:paraId="38A81457" w14:textId="5FB50EEC" w:rsidR="0080078E" w:rsidRPr="00EA084D" w:rsidRDefault="00CF1997" w:rsidP="00EA084D">
      <w:pPr>
        <w:pStyle w:val="ListParagraph"/>
        <w:rPr>
          <w:b/>
        </w:rPr>
      </w:pPr>
      <w:r w:rsidRPr="0080078E">
        <w:rPr>
          <w:b/>
        </w:rPr>
        <w:t>Marked on the goods themselves</w:t>
      </w:r>
      <w:r w:rsidR="00001B65">
        <w:rPr>
          <w:b/>
        </w:rPr>
        <w:t>;</w:t>
      </w:r>
    </w:p>
    <w:p w14:paraId="4FD102DA" w14:textId="5C0843A9" w:rsidR="00CF1997" w:rsidRPr="0080078E" w:rsidRDefault="00CF1997" w:rsidP="00CF1997">
      <w:pPr>
        <w:pStyle w:val="ListParagraph"/>
        <w:rPr>
          <w:b/>
        </w:rPr>
      </w:pPr>
      <w:r w:rsidRPr="0080078E">
        <w:rPr>
          <w:b/>
        </w:rPr>
        <w:t>Marked on the packages in which they’re distributed</w:t>
      </w:r>
      <w:r w:rsidR="002D4322">
        <w:t xml:space="preserve"> (</w:t>
      </w:r>
      <w:r w:rsidR="002D4322" w:rsidRPr="002D4322">
        <w:rPr>
          <w:i/>
          <w:color w:val="FF0000"/>
        </w:rPr>
        <w:t>Clairol</w:t>
      </w:r>
      <w:r w:rsidR="002D4322">
        <w:t>: competitor’s TM in a comparison chart on packaging = use)</w:t>
      </w:r>
      <w:r w:rsidR="00001B65">
        <w:rPr>
          <w:b/>
        </w:rPr>
        <w:t xml:space="preserve"> </w:t>
      </w:r>
      <w:r w:rsidR="00001B65">
        <w:rPr>
          <w:b/>
          <w:u w:val="single"/>
        </w:rPr>
        <w:t>or</w:t>
      </w:r>
    </w:p>
    <w:p w14:paraId="0F876DF6" w14:textId="4745AF35" w:rsidR="004546D9" w:rsidRDefault="00CF1997" w:rsidP="00CF1997">
      <w:pPr>
        <w:pStyle w:val="ListParagraph"/>
        <w:rPr>
          <w:b/>
        </w:rPr>
      </w:pPr>
      <w:r w:rsidRPr="0080078E">
        <w:rPr>
          <w:b/>
        </w:rPr>
        <w:t xml:space="preserve">Otherwise associated with the goods that notice of the association is given to the person to whom the goods are transferred </w:t>
      </w:r>
    </w:p>
    <w:p w14:paraId="24E139E3" w14:textId="71398EEE" w:rsidR="002D4322" w:rsidRDefault="002D4322" w:rsidP="00B06DB4">
      <w:pPr>
        <w:rPr>
          <w:i/>
          <w:u w:val="single"/>
        </w:rPr>
      </w:pPr>
      <w:r w:rsidRPr="002D4322">
        <w:rPr>
          <w:i/>
          <w:u w:val="single"/>
        </w:rPr>
        <w:t>“At the time of transfer of the goods”</w:t>
      </w:r>
    </w:p>
    <w:p w14:paraId="00C926E0" w14:textId="77777777" w:rsidR="002D4322" w:rsidRDefault="002D4322" w:rsidP="002D4322">
      <w:pPr>
        <w:pStyle w:val="ListParagraph"/>
      </w:pPr>
      <w:r>
        <w:t xml:space="preserve">From </w:t>
      </w:r>
      <w:proofErr w:type="spellStart"/>
      <w:r w:rsidRPr="00E878F1">
        <w:rPr>
          <w:i/>
          <w:color w:val="FF0000"/>
        </w:rPr>
        <w:t>Syntex</w:t>
      </w:r>
      <w:proofErr w:type="spellEnd"/>
      <w:r w:rsidRPr="00BC7DB8">
        <w:t xml:space="preserve">, we know that the </w:t>
      </w:r>
      <w:r>
        <w:t>2</w:t>
      </w:r>
      <w:r w:rsidRPr="00E878F1">
        <w:rPr>
          <w:vertAlign w:val="superscript"/>
        </w:rPr>
        <w:t>nd</w:t>
      </w:r>
      <w:r>
        <w:t xml:space="preserve"> half of </w:t>
      </w:r>
      <w:r w:rsidRPr="00E878F1">
        <w:rPr>
          <w:color w:val="0500FF"/>
        </w:rPr>
        <w:t xml:space="preserve">s4(1) </w:t>
      </w:r>
      <w:r>
        <w:t>is not to be read in isolation from the 1</w:t>
      </w:r>
      <w:r w:rsidRPr="00E878F1">
        <w:rPr>
          <w:vertAlign w:val="superscript"/>
        </w:rPr>
        <w:t>st</w:t>
      </w:r>
      <w:r>
        <w:t xml:space="preserve">—thus, we’re only looking at what occurred </w:t>
      </w:r>
      <w:r>
        <w:rPr>
          <w:i/>
        </w:rPr>
        <w:t>at the time of transfer</w:t>
      </w:r>
      <w:r>
        <w:t xml:space="preserve"> regardless of whether the TM was marked on the goods/packages </w:t>
      </w:r>
      <w:r w:rsidRPr="002D4322">
        <w:rPr>
          <w:u w:val="single"/>
        </w:rPr>
        <w:t>or</w:t>
      </w:r>
      <w:r>
        <w:t xml:space="preserve"> otherwise associated with them  </w:t>
      </w:r>
    </w:p>
    <w:p w14:paraId="5283A1B7" w14:textId="77777777" w:rsidR="002D4322" w:rsidRDefault="002D4322" w:rsidP="002D4322">
      <w:pPr>
        <w:pStyle w:val="ListParagraph"/>
        <w:numPr>
          <w:ilvl w:val="1"/>
          <w:numId w:val="1"/>
        </w:numPr>
        <w:ind w:left="993" w:hanging="284"/>
      </w:pPr>
      <w:proofErr w:type="spellStart"/>
      <w:r w:rsidRPr="002D4322">
        <w:rPr>
          <w:i/>
          <w:color w:val="FF0000"/>
        </w:rPr>
        <w:t>Syntex</w:t>
      </w:r>
      <w:proofErr w:type="spellEnd"/>
      <w:r w:rsidRPr="002D4322">
        <w:rPr>
          <w:i/>
          <w:color w:val="FF0000"/>
        </w:rPr>
        <w:t xml:space="preserve"> </w:t>
      </w:r>
      <w:r>
        <w:t xml:space="preserve">(Stone J): Distributing flyers juxtaposing a competitor’s TM vs. the company’s own TM doesn’t constitute “use”, as the competitor’s TM wasn’t used in association w/the goods </w:t>
      </w:r>
      <w:r w:rsidRPr="002D4322">
        <w:rPr>
          <w:i/>
        </w:rPr>
        <w:t>at the time of the transfer</w:t>
      </w:r>
      <w:r>
        <w:t xml:space="preserve"> (≠ infringement)</w:t>
      </w:r>
    </w:p>
    <w:p w14:paraId="14EFE8C4" w14:textId="77777777" w:rsidR="002D4322" w:rsidRDefault="002D4322" w:rsidP="002D4322">
      <w:pPr>
        <w:pStyle w:val="ListParagraph"/>
        <w:numPr>
          <w:ilvl w:val="2"/>
          <w:numId w:val="1"/>
        </w:numPr>
        <w:ind w:left="1418" w:hanging="218"/>
      </w:pPr>
      <w:r w:rsidRPr="002D4322">
        <w:t>However</w:t>
      </w:r>
      <w:r>
        <w:t>, inserting materials with the offending TM into the goods’ packaging could constitute “use” within the 2</w:t>
      </w:r>
      <w:r w:rsidRPr="002D4322">
        <w:rPr>
          <w:vertAlign w:val="superscript"/>
        </w:rPr>
        <w:t>nd</w:t>
      </w:r>
      <w:r>
        <w:t xml:space="preserve"> part of </w:t>
      </w:r>
      <w:r w:rsidRPr="002D4322">
        <w:rPr>
          <w:color w:val="0500FF"/>
        </w:rPr>
        <w:t xml:space="preserve">s4(1) </w:t>
      </w:r>
      <w:r>
        <w:t>(i.e. even if the TM wasn’t on the goods or their packages)</w:t>
      </w:r>
    </w:p>
    <w:p w14:paraId="388BDEFF" w14:textId="09D16DD6" w:rsidR="002D4322" w:rsidRDefault="002D4322" w:rsidP="002D4322">
      <w:pPr>
        <w:pStyle w:val="ListParagraph"/>
        <w:numPr>
          <w:ilvl w:val="1"/>
          <w:numId w:val="1"/>
        </w:numPr>
        <w:ind w:left="993" w:hanging="284"/>
      </w:pPr>
      <w:r w:rsidRPr="002D4322">
        <w:rPr>
          <w:i/>
          <w:color w:val="FF0000"/>
        </w:rPr>
        <w:t>Clairol</w:t>
      </w:r>
      <w:r>
        <w:t xml:space="preserve">: The placement of a competitor’s TM in a comparison chart in brochures didn’t constitute “use” within the meaning of </w:t>
      </w:r>
      <w:r w:rsidRPr="002D4322">
        <w:rPr>
          <w:color w:val="0500FF"/>
        </w:rPr>
        <w:t>s4(1)</w:t>
      </w:r>
      <w:r>
        <w:t>—at the time of the property transfer, the TM wasn’t associated with the goods</w:t>
      </w:r>
    </w:p>
    <w:p w14:paraId="17985CB7" w14:textId="1DC83570" w:rsidR="002D4322" w:rsidRPr="002D4322" w:rsidRDefault="002D4322" w:rsidP="002D4322">
      <w:pPr>
        <w:pStyle w:val="ListParagraph"/>
        <w:rPr>
          <w:b/>
        </w:rPr>
      </w:pPr>
      <w:r>
        <w:rPr>
          <w:b/>
        </w:rPr>
        <w:t>P</w:t>
      </w:r>
      <w:r w:rsidRPr="002D4322">
        <w:rPr>
          <w:b/>
        </w:rPr>
        <w:t xml:space="preserve">olicy reasons </w:t>
      </w:r>
      <w:r w:rsidRPr="002D4322">
        <w:t xml:space="preserve">for not including a flyer or brochure within the meaning of </w:t>
      </w:r>
      <w:r w:rsidRPr="002D4322">
        <w:rPr>
          <w:color w:val="FF0000"/>
        </w:rPr>
        <w:t xml:space="preserve">s4(1) </w:t>
      </w:r>
      <w:r w:rsidRPr="002D4322">
        <w:t xml:space="preserve">(from </w:t>
      </w:r>
      <w:proofErr w:type="spellStart"/>
      <w:r w:rsidRPr="002D4322">
        <w:t>Thurlow</w:t>
      </w:r>
      <w:proofErr w:type="spellEnd"/>
      <w:r w:rsidRPr="002D4322">
        <w:t xml:space="preserve"> J in </w:t>
      </w:r>
      <w:r w:rsidRPr="002D4322">
        <w:rPr>
          <w:i/>
          <w:color w:val="FF0000"/>
        </w:rPr>
        <w:t>Clairol</w:t>
      </w:r>
      <w:r w:rsidRPr="002D4322">
        <w:t>):</w:t>
      </w:r>
    </w:p>
    <w:p w14:paraId="4B2997CB" w14:textId="77777777" w:rsidR="002D4322" w:rsidRPr="002D4322" w:rsidRDefault="002D4322" w:rsidP="002D4322">
      <w:pPr>
        <w:pStyle w:val="ListParagraph"/>
        <w:numPr>
          <w:ilvl w:val="1"/>
          <w:numId w:val="1"/>
        </w:numPr>
        <w:ind w:left="993" w:hanging="284"/>
        <w:rPr>
          <w:i/>
        </w:rPr>
      </w:pPr>
      <w:r w:rsidRPr="002D4322">
        <w:rPr>
          <w:i/>
        </w:rPr>
        <w:t>Consumer rights</w:t>
      </w:r>
      <w:r w:rsidRPr="002D4322">
        <w:t>—we want to allow consumers to make fully informed decisions and have access to information</w:t>
      </w:r>
    </w:p>
    <w:p w14:paraId="15B1333F" w14:textId="77777777" w:rsidR="002D4322" w:rsidRPr="002D4322" w:rsidRDefault="002D4322" w:rsidP="002D4322">
      <w:pPr>
        <w:pStyle w:val="ListParagraph"/>
        <w:numPr>
          <w:ilvl w:val="1"/>
          <w:numId w:val="1"/>
        </w:numPr>
        <w:ind w:left="993" w:hanging="284"/>
        <w:rPr>
          <w:i/>
        </w:rPr>
      </w:pPr>
      <w:r w:rsidRPr="002D4322">
        <w:rPr>
          <w:i/>
        </w:rPr>
        <w:t>Free market</w:t>
      </w:r>
      <w:r w:rsidRPr="002D4322">
        <w:t>—need to recognize the importance of free competition in any industry</w:t>
      </w:r>
    </w:p>
    <w:p w14:paraId="426F6004" w14:textId="26825953" w:rsidR="002D4322" w:rsidRPr="002D4322" w:rsidRDefault="002D4322" w:rsidP="002D4322">
      <w:pPr>
        <w:pStyle w:val="ListParagraph"/>
        <w:numPr>
          <w:ilvl w:val="1"/>
          <w:numId w:val="1"/>
        </w:numPr>
        <w:ind w:left="993" w:hanging="284"/>
        <w:rPr>
          <w:i/>
        </w:rPr>
      </w:pPr>
      <w:r w:rsidRPr="002D4322">
        <w:t xml:space="preserve">To do otherwise would have a significant impact on </w:t>
      </w:r>
      <w:r w:rsidRPr="002D4322">
        <w:rPr>
          <w:i/>
        </w:rPr>
        <w:t>comparative advertising</w:t>
      </w:r>
      <w:r w:rsidRPr="002D4322">
        <w:t>, which has value</w:t>
      </w:r>
    </w:p>
    <w:p w14:paraId="482D3C78" w14:textId="33E2B756" w:rsidR="002D4322" w:rsidRPr="002D4322" w:rsidRDefault="002D4322" w:rsidP="002D4322">
      <w:pPr>
        <w:rPr>
          <w:i/>
          <w:u w:val="single"/>
        </w:rPr>
      </w:pPr>
      <w:r w:rsidRPr="002D4322">
        <w:rPr>
          <w:i/>
          <w:u w:val="single"/>
        </w:rPr>
        <w:t>“In the normal course of trade</w:t>
      </w:r>
      <w:r>
        <w:rPr>
          <w:i/>
          <w:u w:val="single"/>
        </w:rPr>
        <w:t>”</w:t>
      </w:r>
    </w:p>
    <w:p w14:paraId="043138AF" w14:textId="33D24BE6" w:rsidR="005D42A9" w:rsidRPr="002D4322" w:rsidRDefault="002D4322" w:rsidP="002D4322">
      <w:pPr>
        <w:pStyle w:val="ListParagraph"/>
      </w:pPr>
      <w:r>
        <w:t>From</w:t>
      </w:r>
      <w:r w:rsidR="005D42A9">
        <w:t xml:space="preserve"> </w:t>
      </w:r>
      <w:r w:rsidR="005D42A9" w:rsidRPr="005D42A9">
        <w:rPr>
          <w:i/>
          <w:color w:val="FF0000"/>
        </w:rPr>
        <w:t>CBM</w:t>
      </w:r>
      <w:r w:rsidR="005D42A9">
        <w:t xml:space="preserve">, </w:t>
      </w:r>
      <w:r>
        <w:t>we know that the</w:t>
      </w:r>
      <w:r w:rsidR="005D42A9">
        <w:t xml:space="preserve"> </w:t>
      </w:r>
      <w:r w:rsidR="005D42A9">
        <w:rPr>
          <w:b/>
        </w:rPr>
        <w:t>normal course of trade</w:t>
      </w:r>
      <w:r>
        <w:t xml:space="preserve"> begins with the manufacturer, includes wholesalers and retailers as intermediaries, and ends with the consumer—if any part of this chain takes place in Canada, that constitutes “use” within the meaning of </w:t>
      </w:r>
      <w:r w:rsidRPr="002D4322">
        <w:rPr>
          <w:color w:val="0500FF"/>
        </w:rPr>
        <w:t>s4(1)</w:t>
      </w:r>
    </w:p>
    <w:p w14:paraId="526C0989" w14:textId="2B24417C" w:rsidR="002D4322" w:rsidRPr="002D4322" w:rsidRDefault="002D4322" w:rsidP="002D4322">
      <w:pPr>
        <w:pStyle w:val="ListParagraph"/>
        <w:numPr>
          <w:ilvl w:val="1"/>
          <w:numId w:val="1"/>
        </w:numPr>
        <w:ind w:left="993" w:hanging="284"/>
        <w:rPr>
          <w:color w:val="FF0000"/>
        </w:rPr>
      </w:pPr>
      <w:r w:rsidRPr="002D4322">
        <w:rPr>
          <w:i/>
          <w:color w:val="FF0000"/>
        </w:rPr>
        <w:t>CBM</w:t>
      </w:r>
      <w:r w:rsidRPr="002D4322">
        <w:t>:</w:t>
      </w:r>
      <w:r>
        <w:t xml:space="preserve"> </w:t>
      </w:r>
      <w:r w:rsidR="00CA3911">
        <w:t>The argument that the design TM wasn’t “used in the normal course of trade” as the watches were only sold as “samples” failed—thus, the applicant wasn’t entitled to register the design as its own TM</w:t>
      </w:r>
    </w:p>
    <w:p w14:paraId="1BA027D3" w14:textId="3A4E31E1" w:rsidR="002D4322" w:rsidRDefault="002D4322" w:rsidP="002D4322">
      <w:pPr>
        <w:pStyle w:val="ListParagraph"/>
      </w:pPr>
      <w:r>
        <w:t xml:space="preserve">The </w:t>
      </w:r>
      <w:r>
        <w:rPr>
          <w:b/>
        </w:rPr>
        <w:t>normal course of trade</w:t>
      </w:r>
      <w:r>
        <w:t xml:space="preserve"> requires some form of consideration—thus, a TM isn’t “used” in situations where the goods are given away for free or donated (</w:t>
      </w:r>
      <w:proofErr w:type="spellStart"/>
      <w:r w:rsidRPr="002D4322">
        <w:rPr>
          <w:i/>
          <w:color w:val="FF0000"/>
        </w:rPr>
        <w:t>Distrimedic</w:t>
      </w:r>
      <w:proofErr w:type="spellEnd"/>
      <w:r w:rsidR="00E325EA">
        <w:t xml:space="preserve">; </w:t>
      </w:r>
      <w:proofErr w:type="spellStart"/>
      <w:r w:rsidR="00E325EA" w:rsidRPr="00E325EA">
        <w:rPr>
          <w:i/>
          <w:color w:val="FF0000"/>
        </w:rPr>
        <w:t>Gowling</w:t>
      </w:r>
      <w:proofErr w:type="spellEnd"/>
      <w:r w:rsidR="00E325EA">
        <w:t>)</w:t>
      </w:r>
    </w:p>
    <w:p w14:paraId="5F0022D6" w14:textId="4D59805A" w:rsidR="00E325EA" w:rsidRPr="005D42A9" w:rsidRDefault="00E325EA" w:rsidP="002D4322">
      <w:pPr>
        <w:pStyle w:val="ListParagraph"/>
      </w:pPr>
      <w:r>
        <w:t xml:space="preserve">Barter and consignment </w:t>
      </w:r>
      <w:r>
        <w:rPr>
          <w:i/>
        </w:rPr>
        <w:t>might</w:t>
      </w:r>
      <w:r>
        <w:t xml:space="preserve"> amount to “use” within the normal course of trade (</w:t>
      </w:r>
      <w:proofErr w:type="spellStart"/>
      <w:r w:rsidRPr="00E325EA">
        <w:rPr>
          <w:i/>
          <w:color w:val="FF0000"/>
        </w:rPr>
        <w:t>Gowling</w:t>
      </w:r>
      <w:proofErr w:type="spellEnd"/>
      <w:r>
        <w:t>)</w:t>
      </w:r>
    </w:p>
    <w:p w14:paraId="3C17ED9C" w14:textId="77777777" w:rsidR="004546D9" w:rsidRPr="00CF1997" w:rsidRDefault="004546D9" w:rsidP="00EB0EA0">
      <w:pPr>
        <w:rPr>
          <w:sz w:val="8"/>
          <w:szCs w:val="8"/>
        </w:rPr>
      </w:pPr>
    </w:p>
    <w:p w14:paraId="0220ABDB" w14:textId="756C71DE" w:rsidR="004546D9" w:rsidRDefault="004546D9" w:rsidP="00EB0EA0">
      <w:r w:rsidRPr="00CF1997">
        <w:rPr>
          <w:b/>
          <w:highlight w:val="yellow"/>
        </w:rPr>
        <w:lastRenderedPageBreak/>
        <w:t>SERVICES</w:t>
      </w:r>
      <w:r>
        <w:t xml:space="preserve"> </w:t>
      </w:r>
      <w:r w:rsidR="00105212">
        <w:t>[</w:t>
      </w:r>
      <w:r w:rsidR="00105212" w:rsidRPr="00105212">
        <w:rPr>
          <w:color w:val="0500FF"/>
        </w:rPr>
        <w:t>4(2)</w:t>
      </w:r>
      <w:r w:rsidR="00105212">
        <w:t xml:space="preserve">] </w:t>
      </w:r>
      <w:r>
        <w:sym w:font="Wingdings" w:char="F0E0"/>
      </w:r>
      <w:r>
        <w:t xml:space="preserve"> A TM is deemed to be </w:t>
      </w:r>
      <w:r>
        <w:rPr>
          <w:i/>
        </w:rPr>
        <w:t>used</w:t>
      </w:r>
      <w:r>
        <w:t xml:space="preserve"> in association with services if it’s used or displayed in the performance or advertising of those services</w:t>
      </w:r>
      <w:r w:rsidR="00CF1997">
        <w:t xml:space="preserve"> (</w:t>
      </w:r>
      <w:proofErr w:type="spellStart"/>
      <w:r w:rsidR="00CF1997" w:rsidRPr="00CF1997">
        <w:rPr>
          <w:i/>
          <w:color w:val="FF0000"/>
        </w:rPr>
        <w:t>Gesco</w:t>
      </w:r>
      <w:proofErr w:type="spellEnd"/>
      <w:r w:rsidR="00CF1997">
        <w:t>)</w:t>
      </w:r>
    </w:p>
    <w:p w14:paraId="4CC39F1B" w14:textId="367303C6" w:rsidR="004546D9" w:rsidRDefault="001D5B2F" w:rsidP="00EB0EA0">
      <w:pPr>
        <w:pStyle w:val="ListParagraph"/>
      </w:pPr>
      <w:r>
        <w:rPr>
          <w:b/>
        </w:rPr>
        <w:t xml:space="preserve">Ancillary services: </w:t>
      </w:r>
      <w:r>
        <w:t xml:space="preserve">From </w:t>
      </w:r>
      <w:proofErr w:type="spellStart"/>
      <w:r w:rsidRPr="001D5B2F">
        <w:rPr>
          <w:i/>
          <w:color w:val="FF0000"/>
        </w:rPr>
        <w:t>Gesco</w:t>
      </w:r>
      <w:proofErr w:type="spellEnd"/>
      <w:r>
        <w:t>, we know that</w:t>
      </w:r>
      <w:r w:rsidR="00926EE4" w:rsidRPr="001D5B2F">
        <w:t xml:space="preserve"> </w:t>
      </w:r>
      <w:r>
        <w:t xml:space="preserve">the term </w:t>
      </w:r>
      <w:r w:rsidR="00926EE4">
        <w:t>“</w:t>
      </w:r>
      <w:r>
        <w:t>s</w:t>
      </w:r>
      <w:r w:rsidR="00926EE4">
        <w:t xml:space="preserve">ervices” should be liberally construed so as to </w:t>
      </w:r>
      <w:r w:rsidR="00926EE4" w:rsidRPr="001D5B2F">
        <w:rPr>
          <w:u w:val="single"/>
        </w:rPr>
        <w:t>include services that are incidental/ancillary to the sale of goods</w:t>
      </w:r>
      <w:r>
        <w:t>, with each case being decided on its own facts</w:t>
      </w:r>
    </w:p>
    <w:p w14:paraId="0B2247A3" w14:textId="79477BCA" w:rsidR="001D5B2F" w:rsidRDefault="001D5B2F" w:rsidP="001D5B2F">
      <w:pPr>
        <w:pStyle w:val="ListParagraph"/>
        <w:numPr>
          <w:ilvl w:val="1"/>
          <w:numId w:val="1"/>
        </w:numPr>
        <w:ind w:left="993" w:hanging="284"/>
      </w:pPr>
      <w:proofErr w:type="spellStart"/>
      <w:r>
        <w:t>Gesco</w:t>
      </w:r>
      <w:proofErr w:type="spellEnd"/>
      <w:r>
        <w:t xml:space="preserve"> registered “</w:t>
      </w:r>
      <w:proofErr w:type="spellStart"/>
      <w:r>
        <w:t>stainshield</w:t>
      </w:r>
      <w:proofErr w:type="spellEnd"/>
      <w:r>
        <w:t>” in association with “services of stain resistant treatment for application to carpets”—the Registrar initially held that to qualify as a TM in association with services, the services must be rendered directly to the public and not to a product before it’s sold to the public</w:t>
      </w:r>
      <w:r w:rsidR="00E9440D">
        <w:t xml:space="preserve"> (</w:t>
      </w:r>
      <w:proofErr w:type="spellStart"/>
      <w:r w:rsidR="00E9440D">
        <w:rPr>
          <w:i/>
          <w:color w:val="FF0000"/>
        </w:rPr>
        <w:t>Gesco</w:t>
      </w:r>
      <w:proofErr w:type="spellEnd"/>
      <w:r w:rsidR="00E9440D">
        <w:t>)</w:t>
      </w:r>
    </w:p>
    <w:p w14:paraId="5F55C81A" w14:textId="29856C47" w:rsidR="003D7BF2" w:rsidRDefault="001D5B2F" w:rsidP="00DF5B97">
      <w:pPr>
        <w:pStyle w:val="ListParagraph"/>
      </w:pPr>
      <w:r>
        <w:rPr>
          <w:b/>
        </w:rPr>
        <w:t>Online services:</w:t>
      </w:r>
      <w:r>
        <w:t xml:space="preserve"> </w:t>
      </w:r>
      <w:r w:rsidR="00DF5B97">
        <w:t xml:space="preserve">While </w:t>
      </w:r>
      <w:r w:rsidR="00DF5B97" w:rsidRPr="00DF5B97">
        <w:rPr>
          <w:i/>
          <w:color w:val="FF0000"/>
        </w:rPr>
        <w:t xml:space="preserve">TSA </w:t>
      </w:r>
      <w:r w:rsidR="00DF5B97">
        <w:t xml:space="preserve">suggests that online services must simply be of benefit to Canadians to meet the threshold of “use” under </w:t>
      </w:r>
      <w:r w:rsidR="00DF5B97" w:rsidRPr="00DF5B97">
        <w:rPr>
          <w:color w:val="0500FF"/>
        </w:rPr>
        <w:t>s4(2)</w:t>
      </w:r>
      <w:r w:rsidR="00DF5B97">
        <w:t xml:space="preserve">, </w:t>
      </w:r>
      <w:r w:rsidR="00DF5B97" w:rsidRPr="00DF5B97">
        <w:rPr>
          <w:i/>
          <w:color w:val="FF0000"/>
        </w:rPr>
        <w:t xml:space="preserve">UNICAST </w:t>
      </w:r>
      <w:r w:rsidR="00DF5B97">
        <w:t>restricts the meaning of “use” to include only services that are effectively offered to Canadians or performed in Canada</w:t>
      </w:r>
    </w:p>
    <w:p w14:paraId="3E6DF93A" w14:textId="6D9E2AF9" w:rsidR="00AB0AD8" w:rsidRDefault="00E9440D" w:rsidP="00DF5B97">
      <w:pPr>
        <w:pStyle w:val="ListParagraph"/>
        <w:numPr>
          <w:ilvl w:val="1"/>
          <w:numId w:val="1"/>
        </w:numPr>
        <w:ind w:left="993" w:hanging="284"/>
      </w:pPr>
      <w:r>
        <w:t xml:space="preserve">TSA’s “Help Me Choose Gear” service provided info and guidance about products, and the “Shoe Finder” service allowed Canadians to locate a nearby store in the US—Simpson J held that these </w:t>
      </w:r>
      <w:r>
        <w:rPr>
          <w:b/>
          <w:i/>
        </w:rPr>
        <w:t>services</w:t>
      </w:r>
      <w:r>
        <w:t xml:space="preserve"> were of benefit to Canadians and, since the TMs appeared in connection with these services, there was evidence of “use” in Canada</w:t>
      </w:r>
      <w:r w:rsidR="00DF5B97">
        <w:t xml:space="preserve"> (they</w:t>
      </w:r>
      <w:r>
        <w:t xml:space="preserve"> </w:t>
      </w:r>
      <w:r w:rsidR="00AB0AD8">
        <w:t>were akin to visiting a bricks and mortar store and benefitting from the services there</w:t>
      </w:r>
      <w:r w:rsidR="00DF5B97">
        <w:t>)</w:t>
      </w:r>
      <w:r w:rsidR="00AB0AD8">
        <w:t xml:space="preserve"> (</w:t>
      </w:r>
      <w:r w:rsidR="00AB0AD8" w:rsidRPr="00DF5B97">
        <w:rPr>
          <w:i/>
          <w:color w:val="FF0000"/>
        </w:rPr>
        <w:t>TSA</w:t>
      </w:r>
      <w:r w:rsidR="00AB0AD8">
        <w:t>)</w:t>
      </w:r>
    </w:p>
    <w:p w14:paraId="67E37D01" w14:textId="17E0E201" w:rsidR="00DF5B97" w:rsidRDefault="00DF5B97" w:rsidP="00DF5B97">
      <w:pPr>
        <w:pStyle w:val="ListParagraph"/>
        <w:numPr>
          <w:ilvl w:val="1"/>
          <w:numId w:val="1"/>
        </w:numPr>
        <w:ind w:left="993" w:hanging="284"/>
      </w:pPr>
      <w:r>
        <w:t xml:space="preserve">UNICAST sought to expunge a TM held by a Canadian company, claiming that the mere appearance of a TM on a computer screen via the internet was sufficient to establish “use in Canada” within the meaning of </w:t>
      </w:r>
      <w:r w:rsidRPr="00900507">
        <w:rPr>
          <w:color w:val="0500FF"/>
        </w:rPr>
        <w:t>s4(1)</w:t>
      </w:r>
      <w:r w:rsidR="007A7CA1">
        <w:t xml:space="preserve">—Noël J rejected this argument, claiming that it wasn’t Parliament’s intention to allow any TM holder to expunge a </w:t>
      </w:r>
      <w:r w:rsidR="007A7CA1">
        <w:rPr>
          <w:i/>
        </w:rPr>
        <w:t xml:space="preserve">bona fide </w:t>
      </w:r>
      <w:r w:rsidR="007A7CA1">
        <w:t>Canadian TM based on previous use through the web even if the foreign TM owner had nothing to do with Canada (this would put Canadian TM owners at great risk)</w:t>
      </w:r>
      <w:r w:rsidR="00900507" w:rsidRPr="00900507">
        <w:rPr>
          <w:color w:val="0500FF"/>
        </w:rPr>
        <w:t xml:space="preserve"> </w:t>
      </w:r>
      <w:r w:rsidR="00900507">
        <w:t>(</w:t>
      </w:r>
      <w:r w:rsidR="00900507" w:rsidRPr="00900507">
        <w:rPr>
          <w:i/>
          <w:color w:val="FF0000"/>
        </w:rPr>
        <w:t>UNICAST</w:t>
      </w:r>
      <w:r w:rsidR="00900507">
        <w:t>)</w:t>
      </w:r>
    </w:p>
    <w:p w14:paraId="119C90DC" w14:textId="77777777" w:rsidR="00AB0AD8" w:rsidRPr="007A7CA1" w:rsidRDefault="00AB0AD8" w:rsidP="001A289B">
      <w:pPr>
        <w:rPr>
          <w:b/>
          <w:sz w:val="8"/>
          <w:szCs w:val="8"/>
          <w:highlight w:val="yellow"/>
        </w:rPr>
      </w:pPr>
    </w:p>
    <w:p w14:paraId="71E049DC" w14:textId="77777777" w:rsidR="001A289B" w:rsidRDefault="001A289B" w:rsidP="001A289B">
      <w:r w:rsidRPr="00B06DB4">
        <w:rPr>
          <w:b/>
          <w:highlight w:val="yellow"/>
        </w:rPr>
        <w:t>PRELIMINARY ISSUE: GOODS vs. WARES</w:t>
      </w:r>
      <w:r>
        <w:t xml:space="preserve"> </w:t>
      </w:r>
      <w:r>
        <w:sym w:font="Wingdings" w:char="F0E0"/>
      </w:r>
      <w:r>
        <w:t xml:space="preserve"> </w:t>
      </w:r>
      <w:r w:rsidRPr="00B06DB4">
        <w:rPr>
          <w:i/>
          <w:color w:val="FF0000"/>
        </w:rPr>
        <w:t xml:space="preserve">Specialty Software </w:t>
      </w:r>
      <w:r>
        <w:t xml:space="preserve">exhibits that </w:t>
      </w:r>
      <w:r w:rsidRPr="00804936">
        <w:rPr>
          <w:b/>
        </w:rPr>
        <w:t>wares don’t necessarily have to be in tangible form</w:t>
      </w:r>
    </w:p>
    <w:p w14:paraId="447E7149" w14:textId="1F4D9C66" w:rsidR="001A289B" w:rsidRPr="00A15511" w:rsidRDefault="001A289B" w:rsidP="001A289B">
      <w:pPr>
        <w:pStyle w:val="ListParagraph"/>
      </w:pPr>
      <w:r>
        <w:rPr>
          <w:b/>
        </w:rPr>
        <w:t xml:space="preserve">Facts: </w:t>
      </w:r>
      <w:r>
        <w:t xml:space="preserve">Specialty registered a TM </w:t>
      </w:r>
      <w:r w:rsidR="005124C1">
        <w:t>(“</w:t>
      </w:r>
      <w:proofErr w:type="spellStart"/>
      <w:r w:rsidR="005124C1">
        <w:t>Medinet</w:t>
      </w:r>
      <w:proofErr w:type="spellEnd"/>
      <w:r w:rsidR="005124C1">
        <w:t xml:space="preserve">”) </w:t>
      </w:r>
      <w:r>
        <w:t>in relation to computer software programs (</w:t>
      </w:r>
      <w:r>
        <w:rPr>
          <w:b/>
          <w:i/>
        </w:rPr>
        <w:t>wares</w:t>
      </w:r>
      <w:r>
        <w:t xml:space="preserve">), then appealed the mark’s expungement decision 11yrs later with fresh evidence of use in relation to </w:t>
      </w:r>
      <w:r>
        <w:rPr>
          <w:b/>
          <w:i/>
        </w:rPr>
        <w:t>services</w:t>
      </w:r>
      <w:r>
        <w:t xml:space="preserve">—while clients used to purchase software in a tangible form (disks), they now obtained access to the software via the internet </w:t>
      </w:r>
    </w:p>
    <w:p w14:paraId="41CCDACE" w14:textId="77777777" w:rsidR="001A289B" w:rsidRPr="00A15511" w:rsidRDefault="001A289B" w:rsidP="001A289B">
      <w:pPr>
        <w:pStyle w:val="ListParagraph"/>
      </w:pPr>
      <w:r>
        <w:rPr>
          <w:b/>
        </w:rPr>
        <w:t xml:space="preserve">Issue: </w:t>
      </w:r>
      <w:r>
        <w:rPr>
          <w:i/>
        </w:rPr>
        <w:t xml:space="preserve">Does the sale of software over the internet constitute “use” in relation to </w:t>
      </w:r>
      <w:r>
        <w:rPr>
          <w:b/>
          <w:i/>
        </w:rPr>
        <w:t>wares</w:t>
      </w:r>
      <w:r>
        <w:rPr>
          <w:i/>
        </w:rPr>
        <w:t xml:space="preserve">? </w:t>
      </w:r>
      <w:r>
        <w:rPr>
          <w:b/>
        </w:rPr>
        <w:t>YES</w:t>
      </w:r>
      <w:r>
        <w:t xml:space="preserve">—even though Specialty used to sell its software on disks (obvious wares), it was always really selling a </w:t>
      </w:r>
      <w:r>
        <w:rPr>
          <w:b/>
          <w:i/>
        </w:rPr>
        <w:t>licence</w:t>
      </w:r>
      <w:r>
        <w:t xml:space="preserve"> to use the software: an intangible good</w:t>
      </w:r>
    </w:p>
    <w:p w14:paraId="6AF2F024" w14:textId="77777777" w:rsidR="001A289B" w:rsidRPr="00A15511" w:rsidRDefault="001A289B" w:rsidP="001A289B">
      <w:pPr>
        <w:pStyle w:val="ListParagraph"/>
      </w:pPr>
      <w:r>
        <w:rPr>
          <w:b/>
        </w:rPr>
        <w:t>O’Reilly J:</w:t>
      </w:r>
    </w:p>
    <w:p w14:paraId="04F39715" w14:textId="77777777" w:rsidR="001A289B" w:rsidRPr="001A289B" w:rsidRDefault="001A289B" w:rsidP="001A289B">
      <w:pPr>
        <w:pStyle w:val="ListParagraph"/>
        <w:numPr>
          <w:ilvl w:val="1"/>
          <w:numId w:val="1"/>
        </w:numPr>
        <w:ind w:left="993" w:hanging="284"/>
      </w:pPr>
      <w:r>
        <w:t xml:space="preserve">The disks merely represented the </w:t>
      </w:r>
      <w:r>
        <w:rPr>
          <w:b/>
        </w:rPr>
        <w:t>means</w:t>
      </w:r>
      <w:r>
        <w:t xml:space="preserve"> by which the transfer of goods occurred—the </w:t>
      </w:r>
      <w:proofErr w:type="gramStart"/>
      <w:r>
        <w:t>real</w:t>
      </w:r>
      <w:proofErr w:type="gramEnd"/>
      <w:r>
        <w:t xml:space="preserve"> good was the </w:t>
      </w:r>
      <w:r>
        <w:rPr>
          <w:b/>
        </w:rPr>
        <w:t>licence</w:t>
      </w:r>
    </w:p>
    <w:p w14:paraId="0FF7B9CD" w14:textId="791B3CEA" w:rsidR="001A289B" w:rsidRDefault="001A289B" w:rsidP="001A289B">
      <w:pPr>
        <w:pStyle w:val="ListParagraph"/>
        <w:numPr>
          <w:ilvl w:val="1"/>
          <w:numId w:val="1"/>
        </w:numPr>
        <w:ind w:left="993" w:hanging="284"/>
      </w:pPr>
      <w:r>
        <w:t xml:space="preserve">Evidence that the mark had been </w:t>
      </w:r>
      <w:r w:rsidRPr="005124C1">
        <w:rPr>
          <w:i/>
          <w:u w:val="single"/>
        </w:rPr>
        <w:t>used</w:t>
      </w:r>
      <w:r>
        <w:rPr>
          <w:i/>
        </w:rPr>
        <w:t xml:space="preserve"> in a manner showing an </w:t>
      </w:r>
      <w:r w:rsidR="005124C1">
        <w:rPr>
          <w:i/>
        </w:rPr>
        <w:t xml:space="preserve">association between the mark and the goods </w:t>
      </w:r>
      <w:r w:rsidR="005124C1">
        <w:t>(</w:t>
      </w:r>
      <w:r w:rsidR="005124C1" w:rsidRPr="005124C1">
        <w:rPr>
          <w:color w:val="0500FF"/>
        </w:rPr>
        <w:t>s4(1)</w:t>
      </w:r>
      <w:r w:rsidR="005124C1">
        <w:t>):</w:t>
      </w:r>
    </w:p>
    <w:p w14:paraId="1691F972" w14:textId="2FA9D592" w:rsidR="005124C1" w:rsidRDefault="005124C1" w:rsidP="005124C1">
      <w:pPr>
        <w:pStyle w:val="ListParagraph"/>
        <w:numPr>
          <w:ilvl w:val="2"/>
          <w:numId w:val="1"/>
        </w:numPr>
        <w:ind w:left="1418" w:hanging="218"/>
      </w:pPr>
      <w:r>
        <w:t>The software had been sold to health care workers on an annual subscription basis</w:t>
      </w:r>
    </w:p>
    <w:p w14:paraId="7F75B7AA" w14:textId="63F76B1A" w:rsidR="005124C1" w:rsidRDefault="005124C1" w:rsidP="005124C1">
      <w:pPr>
        <w:pStyle w:val="ListParagraph"/>
        <w:numPr>
          <w:ilvl w:val="2"/>
          <w:numId w:val="1"/>
        </w:numPr>
        <w:ind w:left="1418" w:hanging="218"/>
      </w:pPr>
      <w:r>
        <w:t xml:space="preserve">The software was situated on </w:t>
      </w:r>
      <w:proofErr w:type="spellStart"/>
      <w:r>
        <w:t>Medinet’s</w:t>
      </w:r>
      <w:proofErr w:type="spellEnd"/>
      <w:r>
        <w:t xml:space="preserve"> server—purchasers obtained access via web browsers on their own PCs</w:t>
      </w:r>
    </w:p>
    <w:p w14:paraId="44469CBA" w14:textId="0D6F0E11" w:rsidR="005124C1" w:rsidRDefault="005124C1" w:rsidP="005124C1">
      <w:pPr>
        <w:pStyle w:val="ListParagraph"/>
        <w:numPr>
          <w:ilvl w:val="2"/>
          <w:numId w:val="1"/>
        </w:numPr>
        <w:ind w:left="1418" w:hanging="218"/>
      </w:pPr>
      <w:r>
        <w:t xml:space="preserve">Post-sale, purchasers received invoices showing the </w:t>
      </w:r>
      <w:proofErr w:type="spellStart"/>
      <w:r>
        <w:t>Medinet</w:t>
      </w:r>
      <w:proofErr w:type="spellEnd"/>
      <w:r>
        <w:t xml:space="preserve"> mark, then licence agreements via email</w:t>
      </w:r>
    </w:p>
    <w:p w14:paraId="6C302101" w14:textId="787B4876" w:rsidR="005124C1" w:rsidRDefault="005124C1" w:rsidP="005124C1">
      <w:pPr>
        <w:pStyle w:val="ListParagraph"/>
        <w:numPr>
          <w:ilvl w:val="2"/>
          <w:numId w:val="1"/>
        </w:numPr>
        <w:ind w:left="1418" w:hanging="218"/>
      </w:pPr>
      <w:r>
        <w:t>If the purchaser chose not to renew his subscription, the licence was cancelled</w:t>
      </w:r>
    </w:p>
    <w:p w14:paraId="7BC29249" w14:textId="6B47A4C2" w:rsidR="00FA71C6" w:rsidRDefault="00FA71C6" w:rsidP="00FA71C6">
      <w:pPr>
        <w:pStyle w:val="ListParagraph"/>
        <w:numPr>
          <w:ilvl w:val="1"/>
          <w:numId w:val="1"/>
        </w:numPr>
        <w:ind w:left="993" w:hanging="284"/>
      </w:pPr>
      <w:r>
        <w:t xml:space="preserve">Overall, the evidence showed that the mark was used in a manner that gave notice to purchasers of an association between the goods and the registered mark = the requirements for “use” under </w:t>
      </w:r>
      <w:r w:rsidRPr="00FA71C6">
        <w:rPr>
          <w:color w:val="0500FF"/>
        </w:rPr>
        <w:t xml:space="preserve">s4(1) </w:t>
      </w:r>
      <w:r>
        <w:t>were satisfied</w:t>
      </w:r>
    </w:p>
    <w:p w14:paraId="4C4E4600" w14:textId="77777777" w:rsidR="001A289B" w:rsidRPr="007A7CA1" w:rsidRDefault="001A289B" w:rsidP="00EB0EA0">
      <w:pPr>
        <w:rPr>
          <w:sz w:val="8"/>
          <w:szCs w:val="8"/>
        </w:rPr>
      </w:pPr>
    </w:p>
    <w:p w14:paraId="07BBA2A8" w14:textId="42A5FC1C" w:rsidR="004546D9" w:rsidRPr="00780803" w:rsidRDefault="007A7CA1" w:rsidP="00623BFF">
      <w:pPr>
        <w:pStyle w:val="Heading2"/>
      </w:pPr>
      <w:bookmarkStart w:id="13" w:name="_Toc480804607"/>
      <w:r>
        <w:t xml:space="preserve">HOW to REGISTER </w:t>
      </w:r>
      <w:r w:rsidR="008315C8">
        <w:t xml:space="preserve">&amp; OBTAIN </w:t>
      </w:r>
      <w:r>
        <w:t>a TRADE-MARK</w:t>
      </w:r>
      <w:bookmarkEnd w:id="13"/>
    </w:p>
    <w:p w14:paraId="16588518" w14:textId="1F98C23B" w:rsidR="00085933" w:rsidRDefault="007A7CA1" w:rsidP="00EB0EA0">
      <w:r>
        <w:t>Registering one’</w:t>
      </w:r>
      <w:r w:rsidR="00085933">
        <w:t xml:space="preserve">s TM—rather than applying on the </w:t>
      </w:r>
      <w:r w:rsidR="00825955">
        <w:t xml:space="preserve">common-law </w:t>
      </w:r>
      <w:r w:rsidR="00085933">
        <w:t>tort of pas</w:t>
      </w:r>
      <w:r w:rsidR="00825955">
        <w:t xml:space="preserve">sing-off—is highly advantageous. </w:t>
      </w:r>
    </w:p>
    <w:p w14:paraId="5D9D88B9" w14:textId="7A0276D8" w:rsidR="00EB0EA0" w:rsidRDefault="00085933" w:rsidP="00085933">
      <w:pPr>
        <w:pStyle w:val="ListParagraph"/>
      </w:pPr>
      <w:r>
        <w:t xml:space="preserve">Registration </w:t>
      </w:r>
      <w:r w:rsidRPr="00085933">
        <w:rPr>
          <w:b/>
        </w:rPr>
        <w:t>eliminates the requirement to provide goodwill/reputation</w:t>
      </w:r>
      <w:r>
        <w:t>—just have to show that the TM has either been used or has been proposed to be used</w:t>
      </w:r>
      <w:r w:rsidR="007A7CA1">
        <w:t xml:space="preserve"> </w:t>
      </w:r>
    </w:p>
    <w:p w14:paraId="4B9625E4" w14:textId="2219D40D" w:rsidR="00085933" w:rsidRDefault="00085933" w:rsidP="00085933">
      <w:pPr>
        <w:pStyle w:val="ListParagraph"/>
      </w:pPr>
      <w:r>
        <w:t xml:space="preserve">Registration provides </w:t>
      </w:r>
      <w:r w:rsidRPr="00085933">
        <w:rPr>
          <w:b/>
        </w:rPr>
        <w:t>national recognition</w:t>
      </w:r>
      <w:r>
        <w:t xml:space="preserve"> of the TM, which is broader than just the ambit of your goodwill</w:t>
      </w:r>
    </w:p>
    <w:p w14:paraId="78319B25" w14:textId="247682EB" w:rsidR="00085933" w:rsidRDefault="00085933" w:rsidP="00085933">
      <w:pPr>
        <w:pStyle w:val="ListParagraph"/>
      </w:pPr>
      <w:r>
        <w:t xml:space="preserve">A TM is </w:t>
      </w:r>
      <w:r w:rsidRPr="00085933">
        <w:rPr>
          <w:b/>
        </w:rPr>
        <w:t>presumed to be valid</w:t>
      </w:r>
      <w:r>
        <w:t xml:space="preserve"> once registered</w:t>
      </w:r>
    </w:p>
    <w:p w14:paraId="7F9319FD" w14:textId="678791FD" w:rsidR="00EB0EA0" w:rsidRDefault="00085933" w:rsidP="00EB0EA0">
      <w:pPr>
        <w:pStyle w:val="ListParagraph"/>
      </w:pPr>
      <w:r>
        <w:t xml:space="preserve">Registration comes with the </w:t>
      </w:r>
      <w:r w:rsidRPr="00085933">
        <w:rPr>
          <w:b/>
        </w:rPr>
        <w:t>statutorily mandated rights</w:t>
      </w:r>
      <w:r>
        <w:t xml:space="preserve"> set out in </w:t>
      </w:r>
      <w:r w:rsidRPr="00085933">
        <w:rPr>
          <w:color w:val="0500FF"/>
        </w:rPr>
        <w:t>ss7</w:t>
      </w:r>
      <w:r>
        <w:t xml:space="preserve">, </w:t>
      </w:r>
      <w:r w:rsidRPr="00085933">
        <w:rPr>
          <w:color w:val="0500FF"/>
        </w:rPr>
        <w:t>19</w:t>
      </w:r>
      <w:r>
        <w:t xml:space="preserve">, </w:t>
      </w:r>
      <w:r w:rsidRPr="00085933">
        <w:rPr>
          <w:color w:val="0500FF"/>
        </w:rPr>
        <w:t>20</w:t>
      </w:r>
      <w:r>
        <w:t xml:space="preserve">, and </w:t>
      </w:r>
      <w:r w:rsidRPr="00085933">
        <w:rPr>
          <w:color w:val="0500FF"/>
        </w:rPr>
        <w:t>22</w:t>
      </w:r>
      <w:r>
        <w:t>, which provide much broader protection that provide through passing-off</w:t>
      </w:r>
    </w:p>
    <w:p w14:paraId="56F8898D" w14:textId="77777777" w:rsidR="00825955" w:rsidRPr="00825955" w:rsidRDefault="00825955" w:rsidP="00825955">
      <w:pPr>
        <w:rPr>
          <w:sz w:val="8"/>
          <w:szCs w:val="8"/>
        </w:rPr>
      </w:pPr>
    </w:p>
    <w:p w14:paraId="478CA82F" w14:textId="77777777" w:rsidR="00825955" w:rsidRPr="00825955" w:rsidRDefault="00825955" w:rsidP="00E45E6F">
      <w:pPr>
        <w:numPr>
          <w:ilvl w:val="0"/>
          <w:numId w:val="14"/>
        </w:numPr>
        <w:ind w:left="426"/>
        <w:rPr>
          <w:b/>
          <w:lang w:val="en-US"/>
        </w:rPr>
      </w:pPr>
      <w:r w:rsidRPr="00DB1420">
        <w:rPr>
          <w:b/>
          <w:highlight w:val="yellow"/>
          <w:lang w:val="en-US"/>
        </w:rPr>
        <w:t>Research</w:t>
      </w:r>
      <w:r w:rsidRPr="00825955">
        <w:rPr>
          <w:b/>
          <w:lang w:val="en-US"/>
        </w:rPr>
        <w:t xml:space="preserve"> </w:t>
      </w:r>
    </w:p>
    <w:p w14:paraId="7A1CE98A" w14:textId="4C6FD5A0" w:rsidR="00825955" w:rsidRPr="00825955" w:rsidRDefault="00DB1420" w:rsidP="00825955">
      <w:pPr>
        <w:pStyle w:val="ListParagraph"/>
        <w:ind w:left="709"/>
        <w:rPr>
          <w:b/>
          <w:lang w:val="en-US"/>
        </w:rPr>
      </w:pPr>
      <w:r>
        <w:rPr>
          <w:lang w:val="en-US"/>
        </w:rPr>
        <w:t>Research</w:t>
      </w:r>
      <w:r w:rsidR="00825955" w:rsidRPr="00825955">
        <w:rPr>
          <w:lang w:val="en-US"/>
        </w:rPr>
        <w:t xml:space="preserve"> the marketplace—especially competitors—to ensure that th</w:t>
      </w:r>
      <w:r>
        <w:rPr>
          <w:lang w:val="en-US"/>
        </w:rPr>
        <w:t xml:space="preserve">e chosen mark isn’t confusing with an </w:t>
      </w:r>
      <w:r w:rsidR="00825955" w:rsidRPr="00825955">
        <w:rPr>
          <w:lang w:val="en-US"/>
        </w:rPr>
        <w:t>existing TM</w:t>
      </w:r>
    </w:p>
    <w:p w14:paraId="42384480" w14:textId="33D97441" w:rsidR="00825955" w:rsidRPr="00825955" w:rsidRDefault="00DB1420" w:rsidP="00825955">
      <w:pPr>
        <w:pStyle w:val="ListParagraph"/>
        <w:ind w:left="709"/>
        <w:rPr>
          <w:b/>
          <w:lang w:val="en-US"/>
        </w:rPr>
      </w:pPr>
      <w:r>
        <w:rPr>
          <w:lang w:val="en-US"/>
        </w:rPr>
        <w:t>Include</w:t>
      </w:r>
      <w:r w:rsidR="00825955" w:rsidRPr="00825955">
        <w:rPr>
          <w:lang w:val="en-US"/>
        </w:rPr>
        <w:t xml:space="preserve"> a review of </w:t>
      </w:r>
      <w:r>
        <w:rPr>
          <w:lang w:val="en-US"/>
        </w:rPr>
        <w:t>the CIPO’s TM database, and</w:t>
      </w:r>
      <w:r w:rsidR="00825955" w:rsidRPr="00825955">
        <w:rPr>
          <w:lang w:val="en-US"/>
        </w:rPr>
        <w:t xml:space="preserve"> conduct a search of existing trade names</w:t>
      </w:r>
    </w:p>
    <w:p w14:paraId="03A8B599" w14:textId="7389DC35" w:rsidR="00825955" w:rsidRPr="00825955" w:rsidRDefault="00825955" w:rsidP="00E45E6F">
      <w:pPr>
        <w:numPr>
          <w:ilvl w:val="0"/>
          <w:numId w:val="14"/>
        </w:numPr>
        <w:ind w:left="426"/>
        <w:rPr>
          <w:lang w:val="en-US"/>
        </w:rPr>
      </w:pPr>
      <w:r w:rsidRPr="00DB1420">
        <w:rPr>
          <w:b/>
          <w:highlight w:val="yellow"/>
          <w:lang w:val="en-US"/>
        </w:rPr>
        <w:t xml:space="preserve">Confirm there’s a legal basis for </w:t>
      </w:r>
      <w:r w:rsidR="00DB1420" w:rsidRPr="00DB1420">
        <w:rPr>
          <w:b/>
          <w:highlight w:val="yellow"/>
          <w:lang w:val="en-US"/>
        </w:rPr>
        <w:t>the registration</w:t>
      </w:r>
    </w:p>
    <w:p w14:paraId="31DCF3F1" w14:textId="1F33A975" w:rsidR="007C2507" w:rsidRPr="007C2507" w:rsidRDefault="00825955" w:rsidP="00D5543C">
      <w:pPr>
        <w:pStyle w:val="ListParagraph"/>
        <w:ind w:left="709"/>
        <w:rPr>
          <w:b/>
          <w:lang w:val="en-US"/>
        </w:rPr>
      </w:pPr>
      <w:r w:rsidRPr="007C2507">
        <w:rPr>
          <w:color w:val="0500FF"/>
          <w:lang w:val="en-US"/>
        </w:rPr>
        <w:t>s16</w:t>
      </w:r>
      <w:r w:rsidRPr="00825955">
        <w:rPr>
          <w:lang w:val="en-US"/>
        </w:rPr>
        <w:t xml:space="preserve">: </w:t>
      </w:r>
      <w:r w:rsidR="007C2507">
        <w:rPr>
          <w:lang w:val="en-US"/>
        </w:rPr>
        <w:t>Any applicant who has filed an application in accordance w/</w:t>
      </w:r>
      <w:r w:rsidR="007C2507" w:rsidRPr="00FE3EC8">
        <w:rPr>
          <w:color w:val="0500FF"/>
          <w:lang w:val="en-US"/>
        </w:rPr>
        <w:t>s30</w:t>
      </w:r>
      <w:r w:rsidR="007C2507">
        <w:rPr>
          <w:lang w:val="en-US"/>
        </w:rPr>
        <w:t xml:space="preserve"> fo</w:t>
      </w:r>
      <w:r w:rsidR="009879D4">
        <w:rPr>
          <w:lang w:val="en-US"/>
        </w:rPr>
        <w:t xml:space="preserve">r a TM that is </w:t>
      </w:r>
      <w:r w:rsidR="007C2507">
        <w:rPr>
          <w:lang w:val="en-US"/>
        </w:rPr>
        <w:t xml:space="preserve">registrable </w:t>
      </w:r>
      <w:r w:rsidR="007C2507">
        <w:rPr>
          <w:u w:val="single"/>
          <w:lang w:val="en-US"/>
        </w:rPr>
        <w:t>and</w:t>
      </w:r>
      <w:r w:rsidR="007C2507">
        <w:rPr>
          <w:lang w:val="en-US"/>
        </w:rPr>
        <w:t xml:space="preserve"> that he has used or made known in Canada in association with goods/services is entitled (subject to </w:t>
      </w:r>
      <w:r w:rsidR="007C2507" w:rsidRPr="00FE3EC8">
        <w:rPr>
          <w:color w:val="0500FF"/>
          <w:lang w:val="en-US"/>
        </w:rPr>
        <w:t>s38</w:t>
      </w:r>
      <w:r w:rsidR="007C2507">
        <w:rPr>
          <w:lang w:val="en-US"/>
        </w:rPr>
        <w:t xml:space="preserve">) to secure its registration </w:t>
      </w:r>
      <w:r w:rsidR="007C2507">
        <w:rPr>
          <w:b/>
          <w:u w:val="single"/>
          <w:lang w:val="en-US"/>
        </w:rPr>
        <w:t>unless</w:t>
      </w:r>
      <w:r w:rsidR="007C2507">
        <w:rPr>
          <w:lang w:val="en-US"/>
        </w:rPr>
        <w:t xml:space="preserve"> at the date it was first used or made known it was confusing with</w:t>
      </w:r>
      <w:r w:rsidR="009879D4">
        <w:rPr>
          <w:lang w:val="en-US"/>
        </w:rPr>
        <w:t>:</w:t>
      </w:r>
    </w:p>
    <w:p w14:paraId="0F7CBD3F" w14:textId="08A3701D" w:rsidR="007C2507" w:rsidRPr="00FE3EC8" w:rsidRDefault="007C2507" w:rsidP="00E45E6F">
      <w:pPr>
        <w:pStyle w:val="ListParagraph"/>
        <w:numPr>
          <w:ilvl w:val="4"/>
          <w:numId w:val="12"/>
        </w:numPr>
        <w:ind w:left="1276"/>
        <w:rPr>
          <w:b/>
          <w:lang w:val="en-US"/>
        </w:rPr>
      </w:pPr>
      <w:r w:rsidRPr="00FE3EC8">
        <w:rPr>
          <w:lang w:val="en-US"/>
        </w:rPr>
        <w:t xml:space="preserve">a TM that had been </w:t>
      </w:r>
      <w:r w:rsidRPr="00FE3EC8">
        <w:rPr>
          <w:b/>
          <w:lang w:val="en-US"/>
        </w:rPr>
        <w:t>previously used or made known</w:t>
      </w:r>
      <w:r w:rsidRPr="00FE3EC8">
        <w:rPr>
          <w:lang w:val="en-US"/>
        </w:rPr>
        <w:t xml:space="preserve"> in Canada</w:t>
      </w:r>
    </w:p>
    <w:p w14:paraId="678C3393" w14:textId="1B8E8EE6" w:rsidR="007C2507" w:rsidRPr="00FE3EC8" w:rsidRDefault="007C2507" w:rsidP="00E45E6F">
      <w:pPr>
        <w:pStyle w:val="ListParagraph"/>
        <w:numPr>
          <w:ilvl w:val="4"/>
          <w:numId w:val="12"/>
        </w:numPr>
        <w:ind w:left="1276"/>
        <w:rPr>
          <w:b/>
          <w:lang w:val="en-US"/>
        </w:rPr>
      </w:pPr>
      <w:r w:rsidRPr="00FE3EC8">
        <w:rPr>
          <w:lang w:val="en-US"/>
        </w:rPr>
        <w:t xml:space="preserve">a TM </w:t>
      </w:r>
      <w:r w:rsidR="00FE3EC8" w:rsidRPr="00FE3EC8">
        <w:rPr>
          <w:lang w:val="en-US"/>
        </w:rPr>
        <w:t xml:space="preserve">in respect of which an </w:t>
      </w:r>
      <w:r w:rsidR="00FE3EC8" w:rsidRPr="00FE3EC8">
        <w:rPr>
          <w:b/>
          <w:lang w:val="en-US"/>
        </w:rPr>
        <w:t>application had previously been filed</w:t>
      </w:r>
      <w:r w:rsidR="00FE3EC8" w:rsidRPr="00FE3EC8">
        <w:rPr>
          <w:lang w:val="en-US"/>
        </w:rPr>
        <w:t xml:space="preserve"> in Canada</w:t>
      </w:r>
    </w:p>
    <w:p w14:paraId="3E1DE2B2" w14:textId="1CA08679" w:rsidR="00FE3EC8" w:rsidRPr="00FE3EC8" w:rsidRDefault="00FE3EC8" w:rsidP="00E45E6F">
      <w:pPr>
        <w:pStyle w:val="ListParagraph"/>
        <w:numPr>
          <w:ilvl w:val="4"/>
          <w:numId w:val="12"/>
        </w:numPr>
        <w:ind w:left="1276"/>
        <w:rPr>
          <w:b/>
          <w:lang w:val="en-US"/>
        </w:rPr>
      </w:pPr>
      <w:r w:rsidRPr="00FE3EC8">
        <w:rPr>
          <w:lang w:val="en-US"/>
        </w:rPr>
        <w:t xml:space="preserve">a </w:t>
      </w:r>
      <w:r w:rsidRPr="00FE3EC8">
        <w:rPr>
          <w:b/>
          <w:lang w:val="en-US"/>
        </w:rPr>
        <w:t>trade name</w:t>
      </w:r>
      <w:r w:rsidRPr="00FE3EC8">
        <w:rPr>
          <w:lang w:val="en-US"/>
        </w:rPr>
        <w:t xml:space="preserve"> that had previously been used in Canada</w:t>
      </w:r>
    </w:p>
    <w:p w14:paraId="52EFF9D2" w14:textId="46FCD537" w:rsidR="007C2507" w:rsidRPr="009879D4" w:rsidRDefault="009879D4" w:rsidP="009879D4">
      <w:pPr>
        <w:pStyle w:val="ListParagraph"/>
        <w:numPr>
          <w:ilvl w:val="1"/>
          <w:numId w:val="1"/>
        </w:numPr>
        <w:ind w:left="1701" w:hanging="218"/>
        <w:rPr>
          <w:b/>
          <w:lang w:val="en-US"/>
        </w:rPr>
      </w:pPr>
      <w:r>
        <w:rPr>
          <w:b/>
          <w:lang w:val="en-US"/>
        </w:rPr>
        <w:lastRenderedPageBreak/>
        <w:t xml:space="preserve">Remember </w:t>
      </w:r>
      <w:r>
        <w:rPr>
          <w:lang w:val="en-US"/>
        </w:rPr>
        <w:t xml:space="preserve">the “use” requirements defined in </w:t>
      </w:r>
      <w:r w:rsidRPr="009879D4">
        <w:rPr>
          <w:color w:val="0500FF"/>
          <w:lang w:val="en-US"/>
        </w:rPr>
        <w:t>s4</w:t>
      </w:r>
      <w:r>
        <w:rPr>
          <w:lang w:val="en-US"/>
        </w:rPr>
        <w:t xml:space="preserve">, which differ for goods vs. services </w:t>
      </w:r>
    </w:p>
    <w:p w14:paraId="6A4D7EA9" w14:textId="12D47F98" w:rsidR="009879D4" w:rsidRPr="009879D4" w:rsidRDefault="009879D4" w:rsidP="009879D4">
      <w:pPr>
        <w:pStyle w:val="ListParagraph"/>
        <w:numPr>
          <w:ilvl w:val="1"/>
          <w:numId w:val="1"/>
        </w:numPr>
        <w:ind w:left="1701" w:hanging="218"/>
        <w:rPr>
          <w:b/>
          <w:lang w:val="en-US"/>
        </w:rPr>
      </w:pPr>
      <w:r>
        <w:rPr>
          <w:b/>
          <w:lang w:val="en-US"/>
        </w:rPr>
        <w:t>Remember</w:t>
      </w:r>
      <w:r>
        <w:rPr>
          <w:lang w:val="en-US"/>
        </w:rPr>
        <w:t xml:space="preserve"> the basic </w:t>
      </w:r>
      <w:r w:rsidRPr="009879D4">
        <w:rPr>
          <w:color w:val="0500FF"/>
          <w:lang w:val="en-US"/>
        </w:rPr>
        <w:t xml:space="preserve">s12(1) </w:t>
      </w:r>
      <w:r>
        <w:rPr>
          <w:lang w:val="en-US"/>
        </w:rPr>
        <w:t>requirements (primarily merely a name; clearly/ deceptively (</w:t>
      </w:r>
      <w:proofErr w:type="spellStart"/>
      <w:r>
        <w:rPr>
          <w:lang w:val="en-US"/>
        </w:rPr>
        <w:t>mis</w:t>
      </w:r>
      <w:proofErr w:type="spellEnd"/>
      <w:r>
        <w:rPr>
          <w:lang w:val="en-US"/>
        </w:rPr>
        <w:t>)descriptive etc.)</w:t>
      </w:r>
    </w:p>
    <w:p w14:paraId="7D2F9693" w14:textId="4A034D5E" w:rsidR="009879D4" w:rsidRPr="007C2507" w:rsidRDefault="009879D4" w:rsidP="009879D4">
      <w:pPr>
        <w:pStyle w:val="ListParagraph"/>
        <w:numPr>
          <w:ilvl w:val="1"/>
          <w:numId w:val="1"/>
        </w:numPr>
        <w:ind w:left="1701" w:hanging="218"/>
        <w:rPr>
          <w:b/>
          <w:lang w:val="en-US"/>
        </w:rPr>
      </w:pPr>
      <w:r>
        <w:rPr>
          <w:b/>
          <w:lang w:val="en-US"/>
        </w:rPr>
        <w:t>Remember</w:t>
      </w:r>
      <w:r>
        <w:rPr>
          <w:lang w:val="en-US"/>
        </w:rPr>
        <w:t xml:space="preserve"> the “prohibited” marks set out in </w:t>
      </w:r>
      <w:r w:rsidRPr="009879D4">
        <w:rPr>
          <w:color w:val="0500FF"/>
          <w:lang w:val="en-US"/>
        </w:rPr>
        <w:t>s9</w:t>
      </w:r>
      <w:r>
        <w:rPr>
          <w:lang w:val="en-US"/>
        </w:rPr>
        <w:t xml:space="preserve"> (those used by </w:t>
      </w:r>
      <w:r>
        <w:rPr>
          <w:i/>
          <w:lang w:val="en-US"/>
        </w:rPr>
        <w:t>public authorities</w:t>
      </w:r>
      <w:r>
        <w:rPr>
          <w:lang w:val="en-US"/>
        </w:rPr>
        <w:t>)</w:t>
      </w:r>
    </w:p>
    <w:p w14:paraId="0B87DF0C" w14:textId="1D3486E0" w:rsidR="00825955" w:rsidRPr="00D3425C" w:rsidRDefault="00D3425C" w:rsidP="00D5543C">
      <w:pPr>
        <w:pStyle w:val="ListParagraph"/>
        <w:ind w:left="709"/>
        <w:rPr>
          <w:b/>
          <w:i/>
          <w:lang w:val="en-US"/>
        </w:rPr>
      </w:pPr>
      <w:r w:rsidRPr="00584127">
        <w:rPr>
          <w:lang w:val="en-US"/>
        </w:rPr>
        <w:t>“</w:t>
      </w:r>
      <w:r>
        <w:rPr>
          <w:b/>
          <w:i/>
          <w:lang w:val="en-US"/>
        </w:rPr>
        <w:t>Made known</w:t>
      </w:r>
      <w:r w:rsidRPr="00584127">
        <w:rPr>
          <w:lang w:val="en-US"/>
        </w:rPr>
        <w:t>”</w:t>
      </w:r>
      <w:r>
        <w:rPr>
          <w:i/>
          <w:lang w:val="en-US"/>
        </w:rPr>
        <w:t xml:space="preserve"> </w:t>
      </w:r>
      <w:r>
        <w:rPr>
          <w:lang w:val="en-US"/>
        </w:rPr>
        <w:t xml:space="preserve">is defined in </w:t>
      </w:r>
      <w:r w:rsidRPr="00D3425C">
        <w:rPr>
          <w:color w:val="0500FF"/>
          <w:lang w:val="en-US"/>
        </w:rPr>
        <w:t>s5</w:t>
      </w:r>
      <w:r>
        <w:rPr>
          <w:lang w:val="en-US"/>
        </w:rPr>
        <w:t xml:space="preserve">: A TM is deemed to be made known in Canada if it’s used by a person in a country of the Union (other than Canada) in association with goods/services </w:t>
      </w:r>
      <w:r>
        <w:rPr>
          <w:b/>
          <w:u w:val="single"/>
          <w:lang w:val="en-US"/>
        </w:rPr>
        <w:t>and</w:t>
      </w:r>
    </w:p>
    <w:p w14:paraId="0326F720" w14:textId="755C4CCF" w:rsidR="00D3425C" w:rsidRPr="00D3425C" w:rsidRDefault="00D3425C" w:rsidP="00E45E6F">
      <w:pPr>
        <w:pStyle w:val="ListParagraph"/>
        <w:numPr>
          <w:ilvl w:val="0"/>
          <w:numId w:val="17"/>
        </w:numPr>
        <w:ind w:left="1276"/>
        <w:rPr>
          <w:b/>
          <w:i/>
          <w:lang w:val="en-US"/>
        </w:rPr>
      </w:pPr>
      <w:r>
        <w:rPr>
          <w:lang w:val="en-US"/>
        </w:rPr>
        <w:t xml:space="preserve">the goods are distributed in association with the TM in Canada, </w:t>
      </w:r>
      <w:r>
        <w:rPr>
          <w:b/>
          <w:u w:val="single"/>
          <w:lang w:val="en-US"/>
        </w:rPr>
        <w:t>or</w:t>
      </w:r>
    </w:p>
    <w:p w14:paraId="67139587" w14:textId="70FB8932" w:rsidR="00D3425C" w:rsidRPr="00EA1F30" w:rsidRDefault="00D3425C" w:rsidP="00E45E6F">
      <w:pPr>
        <w:pStyle w:val="ListParagraph"/>
        <w:numPr>
          <w:ilvl w:val="0"/>
          <w:numId w:val="17"/>
        </w:numPr>
        <w:ind w:left="1276"/>
        <w:rPr>
          <w:b/>
          <w:i/>
          <w:lang w:val="en-US"/>
        </w:rPr>
      </w:pPr>
      <w:r>
        <w:rPr>
          <w:lang w:val="en-US"/>
        </w:rPr>
        <w:t xml:space="preserve">the goods/services are advertised in association with </w:t>
      </w:r>
    </w:p>
    <w:p w14:paraId="3C2D0DB1" w14:textId="04AA04A4" w:rsidR="00EA1F30" w:rsidRPr="00A43538" w:rsidRDefault="00EA1F30" w:rsidP="00E45E6F">
      <w:pPr>
        <w:pStyle w:val="ListParagraph"/>
        <w:numPr>
          <w:ilvl w:val="0"/>
          <w:numId w:val="18"/>
        </w:numPr>
        <w:ind w:left="1843" w:hanging="425"/>
        <w:rPr>
          <w:b/>
          <w:i/>
          <w:lang w:val="en-US"/>
        </w:rPr>
      </w:pPr>
      <w:r>
        <w:rPr>
          <w:lang w:val="en-US"/>
        </w:rPr>
        <w:t>any printed publication circulated in Canada in the ordinary course of commerce</w:t>
      </w:r>
      <w:r w:rsidR="00A43538">
        <w:rPr>
          <w:lang w:val="en-US"/>
        </w:rPr>
        <w:t xml:space="preserve"> among potential dealers in or users of the goods/services, or</w:t>
      </w:r>
    </w:p>
    <w:p w14:paraId="0C99D5C1" w14:textId="0980AB8C" w:rsidR="00A43538" w:rsidRPr="00D3425C" w:rsidRDefault="00A43538" w:rsidP="00E45E6F">
      <w:pPr>
        <w:pStyle w:val="ListParagraph"/>
        <w:numPr>
          <w:ilvl w:val="0"/>
          <w:numId w:val="18"/>
        </w:numPr>
        <w:ind w:left="1843" w:hanging="425"/>
        <w:rPr>
          <w:b/>
          <w:i/>
          <w:lang w:val="en-US"/>
        </w:rPr>
      </w:pPr>
      <w:r>
        <w:rPr>
          <w:lang w:val="en-US"/>
        </w:rPr>
        <w:t>radio broadcasts ordinarily received in Canada by potential dealers in or users of the goods/services</w:t>
      </w:r>
    </w:p>
    <w:p w14:paraId="768485D4" w14:textId="56BA61A7" w:rsidR="00825955" w:rsidRPr="00825955" w:rsidRDefault="00825955" w:rsidP="00E45E6F">
      <w:pPr>
        <w:numPr>
          <w:ilvl w:val="0"/>
          <w:numId w:val="14"/>
        </w:numPr>
        <w:ind w:left="426"/>
        <w:rPr>
          <w:lang w:val="en-US"/>
        </w:rPr>
      </w:pPr>
      <w:r w:rsidRPr="00DB1420">
        <w:rPr>
          <w:b/>
          <w:highlight w:val="yellow"/>
          <w:lang w:val="en-US"/>
        </w:rPr>
        <w:t>Apply</w:t>
      </w:r>
    </w:p>
    <w:p w14:paraId="4741273F" w14:textId="3266E51D" w:rsidR="00FC33BC" w:rsidRDefault="00FC33BC" w:rsidP="00D5543C">
      <w:pPr>
        <w:pStyle w:val="ListParagraph"/>
        <w:ind w:left="709"/>
        <w:rPr>
          <w:lang w:val="en-US"/>
        </w:rPr>
      </w:pPr>
      <w:r w:rsidRPr="00FC33BC">
        <w:rPr>
          <w:color w:val="0500FF"/>
          <w:lang w:val="en-US"/>
        </w:rPr>
        <w:t>s30</w:t>
      </w:r>
      <w:r>
        <w:rPr>
          <w:lang w:val="en-US"/>
        </w:rPr>
        <w:t xml:space="preserve"> sets out the requisite contents for an application for TM registration, which include:</w:t>
      </w:r>
    </w:p>
    <w:p w14:paraId="19321BF2" w14:textId="307046FA" w:rsidR="00FC33BC" w:rsidRDefault="00FC33BC" w:rsidP="00FC33BC">
      <w:pPr>
        <w:pStyle w:val="ListParagraph"/>
        <w:numPr>
          <w:ilvl w:val="1"/>
          <w:numId w:val="1"/>
        </w:numPr>
        <w:ind w:left="1276" w:hanging="338"/>
        <w:rPr>
          <w:lang w:val="en-US"/>
        </w:rPr>
      </w:pPr>
      <w:r>
        <w:rPr>
          <w:lang w:val="en-US"/>
        </w:rPr>
        <w:t>A statement in ordinary commercial terms of the specific goods/services in association with which the mark has been or is proposed to be used [</w:t>
      </w:r>
      <w:r w:rsidRPr="00FC33BC">
        <w:rPr>
          <w:color w:val="0500FF"/>
          <w:lang w:val="en-US"/>
        </w:rPr>
        <w:t>30(a)</w:t>
      </w:r>
      <w:r>
        <w:rPr>
          <w:lang w:val="en-US"/>
        </w:rPr>
        <w:t>]</w:t>
      </w:r>
    </w:p>
    <w:p w14:paraId="19D1AEB1" w14:textId="1938B51C" w:rsidR="00FC33BC" w:rsidRDefault="00FC33BC" w:rsidP="00FC33BC">
      <w:pPr>
        <w:pStyle w:val="ListParagraph"/>
        <w:numPr>
          <w:ilvl w:val="1"/>
          <w:numId w:val="1"/>
        </w:numPr>
        <w:ind w:left="1276" w:hanging="338"/>
        <w:rPr>
          <w:lang w:val="en-US"/>
        </w:rPr>
      </w:pPr>
      <w:r>
        <w:rPr>
          <w:lang w:val="en-US"/>
        </w:rPr>
        <w:t>The date of first use in Canada [</w:t>
      </w:r>
      <w:r>
        <w:rPr>
          <w:color w:val="0500FF"/>
          <w:lang w:val="en-US"/>
        </w:rPr>
        <w:t>30(b</w:t>
      </w:r>
      <w:r w:rsidRPr="00FC33BC">
        <w:rPr>
          <w:color w:val="0500FF"/>
          <w:lang w:val="en-US"/>
        </w:rPr>
        <w:t>)</w:t>
      </w:r>
      <w:r>
        <w:rPr>
          <w:lang w:val="en-US"/>
        </w:rPr>
        <w:t>] or the date at which the mark was first made known in Canada [</w:t>
      </w:r>
      <w:r>
        <w:rPr>
          <w:color w:val="0500FF"/>
          <w:lang w:val="en-US"/>
        </w:rPr>
        <w:t>30(c</w:t>
      </w:r>
      <w:r w:rsidRPr="00FC33BC">
        <w:rPr>
          <w:color w:val="0500FF"/>
          <w:lang w:val="en-US"/>
        </w:rPr>
        <w:t>)</w:t>
      </w:r>
      <w:r>
        <w:rPr>
          <w:lang w:val="en-US"/>
        </w:rPr>
        <w:t>]</w:t>
      </w:r>
    </w:p>
    <w:p w14:paraId="67F53BC6" w14:textId="763927E3" w:rsidR="00337644" w:rsidRDefault="00337644" w:rsidP="00FC33BC">
      <w:pPr>
        <w:pStyle w:val="ListParagraph"/>
        <w:numPr>
          <w:ilvl w:val="1"/>
          <w:numId w:val="1"/>
        </w:numPr>
        <w:ind w:left="1276" w:hanging="338"/>
        <w:rPr>
          <w:lang w:val="en-US"/>
        </w:rPr>
      </w:pPr>
      <w:r>
        <w:rPr>
          <w:b/>
          <w:lang w:val="en-US"/>
        </w:rPr>
        <w:t>Essentially:</w:t>
      </w:r>
      <w:r>
        <w:rPr>
          <w:lang w:val="en-US"/>
        </w:rPr>
        <w:t xml:space="preserve"> Establish that you have used the mark, you have proposed to use the mark, you have made it known, or that it’s registered abroad and has been used in that capacity </w:t>
      </w:r>
    </w:p>
    <w:p w14:paraId="09BC2D59" w14:textId="132468CE" w:rsidR="00337644" w:rsidRPr="00FC33BC" w:rsidRDefault="00337644" w:rsidP="003F4818">
      <w:pPr>
        <w:pStyle w:val="ListParagraph"/>
        <w:ind w:left="709"/>
        <w:rPr>
          <w:lang w:val="en-US"/>
        </w:rPr>
      </w:pPr>
      <w:r>
        <w:rPr>
          <w:lang w:val="en-US"/>
        </w:rPr>
        <w:t>Submit the application and fee ($300 or $250 online)</w:t>
      </w:r>
    </w:p>
    <w:p w14:paraId="3F21D0AD" w14:textId="3092FD38" w:rsidR="00825955" w:rsidRPr="00825955" w:rsidRDefault="00825955" w:rsidP="00E45E6F">
      <w:pPr>
        <w:numPr>
          <w:ilvl w:val="0"/>
          <w:numId w:val="14"/>
        </w:numPr>
        <w:ind w:left="426"/>
        <w:rPr>
          <w:lang w:val="en-US"/>
        </w:rPr>
      </w:pPr>
      <w:r w:rsidRPr="00DB1420">
        <w:rPr>
          <w:b/>
          <w:highlight w:val="yellow"/>
          <w:lang w:val="en-US"/>
        </w:rPr>
        <w:t xml:space="preserve">Initial </w:t>
      </w:r>
      <w:r w:rsidRPr="006C15F5">
        <w:rPr>
          <w:b/>
          <w:highlight w:val="yellow"/>
          <w:lang w:val="en-US"/>
        </w:rPr>
        <w:t>review by registrar</w:t>
      </w:r>
    </w:p>
    <w:p w14:paraId="032CCEDB" w14:textId="77718098" w:rsidR="006C15F5" w:rsidRPr="006C15F5" w:rsidRDefault="006C15F5" w:rsidP="00D5543C">
      <w:pPr>
        <w:pStyle w:val="ListParagraph"/>
        <w:ind w:left="709"/>
        <w:rPr>
          <w:b/>
          <w:lang w:val="en-US"/>
        </w:rPr>
      </w:pPr>
      <w:r>
        <w:rPr>
          <w:lang w:val="en-US"/>
        </w:rPr>
        <w:t xml:space="preserve">As per </w:t>
      </w:r>
      <w:r w:rsidRPr="006C15F5">
        <w:rPr>
          <w:color w:val="0500FF"/>
          <w:lang w:val="en-US"/>
        </w:rPr>
        <w:t>s37</w:t>
      </w:r>
      <w:r>
        <w:rPr>
          <w:lang w:val="en-US"/>
        </w:rPr>
        <w:t>, the Registrar will refuse an application for TM registration if he’s satisfied that:</w:t>
      </w:r>
    </w:p>
    <w:p w14:paraId="3FECB892" w14:textId="0BEDB37F" w:rsidR="006C15F5" w:rsidRPr="006C15F5" w:rsidRDefault="006C15F5" w:rsidP="00E45E6F">
      <w:pPr>
        <w:pStyle w:val="ListParagraph"/>
        <w:numPr>
          <w:ilvl w:val="0"/>
          <w:numId w:val="15"/>
        </w:numPr>
        <w:ind w:left="1276"/>
        <w:rPr>
          <w:b/>
          <w:lang w:val="en-US"/>
        </w:rPr>
      </w:pPr>
      <w:r>
        <w:rPr>
          <w:lang w:val="en-US"/>
        </w:rPr>
        <w:t xml:space="preserve">The application doesn’t conform to the </w:t>
      </w:r>
      <w:r w:rsidRPr="006C15F5">
        <w:rPr>
          <w:color w:val="0500FF"/>
          <w:lang w:val="en-US"/>
        </w:rPr>
        <w:t>s30</w:t>
      </w:r>
      <w:r>
        <w:rPr>
          <w:lang w:val="en-US"/>
        </w:rPr>
        <w:t xml:space="preserve"> requirements,</w:t>
      </w:r>
    </w:p>
    <w:p w14:paraId="612B61FC" w14:textId="23BEC63C" w:rsidR="006C15F5" w:rsidRPr="006C15F5" w:rsidRDefault="006C15F5" w:rsidP="00E45E6F">
      <w:pPr>
        <w:pStyle w:val="ListParagraph"/>
        <w:numPr>
          <w:ilvl w:val="0"/>
          <w:numId w:val="15"/>
        </w:numPr>
        <w:ind w:left="1276"/>
        <w:rPr>
          <w:b/>
          <w:lang w:val="en-US"/>
        </w:rPr>
      </w:pPr>
      <w:r>
        <w:rPr>
          <w:lang w:val="en-US"/>
        </w:rPr>
        <w:t>The TM isn’t registrable, or</w:t>
      </w:r>
    </w:p>
    <w:p w14:paraId="390BCCCE" w14:textId="3A11FE27" w:rsidR="006C15F5" w:rsidRPr="006C15F5" w:rsidRDefault="006C15F5" w:rsidP="00E45E6F">
      <w:pPr>
        <w:pStyle w:val="ListParagraph"/>
        <w:numPr>
          <w:ilvl w:val="0"/>
          <w:numId w:val="15"/>
        </w:numPr>
        <w:ind w:left="1276"/>
        <w:rPr>
          <w:b/>
          <w:lang w:val="en-US"/>
        </w:rPr>
      </w:pPr>
      <w:r>
        <w:rPr>
          <w:lang w:val="en-US"/>
        </w:rPr>
        <w:t xml:space="preserve">The applicant isn’t entitled to register the TM because it’s confusing with another TM that’s pending registration </w:t>
      </w:r>
    </w:p>
    <w:p w14:paraId="43C1C1F7" w14:textId="039718DB" w:rsidR="006C15F5" w:rsidRPr="006C15F5" w:rsidRDefault="006C15F5" w:rsidP="00D5543C">
      <w:pPr>
        <w:pStyle w:val="ListParagraph"/>
        <w:ind w:left="709"/>
        <w:rPr>
          <w:b/>
          <w:lang w:val="en-US"/>
        </w:rPr>
      </w:pPr>
      <w:r>
        <w:rPr>
          <w:lang w:val="en-US"/>
        </w:rPr>
        <w:t xml:space="preserve">If none of the above problems are encountered, the Registrar will </w:t>
      </w:r>
      <w:r w:rsidR="00A43538">
        <w:rPr>
          <w:lang w:val="en-US"/>
        </w:rPr>
        <w:t>advertise the application</w:t>
      </w:r>
    </w:p>
    <w:p w14:paraId="002551CA" w14:textId="1AB724D3" w:rsidR="00825955" w:rsidRPr="00825955" w:rsidRDefault="00825955" w:rsidP="00E45E6F">
      <w:pPr>
        <w:numPr>
          <w:ilvl w:val="0"/>
          <w:numId w:val="14"/>
        </w:numPr>
        <w:ind w:left="426"/>
        <w:rPr>
          <w:lang w:val="en-US"/>
        </w:rPr>
      </w:pPr>
      <w:r w:rsidRPr="00DB1420">
        <w:rPr>
          <w:b/>
          <w:highlight w:val="yellow"/>
          <w:lang w:val="en-US"/>
        </w:rPr>
        <w:t>Opposition?</w:t>
      </w:r>
    </w:p>
    <w:p w14:paraId="31D28F7E" w14:textId="40D142F2" w:rsidR="006837B4" w:rsidRPr="006837B4" w:rsidRDefault="006837B4" w:rsidP="00D5543C">
      <w:pPr>
        <w:pStyle w:val="ListParagraph"/>
        <w:ind w:left="709"/>
        <w:rPr>
          <w:lang w:val="en-US"/>
        </w:rPr>
      </w:pPr>
      <w:r w:rsidRPr="006837B4">
        <w:rPr>
          <w:color w:val="0500FF"/>
          <w:lang w:val="en-US"/>
        </w:rPr>
        <w:t>s38(1)</w:t>
      </w:r>
      <w:r>
        <w:rPr>
          <w:lang w:val="en-US"/>
        </w:rPr>
        <w:t>:</w:t>
      </w:r>
      <w:r w:rsidRPr="006837B4">
        <w:rPr>
          <w:lang w:val="en-US"/>
        </w:rPr>
        <w:t xml:space="preserve"> Within</w:t>
      </w:r>
      <w:r>
        <w:rPr>
          <w:lang w:val="en-US"/>
        </w:rPr>
        <w:t xml:space="preserve"> 2mo of advertising the TM application, any person may file a statement of opposition ($750 fee)</w:t>
      </w:r>
    </w:p>
    <w:p w14:paraId="32BF6410" w14:textId="67EB668C" w:rsidR="00825955" w:rsidRPr="006837B4" w:rsidRDefault="006837B4" w:rsidP="00D5543C">
      <w:pPr>
        <w:pStyle w:val="ListParagraph"/>
        <w:ind w:left="709"/>
        <w:rPr>
          <w:b/>
          <w:lang w:val="en-US"/>
        </w:rPr>
      </w:pPr>
      <w:r>
        <w:rPr>
          <w:lang w:val="en-US"/>
        </w:rPr>
        <w:t xml:space="preserve">The statement of opposition may be based on one of the grounds listed in </w:t>
      </w:r>
      <w:r w:rsidRPr="006837B4">
        <w:rPr>
          <w:color w:val="0500FF"/>
          <w:lang w:val="en-US"/>
        </w:rPr>
        <w:t>s38(2)</w:t>
      </w:r>
      <w:r>
        <w:rPr>
          <w:lang w:val="en-US"/>
        </w:rPr>
        <w:t>:</w:t>
      </w:r>
    </w:p>
    <w:p w14:paraId="4CCA02FE" w14:textId="59BBF904" w:rsidR="006837B4" w:rsidRPr="006837B4" w:rsidRDefault="006837B4" w:rsidP="00E45E6F">
      <w:pPr>
        <w:pStyle w:val="ListParagraph"/>
        <w:numPr>
          <w:ilvl w:val="0"/>
          <w:numId w:val="16"/>
        </w:numPr>
        <w:ind w:left="1276"/>
        <w:rPr>
          <w:b/>
          <w:lang w:val="en-US"/>
        </w:rPr>
      </w:pPr>
      <w:r>
        <w:rPr>
          <w:lang w:val="en-US"/>
        </w:rPr>
        <w:t xml:space="preserve">The application doesn’t conform to the </w:t>
      </w:r>
      <w:r w:rsidRPr="006837B4">
        <w:rPr>
          <w:color w:val="0500FF"/>
          <w:lang w:val="en-US"/>
        </w:rPr>
        <w:t xml:space="preserve">s30 </w:t>
      </w:r>
      <w:r>
        <w:rPr>
          <w:lang w:val="en-US"/>
        </w:rPr>
        <w:t>requirements,</w:t>
      </w:r>
    </w:p>
    <w:p w14:paraId="6E83D842" w14:textId="5CF2628F" w:rsidR="006837B4" w:rsidRPr="006837B4" w:rsidRDefault="006837B4" w:rsidP="00E45E6F">
      <w:pPr>
        <w:pStyle w:val="ListParagraph"/>
        <w:numPr>
          <w:ilvl w:val="0"/>
          <w:numId w:val="16"/>
        </w:numPr>
        <w:ind w:left="1276"/>
        <w:rPr>
          <w:b/>
          <w:lang w:val="en-US"/>
        </w:rPr>
      </w:pPr>
      <w:r>
        <w:rPr>
          <w:lang w:val="en-US"/>
        </w:rPr>
        <w:t>The TM isn’t registrable,</w:t>
      </w:r>
    </w:p>
    <w:p w14:paraId="1B4CEBF7" w14:textId="15B07CDF" w:rsidR="006837B4" w:rsidRPr="00074D00" w:rsidRDefault="006837B4" w:rsidP="00E45E6F">
      <w:pPr>
        <w:pStyle w:val="ListParagraph"/>
        <w:numPr>
          <w:ilvl w:val="0"/>
          <w:numId w:val="16"/>
        </w:numPr>
        <w:ind w:left="1276"/>
        <w:rPr>
          <w:b/>
          <w:lang w:val="en-US"/>
        </w:rPr>
      </w:pPr>
      <w:r>
        <w:rPr>
          <w:lang w:val="en-US"/>
        </w:rPr>
        <w:t>The applicant isn’t entitled to register the TM</w:t>
      </w:r>
    </w:p>
    <w:p w14:paraId="5D72432D" w14:textId="2DB454DB" w:rsidR="00074D00" w:rsidRPr="00074D00" w:rsidRDefault="00074D00" w:rsidP="00E45E6F">
      <w:pPr>
        <w:pStyle w:val="ListParagraph"/>
        <w:numPr>
          <w:ilvl w:val="0"/>
          <w:numId w:val="8"/>
        </w:numPr>
        <w:ind w:left="1701" w:hanging="218"/>
        <w:rPr>
          <w:lang w:val="en-US"/>
        </w:rPr>
      </w:pPr>
      <w:r w:rsidRPr="00074D00">
        <w:rPr>
          <w:i/>
          <w:color w:val="FF0000"/>
          <w:lang w:val="en-US"/>
        </w:rPr>
        <w:t>Timothy’s</w:t>
      </w:r>
      <w:r w:rsidRPr="006837B4">
        <w:rPr>
          <w:lang w:val="en-US"/>
        </w:rPr>
        <w:t>:</w:t>
      </w:r>
      <w:r>
        <w:rPr>
          <w:lang w:val="en-US"/>
        </w:rPr>
        <w:t xml:space="preserve"> </w:t>
      </w:r>
      <w:r w:rsidR="008273C7" w:rsidRPr="008273C7">
        <w:rPr>
          <w:b/>
          <w:lang w:val="en-US"/>
        </w:rPr>
        <w:t>The opponent must establish its own prior use of the mark and that it had not abandoned the mark</w:t>
      </w:r>
      <w:r w:rsidR="008273C7">
        <w:rPr>
          <w:lang w:val="en-US"/>
        </w:rPr>
        <w:t xml:space="preserve"> (here, the opponent was unable to meet the burden of establishing prior use of the mark)</w:t>
      </w:r>
    </w:p>
    <w:p w14:paraId="69FC78BB" w14:textId="214317AD" w:rsidR="006837B4" w:rsidRPr="006837B4" w:rsidRDefault="006837B4" w:rsidP="00E45E6F">
      <w:pPr>
        <w:pStyle w:val="ListParagraph"/>
        <w:numPr>
          <w:ilvl w:val="0"/>
          <w:numId w:val="16"/>
        </w:numPr>
        <w:ind w:left="1276"/>
        <w:rPr>
          <w:b/>
          <w:lang w:val="en-US"/>
        </w:rPr>
      </w:pPr>
      <w:r>
        <w:rPr>
          <w:lang w:val="en-US"/>
        </w:rPr>
        <w:t>The TM isn’t distinctive</w:t>
      </w:r>
    </w:p>
    <w:p w14:paraId="0782DF76" w14:textId="308E7AC5" w:rsidR="006837B4" w:rsidRPr="006837B4" w:rsidRDefault="006837B4" w:rsidP="00E45E6F">
      <w:pPr>
        <w:pStyle w:val="ListParagraph"/>
        <w:numPr>
          <w:ilvl w:val="0"/>
          <w:numId w:val="8"/>
        </w:numPr>
        <w:ind w:left="1701" w:hanging="218"/>
        <w:rPr>
          <w:lang w:val="en-US"/>
        </w:rPr>
      </w:pPr>
      <w:r w:rsidRPr="00074D00">
        <w:rPr>
          <w:i/>
          <w:color w:val="FF0000"/>
          <w:lang w:val="en-US"/>
        </w:rPr>
        <w:t>Timothy’s</w:t>
      </w:r>
      <w:r w:rsidRPr="006837B4">
        <w:rPr>
          <w:lang w:val="en-US"/>
        </w:rPr>
        <w:t>:</w:t>
      </w:r>
      <w:r>
        <w:rPr>
          <w:lang w:val="en-US"/>
        </w:rPr>
        <w:t xml:space="preserve"> </w:t>
      </w:r>
      <w:r w:rsidR="001D386C" w:rsidRPr="008273C7">
        <w:rPr>
          <w:b/>
          <w:lang w:val="en-US"/>
        </w:rPr>
        <w:t xml:space="preserve">The opponent </w:t>
      </w:r>
      <w:r w:rsidR="00074D00" w:rsidRPr="008273C7">
        <w:rPr>
          <w:b/>
          <w:lang w:val="en-US"/>
        </w:rPr>
        <w:t xml:space="preserve">must show that its own use of the mark has become sufficiently known—even if not </w:t>
      </w:r>
      <w:r w:rsidR="00074D00" w:rsidRPr="008273C7">
        <w:rPr>
          <w:b/>
          <w:i/>
          <w:lang w:val="en-US"/>
        </w:rPr>
        <w:t>well-</w:t>
      </w:r>
      <w:r w:rsidR="00074D00" w:rsidRPr="008273C7">
        <w:rPr>
          <w:b/>
          <w:lang w:val="en-US"/>
        </w:rPr>
        <w:t>known—so as to negate distinctiveness</w:t>
      </w:r>
      <w:r w:rsidR="00074D00">
        <w:rPr>
          <w:lang w:val="en-US"/>
        </w:rPr>
        <w:t xml:space="preserve"> (</w:t>
      </w:r>
      <w:r w:rsidR="008273C7">
        <w:rPr>
          <w:lang w:val="en-US"/>
        </w:rPr>
        <w:t xml:space="preserve">here, </w:t>
      </w:r>
      <w:r w:rsidR="00074D00">
        <w:rPr>
          <w:lang w:val="en-US"/>
        </w:rPr>
        <w:t>the opponent failed to establish that its use of “Christmas Blend” had acquired a reputation in Canada at the relevant date)</w:t>
      </w:r>
    </w:p>
    <w:p w14:paraId="3ED4F7F7" w14:textId="4986383E" w:rsidR="00825955" w:rsidRPr="00825955" w:rsidRDefault="003938B5" w:rsidP="00D5543C">
      <w:pPr>
        <w:pStyle w:val="ListParagraph"/>
        <w:ind w:left="709"/>
        <w:rPr>
          <w:b/>
          <w:lang w:val="en-US"/>
        </w:rPr>
      </w:pPr>
      <w:r>
        <w:rPr>
          <w:lang w:val="en-US"/>
        </w:rPr>
        <w:t xml:space="preserve">Unless the opposition doesn’t raise a </w:t>
      </w:r>
      <w:r>
        <w:rPr>
          <w:i/>
          <w:lang w:val="en-US"/>
        </w:rPr>
        <w:t xml:space="preserve">substantial issue </w:t>
      </w:r>
      <w:r>
        <w:rPr>
          <w:lang w:val="en-US"/>
        </w:rPr>
        <w:t>[</w:t>
      </w:r>
      <w:r>
        <w:rPr>
          <w:color w:val="0500FF"/>
          <w:lang w:val="en-US"/>
        </w:rPr>
        <w:t>38(4)</w:t>
      </w:r>
      <w:r>
        <w:rPr>
          <w:lang w:val="en-US"/>
        </w:rPr>
        <w:t xml:space="preserve">], the Registrar will hold an </w:t>
      </w:r>
      <w:r>
        <w:rPr>
          <w:i/>
          <w:lang w:val="en-US"/>
        </w:rPr>
        <w:t>opposition hearing</w:t>
      </w:r>
      <w:r>
        <w:rPr>
          <w:lang w:val="en-US"/>
        </w:rPr>
        <w:t xml:space="preserve"> [</w:t>
      </w:r>
      <w:r>
        <w:rPr>
          <w:color w:val="0500FF"/>
          <w:lang w:val="en-US"/>
        </w:rPr>
        <w:t>38(5</w:t>
      </w:r>
      <w:r>
        <w:rPr>
          <w:lang w:val="en-US"/>
        </w:rPr>
        <w:t>–</w:t>
      </w:r>
      <w:r>
        <w:rPr>
          <w:color w:val="0500FF"/>
          <w:lang w:val="en-US"/>
        </w:rPr>
        <w:t>7)</w:t>
      </w:r>
      <w:r>
        <w:rPr>
          <w:lang w:val="en-US"/>
        </w:rPr>
        <w:t>]</w:t>
      </w:r>
    </w:p>
    <w:p w14:paraId="0B398BE9" w14:textId="4CB3D4EE" w:rsidR="00825955" w:rsidRPr="00825955" w:rsidRDefault="00825955" w:rsidP="00D5543C">
      <w:pPr>
        <w:pStyle w:val="ListParagraph"/>
        <w:ind w:left="709"/>
        <w:rPr>
          <w:b/>
          <w:lang w:val="en-US"/>
        </w:rPr>
      </w:pPr>
      <w:r w:rsidRPr="00825955">
        <w:rPr>
          <w:lang w:val="en-US"/>
        </w:rPr>
        <w:t>At</w:t>
      </w:r>
      <w:r w:rsidR="00BC0161">
        <w:rPr>
          <w:lang w:val="en-US"/>
        </w:rPr>
        <w:t xml:space="preserve"> the</w:t>
      </w:r>
      <w:r w:rsidRPr="00825955">
        <w:rPr>
          <w:lang w:val="en-US"/>
        </w:rPr>
        <w:t xml:space="preserve"> opposition hearing, the </w:t>
      </w:r>
      <w:r w:rsidR="00BC0161">
        <w:rPr>
          <w:b/>
          <w:lang w:val="en-US"/>
        </w:rPr>
        <w:t>onus is on the applicant</w:t>
      </w:r>
      <w:r w:rsidR="00BC0161">
        <w:rPr>
          <w:lang w:val="en-US"/>
        </w:rPr>
        <w:t xml:space="preserve"> to show on a </w:t>
      </w:r>
      <w:proofErr w:type="spellStart"/>
      <w:r w:rsidR="00BC0161" w:rsidRPr="00A43538">
        <w:rPr>
          <w:b/>
          <w:lang w:val="en-US"/>
        </w:rPr>
        <w:t>BoP</w:t>
      </w:r>
      <w:proofErr w:type="spellEnd"/>
      <w:r w:rsidR="00BC0161">
        <w:rPr>
          <w:lang w:val="en-US"/>
        </w:rPr>
        <w:t xml:space="preserve"> that the mark should be registered; the opposition must adduce evidence upon to base its grounds for opposition (</w:t>
      </w:r>
      <w:r w:rsidR="00BC0161" w:rsidRPr="00BC0161">
        <w:rPr>
          <w:i/>
          <w:color w:val="FF0000"/>
          <w:lang w:val="en-US"/>
        </w:rPr>
        <w:t>Timothy’s</w:t>
      </w:r>
      <w:r w:rsidR="00BC0161">
        <w:rPr>
          <w:lang w:val="en-US"/>
        </w:rPr>
        <w:t>)</w:t>
      </w:r>
    </w:p>
    <w:p w14:paraId="39B92091" w14:textId="77777777" w:rsidR="00825955" w:rsidRPr="00825955" w:rsidRDefault="00825955" w:rsidP="00E45E6F">
      <w:pPr>
        <w:numPr>
          <w:ilvl w:val="0"/>
          <w:numId w:val="14"/>
        </w:numPr>
        <w:ind w:left="426"/>
        <w:rPr>
          <w:b/>
          <w:lang w:val="en-US"/>
        </w:rPr>
      </w:pPr>
      <w:r w:rsidRPr="00DB1420">
        <w:rPr>
          <w:b/>
          <w:highlight w:val="yellow"/>
          <w:lang w:val="en-US"/>
        </w:rPr>
        <w:t>Registration</w:t>
      </w:r>
    </w:p>
    <w:p w14:paraId="2D428C05" w14:textId="048CB0CF" w:rsidR="00111B76" w:rsidRPr="00111B76" w:rsidRDefault="00111B76" w:rsidP="00D5543C">
      <w:pPr>
        <w:pStyle w:val="ListParagraph"/>
        <w:ind w:left="709"/>
        <w:rPr>
          <w:b/>
          <w:lang w:val="en-US"/>
        </w:rPr>
      </w:pPr>
      <w:r>
        <w:rPr>
          <w:lang w:val="en-US"/>
        </w:rPr>
        <w:t>Once the Registrar allows for the registration of the TM, a certificate of registration is issue ($200 fee)</w:t>
      </w:r>
      <w:r w:rsidR="00982C14">
        <w:rPr>
          <w:lang w:val="en-US"/>
        </w:rPr>
        <w:t xml:space="preserve"> [</w:t>
      </w:r>
      <w:r w:rsidR="00982C14">
        <w:rPr>
          <w:color w:val="0500FF"/>
          <w:lang w:val="en-US"/>
        </w:rPr>
        <w:t>40(1)</w:t>
      </w:r>
      <w:r w:rsidR="00982C14">
        <w:rPr>
          <w:lang w:val="en-US"/>
        </w:rPr>
        <w:t>]</w:t>
      </w:r>
    </w:p>
    <w:p w14:paraId="1C6FF64C" w14:textId="6F015C82" w:rsidR="00111B76" w:rsidRPr="00111B76" w:rsidRDefault="00982C14" w:rsidP="00D5543C">
      <w:pPr>
        <w:pStyle w:val="ListParagraph"/>
        <w:ind w:left="709"/>
        <w:rPr>
          <w:b/>
          <w:lang w:val="en-US"/>
        </w:rPr>
      </w:pPr>
      <w:r>
        <w:rPr>
          <w:lang w:val="en-US"/>
        </w:rPr>
        <w:t>The certificate is only issued after the Registrar has received a declaration that the TM has actually been used [</w:t>
      </w:r>
      <w:r>
        <w:rPr>
          <w:color w:val="0500FF"/>
          <w:lang w:val="en-US"/>
        </w:rPr>
        <w:t>40(2)</w:t>
      </w:r>
      <w:r>
        <w:rPr>
          <w:lang w:val="en-US"/>
        </w:rPr>
        <w:t>]</w:t>
      </w:r>
    </w:p>
    <w:p w14:paraId="0E2339FD" w14:textId="621EF52F" w:rsidR="00825955" w:rsidRPr="00825955" w:rsidRDefault="00297CDC" w:rsidP="00D5543C">
      <w:pPr>
        <w:pStyle w:val="ListParagraph"/>
        <w:ind w:left="709"/>
        <w:rPr>
          <w:b/>
          <w:lang w:val="en-US"/>
        </w:rPr>
      </w:pPr>
      <w:r>
        <w:rPr>
          <w:color w:val="0500FF"/>
          <w:lang w:val="en-US"/>
        </w:rPr>
        <w:t>40(3)</w:t>
      </w:r>
      <w:r>
        <w:rPr>
          <w:lang w:val="en-US"/>
        </w:rPr>
        <w:t xml:space="preserve">: </w:t>
      </w:r>
      <w:r w:rsidR="00F278BD">
        <w:rPr>
          <w:lang w:val="en-US"/>
        </w:rPr>
        <w:t xml:space="preserve">An application for the registration of a </w:t>
      </w:r>
      <w:r w:rsidR="00F278BD" w:rsidRPr="00297CDC">
        <w:rPr>
          <w:b/>
          <w:lang w:val="en-US"/>
        </w:rPr>
        <w:t>proposed TM</w:t>
      </w:r>
      <w:r w:rsidR="00F278BD">
        <w:rPr>
          <w:lang w:val="en-US"/>
        </w:rPr>
        <w:t xml:space="preserve"> is deemed to be abandoned if the Registrar doesn’t receive a declaration </w:t>
      </w:r>
      <w:r>
        <w:rPr>
          <w:lang w:val="en-US"/>
        </w:rPr>
        <w:t xml:space="preserve">before the later of </w:t>
      </w:r>
      <w:r w:rsidRPr="00297CDC">
        <w:rPr>
          <w:color w:val="0500FF"/>
          <w:lang w:val="en-US"/>
        </w:rPr>
        <w:t xml:space="preserve">(a) </w:t>
      </w:r>
      <w:r>
        <w:rPr>
          <w:lang w:val="en-US"/>
        </w:rPr>
        <w:t xml:space="preserve">6mo after Registrar gave notice that the application was allowed, or </w:t>
      </w:r>
      <w:r w:rsidRPr="00297CDC">
        <w:rPr>
          <w:color w:val="0500FF"/>
          <w:lang w:val="en-US"/>
        </w:rPr>
        <w:t>(b)</w:t>
      </w:r>
      <w:r w:rsidR="00F278BD" w:rsidRPr="00297CDC">
        <w:rPr>
          <w:color w:val="0500FF"/>
          <w:lang w:val="en-US"/>
        </w:rPr>
        <w:t xml:space="preserve"> </w:t>
      </w:r>
      <w:r>
        <w:rPr>
          <w:lang w:val="en-US"/>
        </w:rPr>
        <w:t xml:space="preserve">3yrs after the date of filing the application in Canada </w:t>
      </w:r>
      <w:r w:rsidR="00F278BD">
        <w:rPr>
          <w:lang w:val="en-US"/>
        </w:rPr>
        <w:t>[</w:t>
      </w:r>
      <w:r w:rsidR="00F278BD">
        <w:rPr>
          <w:color w:val="0500FF"/>
          <w:lang w:val="en-US"/>
        </w:rPr>
        <w:t>40(3)(b)</w:t>
      </w:r>
      <w:r w:rsidR="00F278BD">
        <w:rPr>
          <w:lang w:val="en-US"/>
        </w:rPr>
        <w:t>]</w:t>
      </w:r>
    </w:p>
    <w:p w14:paraId="6B967424" w14:textId="58B7B72E" w:rsidR="00825955" w:rsidRDefault="00825955" w:rsidP="00E45E6F">
      <w:pPr>
        <w:numPr>
          <w:ilvl w:val="0"/>
          <w:numId w:val="14"/>
        </w:numPr>
        <w:ind w:left="426"/>
        <w:rPr>
          <w:lang w:val="en-US"/>
        </w:rPr>
      </w:pPr>
      <w:r w:rsidRPr="00DB1420">
        <w:rPr>
          <w:b/>
          <w:highlight w:val="yellow"/>
          <w:lang w:val="en-US"/>
        </w:rPr>
        <w:t>Renewal</w:t>
      </w:r>
    </w:p>
    <w:p w14:paraId="74C58FD7" w14:textId="03C9456F" w:rsidR="008315C8" w:rsidRPr="00825955" w:rsidRDefault="008315C8" w:rsidP="008315C8">
      <w:pPr>
        <w:pStyle w:val="ListParagraph"/>
        <w:ind w:left="709"/>
        <w:rPr>
          <w:lang w:val="en-US"/>
        </w:rPr>
      </w:pPr>
      <w:r>
        <w:rPr>
          <w:lang w:val="en-US"/>
        </w:rPr>
        <w:t xml:space="preserve">As per </w:t>
      </w:r>
      <w:r w:rsidRPr="008315C8">
        <w:rPr>
          <w:color w:val="0500FF"/>
          <w:lang w:val="en-US"/>
        </w:rPr>
        <w:t>s46</w:t>
      </w:r>
      <w:r>
        <w:rPr>
          <w:lang w:val="en-US"/>
        </w:rPr>
        <w:t>, a TM may be renewed every 15yrs from the day of the registration or last renewal (fee: $400 or $350 online)</w:t>
      </w:r>
    </w:p>
    <w:p w14:paraId="2B8CE803" w14:textId="77777777" w:rsidR="00825955" w:rsidRPr="00A9119C" w:rsidRDefault="00825955" w:rsidP="00825955">
      <w:pPr>
        <w:rPr>
          <w:sz w:val="8"/>
          <w:szCs w:val="8"/>
        </w:rPr>
      </w:pPr>
    </w:p>
    <w:p w14:paraId="4E9A312A" w14:textId="0C5CEE0E" w:rsidR="00A9119C" w:rsidRDefault="00A9119C" w:rsidP="00623BFF">
      <w:pPr>
        <w:pStyle w:val="Heading2"/>
      </w:pPr>
      <w:bookmarkStart w:id="14" w:name="_Toc480804608"/>
      <w:r>
        <w:t>OWNERSHIP, TRANSFER, &amp; LICENSING</w:t>
      </w:r>
      <w:bookmarkEnd w:id="14"/>
    </w:p>
    <w:p w14:paraId="5F831631" w14:textId="604D3A00" w:rsidR="00BB62D3" w:rsidRPr="00BB62D3" w:rsidRDefault="00BB62D3" w:rsidP="00EB0EA0">
      <w:r>
        <w:rPr>
          <w:color w:val="0500FF"/>
        </w:rPr>
        <w:t>s48(1)</w:t>
      </w:r>
      <w:r>
        <w:t xml:space="preserve"> sets out that both registered and unregistered TMs are transferable—however, </w:t>
      </w:r>
      <w:r w:rsidRPr="00BB62D3">
        <w:rPr>
          <w:color w:val="0500FF"/>
        </w:rPr>
        <w:t xml:space="preserve">s48(2) </w:t>
      </w:r>
      <w:r>
        <w:t>provides that transfers may result in a loss of distinctiveness where multiple people obtain and exercise the rig</w:t>
      </w:r>
      <w:r w:rsidR="006D0533">
        <w:t>hts to the use of confusing TMs.</w:t>
      </w:r>
    </w:p>
    <w:p w14:paraId="42F73017" w14:textId="77777777" w:rsidR="00BB62D3" w:rsidRPr="006D0533" w:rsidRDefault="00BB62D3" w:rsidP="00EB0EA0">
      <w:pPr>
        <w:rPr>
          <w:color w:val="0500FF"/>
          <w:sz w:val="8"/>
          <w:szCs w:val="8"/>
        </w:rPr>
      </w:pPr>
    </w:p>
    <w:p w14:paraId="75FC80BD" w14:textId="3BEC0DC5" w:rsidR="00BB62D3" w:rsidRDefault="00BB62D3" w:rsidP="00EB0EA0">
      <w:r w:rsidRPr="00BB62D3">
        <w:rPr>
          <w:color w:val="0500FF"/>
        </w:rPr>
        <w:t xml:space="preserve">s50(1) </w:t>
      </w:r>
      <w:r>
        <w:t xml:space="preserve">sets out two requirements which, if satisfied, allow a TM owner to permit another person to use the mark without impairing its distinctiveness: </w:t>
      </w:r>
      <w:r>
        <w:rPr>
          <w:b/>
        </w:rPr>
        <w:t>(1)</w:t>
      </w:r>
      <w:r>
        <w:t xml:space="preserve"> the existence of a licence, and </w:t>
      </w:r>
      <w:r>
        <w:rPr>
          <w:b/>
        </w:rPr>
        <w:t>(2)</w:t>
      </w:r>
      <w:r>
        <w:t xml:space="preserve"> the existence of direct or indirect controls over the goods’ character and quality.</w:t>
      </w:r>
    </w:p>
    <w:p w14:paraId="4863D93A" w14:textId="77777777" w:rsidR="00BB62D3" w:rsidRPr="00BB62D3" w:rsidRDefault="00BB62D3" w:rsidP="00EB0EA0">
      <w:pPr>
        <w:rPr>
          <w:sz w:val="8"/>
          <w:szCs w:val="8"/>
        </w:rPr>
      </w:pPr>
    </w:p>
    <w:p w14:paraId="39916DB2" w14:textId="6869896A" w:rsidR="00BB62D3" w:rsidRPr="00BB62D3" w:rsidRDefault="00BB62D3" w:rsidP="00EB0EA0">
      <w:r w:rsidRPr="00BB62D3">
        <w:rPr>
          <w:b/>
          <w:highlight w:val="yellow"/>
        </w:rPr>
        <w:t>INDIRECT CONTROL</w:t>
      </w:r>
      <w:r>
        <w:t xml:space="preserve"> (Beaudry J in </w:t>
      </w:r>
      <w:r w:rsidRPr="00BB62D3">
        <w:rPr>
          <w:i/>
          <w:color w:val="FF0000"/>
        </w:rPr>
        <w:t>Tommy Hilfiger</w:t>
      </w:r>
      <w:r>
        <w:t xml:space="preserve">) </w:t>
      </w:r>
      <w:r>
        <w:sym w:font="Wingdings" w:char="F0E0"/>
      </w:r>
      <w:r>
        <w:t xml:space="preserve"> Even if the quality control req’d by </w:t>
      </w:r>
      <w:r w:rsidRPr="00BB62D3">
        <w:rPr>
          <w:color w:val="0500FF"/>
        </w:rPr>
        <w:t xml:space="preserve">s50(1) </w:t>
      </w:r>
      <w:r>
        <w:t xml:space="preserve">is executed by a subsidiary of the TM owner, this doesn’t necessarily lead to the conclusion that a lack of quality control exists (= no loss of distinctiveness) </w:t>
      </w:r>
    </w:p>
    <w:p w14:paraId="72E3C260" w14:textId="77777777" w:rsidR="00BB62D3" w:rsidRPr="00B570F4" w:rsidRDefault="00BB62D3" w:rsidP="00EB0EA0">
      <w:pPr>
        <w:rPr>
          <w:sz w:val="8"/>
          <w:szCs w:val="8"/>
        </w:rPr>
      </w:pPr>
    </w:p>
    <w:p w14:paraId="0DB70146" w14:textId="40B883CA" w:rsidR="006D0533" w:rsidRDefault="006D0533" w:rsidP="00623BFF">
      <w:pPr>
        <w:pStyle w:val="Heading2"/>
      </w:pPr>
      <w:bookmarkStart w:id="15" w:name="_Toc480804609"/>
      <w:r>
        <w:t>EXPUNGEMENT</w:t>
      </w:r>
      <w:bookmarkEnd w:id="15"/>
    </w:p>
    <w:p w14:paraId="642541BC" w14:textId="69B253C3" w:rsidR="00A9119C" w:rsidRDefault="009E0A9B" w:rsidP="00EB0EA0">
      <w:r>
        <w:t>There are two avenues through</w:t>
      </w:r>
      <w:r w:rsidR="00B570F4">
        <w:t xml:space="preserve"> which one can expunge an existing, registered TM: either on the basis of non-use (</w:t>
      </w:r>
      <w:r w:rsidR="00B570F4">
        <w:rPr>
          <w:color w:val="0500FF"/>
        </w:rPr>
        <w:t>s45</w:t>
      </w:r>
      <w:r w:rsidR="00B570F4">
        <w:t>), or on the basis that the mark doesn’t accurately express/define the existing rights of its owner (</w:t>
      </w:r>
      <w:r w:rsidR="00B570F4">
        <w:rPr>
          <w:color w:val="0500FF"/>
        </w:rPr>
        <w:t>s57</w:t>
      </w:r>
      <w:r w:rsidR="00B570F4">
        <w:t>).</w:t>
      </w:r>
    </w:p>
    <w:p w14:paraId="7944600A" w14:textId="77777777" w:rsidR="009E0A9B" w:rsidRPr="00460FB0" w:rsidRDefault="009E0A9B" w:rsidP="00EB0EA0">
      <w:pPr>
        <w:rPr>
          <w:sz w:val="8"/>
          <w:szCs w:val="8"/>
        </w:rPr>
      </w:pPr>
    </w:p>
    <w:p w14:paraId="546592C8" w14:textId="239D28FB" w:rsidR="00623BFF" w:rsidRDefault="00574C65" w:rsidP="00623BFF">
      <w:pPr>
        <w:pStyle w:val="Heading3"/>
      </w:pPr>
      <w:bookmarkStart w:id="16" w:name="_Toc480804610"/>
      <w:r>
        <w:t>via</w:t>
      </w:r>
      <w:r w:rsidR="00623BFF">
        <w:t xml:space="preserve"> </w:t>
      </w:r>
      <w:r w:rsidR="00623BFF" w:rsidRPr="00623BFF">
        <w:rPr>
          <w:color w:val="0500FF"/>
        </w:rPr>
        <w:t>s45</w:t>
      </w:r>
      <w:bookmarkEnd w:id="16"/>
    </w:p>
    <w:p w14:paraId="3DE46BFD" w14:textId="45C7967D" w:rsidR="008C4176" w:rsidRDefault="00DE0F82" w:rsidP="00EB0EA0">
      <w:r w:rsidRPr="00DE0F82">
        <w:rPr>
          <w:color w:val="0500FF"/>
        </w:rPr>
        <w:t>s45</w:t>
      </w:r>
      <w:r>
        <w:rPr>
          <w:color w:val="0500FF"/>
        </w:rPr>
        <w:t>(1)</w:t>
      </w:r>
      <w:r>
        <w:t xml:space="preserve"> allows an individual to initiate </w:t>
      </w:r>
      <w:r w:rsidRPr="00DE0F82">
        <w:rPr>
          <w:b/>
        </w:rPr>
        <w:t>expungement proceedings</w:t>
      </w:r>
      <w:r>
        <w:t xml:space="preserve"> on the basis that the mark hasn’t been “in use” in association with the named goods/services at any time for the past </w:t>
      </w:r>
      <w:r w:rsidRPr="00DE0F82">
        <w:rPr>
          <w:b/>
          <w:u w:val="single"/>
        </w:rPr>
        <w:t>three years</w:t>
      </w:r>
      <w:r>
        <w:t xml:space="preserve"> (preceding the date of the notice of expungement). </w:t>
      </w:r>
    </w:p>
    <w:p w14:paraId="476BA973" w14:textId="5F0F47BD" w:rsidR="008C4176" w:rsidRDefault="008C4176" w:rsidP="008C4176">
      <w:pPr>
        <w:pStyle w:val="ListParagraph"/>
      </w:pPr>
      <w:r>
        <w:t xml:space="preserve">If there </w:t>
      </w:r>
      <w:r>
        <w:rPr>
          <w:u w:val="single"/>
        </w:rPr>
        <w:t>has</w:t>
      </w:r>
      <w:r>
        <w:t xml:space="preserve"> been any use</w:t>
      </w:r>
      <w:r w:rsidR="0035669E">
        <w:t xml:space="preserve"> </w:t>
      </w:r>
      <w:r w:rsidR="0035669E">
        <w:sym w:font="Wingdings" w:char="F0E0"/>
      </w:r>
      <w:r>
        <w:t xml:space="preserve"> the expungement attack will fail</w:t>
      </w:r>
    </w:p>
    <w:p w14:paraId="40E68CE7" w14:textId="752E90E9" w:rsidR="008C4176" w:rsidRPr="008C4176" w:rsidRDefault="008C4176" w:rsidP="008C4176">
      <w:pPr>
        <w:pStyle w:val="ListParagraph"/>
      </w:pPr>
      <w:r>
        <w:t xml:space="preserve">If there </w:t>
      </w:r>
      <w:r>
        <w:rPr>
          <w:u w:val="single"/>
        </w:rPr>
        <w:t>hasn’t</w:t>
      </w:r>
      <w:r>
        <w:t xml:space="preserve"> been use</w:t>
      </w:r>
      <w:r w:rsidR="0035669E">
        <w:t xml:space="preserve"> </w:t>
      </w:r>
      <w:r w:rsidR="0035669E">
        <w:sym w:font="Wingdings" w:char="F0E0"/>
      </w:r>
      <w:r>
        <w:t xml:space="preserve"> the expungement may only be refuted by a finding of “special circumstances” (as per </w:t>
      </w:r>
      <w:r w:rsidRPr="008C4176">
        <w:rPr>
          <w:color w:val="0500FF"/>
        </w:rPr>
        <w:t>s45(3)</w:t>
      </w:r>
      <w:r>
        <w:t>)</w:t>
      </w:r>
    </w:p>
    <w:p w14:paraId="45A97A21" w14:textId="77777777" w:rsidR="008C4176" w:rsidRPr="0035669E" w:rsidRDefault="008C4176" w:rsidP="00EB0EA0">
      <w:pPr>
        <w:rPr>
          <w:sz w:val="8"/>
          <w:szCs w:val="8"/>
        </w:rPr>
      </w:pPr>
    </w:p>
    <w:p w14:paraId="4F2557AB" w14:textId="3E1EFBAA" w:rsidR="009E0A9B" w:rsidRDefault="00DE0F82" w:rsidP="00EB0EA0">
      <w:r>
        <w:t xml:space="preserve">While </w:t>
      </w:r>
      <w:r w:rsidR="007E61E6">
        <w:t xml:space="preserve">the wording of </w:t>
      </w:r>
      <w:r w:rsidRPr="007E61E6">
        <w:rPr>
          <w:color w:val="0500FF"/>
        </w:rPr>
        <w:t xml:space="preserve">s45(3) </w:t>
      </w:r>
      <w:r w:rsidR="007E61E6">
        <w:t xml:space="preserve">contains a defence contingent a finding of </w:t>
      </w:r>
      <w:r w:rsidR="007E61E6">
        <w:rPr>
          <w:b/>
        </w:rPr>
        <w:t>special circumstances for non-use</w:t>
      </w:r>
      <w:r w:rsidR="007E61E6">
        <w:t xml:space="preserve">, </w:t>
      </w:r>
      <w:proofErr w:type="spellStart"/>
      <w:r w:rsidR="007E61E6" w:rsidRPr="007E61E6">
        <w:rPr>
          <w:i/>
          <w:color w:val="FF0000"/>
        </w:rPr>
        <w:t>Gowling</w:t>
      </w:r>
      <w:proofErr w:type="spellEnd"/>
      <w:r w:rsidR="007E61E6" w:rsidRPr="007E61E6">
        <w:rPr>
          <w:color w:val="FF0000"/>
        </w:rPr>
        <w:t xml:space="preserve"> </w:t>
      </w:r>
      <w:r w:rsidR="007E61E6">
        <w:t>indicates that this is a narrow exception to the general rule that TMs not in use should be expunged.</w:t>
      </w:r>
    </w:p>
    <w:p w14:paraId="7EBFD882" w14:textId="77777777" w:rsidR="008C4176" w:rsidRPr="008C4176" w:rsidRDefault="008C4176" w:rsidP="00EB0EA0">
      <w:pPr>
        <w:rPr>
          <w:sz w:val="8"/>
          <w:szCs w:val="8"/>
        </w:rPr>
      </w:pPr>
    </w:p>
    <w:p w14:paraId="20E1F4EE" w14:textId="6AD51887" w:rsidR="008C4176" w:rsidRDefault="008C4176" w:rsidP="00EB0EA0">
      <w:r w:rsidRPr="008C4176">
        <w:rPr>
          <w:b/>
          <w:highlight w:val="yellow"/>
        </w:rPr>
        <w:t>TEST for the EXISTENCE of SPECIAL CIRCUMSTANCES to EXCUSE NON-USE</w:t>
      </w:r>
      <w:r>
        <w:rPr>
          <w:b/>
        </w:rPr>
        <w:t xml:space="preserve"> </w:t>
      </w:r>
      <w:r>
        <w:sym w:font="Wingdings" w:char="F0E0"/>
      </w:r>
      <w:r>
        <w:t xml:space="preserve"> </w:t>
      </w:r>
      <w:proofErr w:type="spellStart"/>
      <w:r w:rsidRPr="0035669E">
        <w:rPr>
          <w:i/>
          <w:color w:val="FF0000"/>
        </w:rPr>
        <w:t>Gowling</w:t>
      </w:r>
      <w:proofErr w:type="spellEnd"/>
      <w:r w:rsidRPr="0035669E">
        <w:rPr>
          <w:color w:val="FF0000"/>
        </w:rPr>
        <w:t xml:space="preserve"> </w:t>
      </w:r>
      <w:r w:rsidR="0035669E">
        <w:t>provides 3 factors for the court to consider:</w:t>
      </w:r>
    </w:p>
    <w:p w14:paraId="0C1AD640" w14:textId="74453C6F" w:rsidR="0035669E" w:rsidRPr="00E325EA" w:rsidRDefault="0035669E" w:rsidP="00E45E6F">
      <w:pPr>
        <w:pStyle w:val="ListParagraph"/>
        <w:numPr>
          <w:ilvl w:val="0"/>
          <w:numId w:val="19"/>
        </w:numPr>
        <w:ind w:left="567"/>
        <w:rPr>
          <w:b/>
        </w:rPr>
      </w:pPr>
      <w:r w:rsidRPr="0035669E">
        <w:rPr>
          <w:b/>
          <w:u w:val="single"/>
        </w:rPr>
        <w:t>Length of time</w:t>
      </w:r>
      <w:r>
        <w:rPr>
          <w:b/>
        </w:rPr>
        <w:t xml:space="preserve"> of non-use</w:t>
      </w:r>
      <w:r w:rsidR="00E325EA">
        <w:t xml:space="preserve"> (when the date of last use hasn’t been provided, look to the date of registration)</w:t>
      </w:r>
    </w:p>
    <w:p w14:paraId="50D77235" w14:textId="4A241110" w:rsidR="00E325EA" w:rsidRDefault="00E325EA" w:rsidP="00E45E6F">
      <w:pPr>
        <w:pStyle w:val="ListParagraph"/>
        <w:numPr>
          <w:ilvl w:val="0"/>
          <w:numId w:val="20"/>
        </w:numPr>
        <w:ind w:left="1134" w:hanging="284"/>
        <w:rPr>
          <w:b/>
        </w:rPr>
      </w:pPr>
      <w:proofErr w:type="spellStart"/>
      <w:r w:rsidRPr="00E325EA">
        <w:rPr>
          <w:i/>
          <w:color w:val="FF0000"/>
        </w:rPr>
        <w:t>Gowling</w:t>
      </w:r>
      <w:proofErr w:type="spellEnd"/>
      <w:r>
        <w:t>: 4.5yrs of non-use</w:t>
      </w:r>
      <w:r w:rsidR="00351124">
        <w:t xml:space="preserve"> (and insufficient evidence that the mark was ever used in Canada)</w:t>
      </w:r>
    </w:p>
    <w:p w14:paraId="0F6DED24" w14:textId="30A25DA8" w:rsidR="0035669E" w:rsidRPr="00351124" w:rsidRDefault="0035669E" w:rsidP="00E45E6F">
      <w:pPr>
        <w:pStyle w:val="ListParagraph"/>
        <w:numPr>
          <w:ilvl w:val="0"/>
          <w:numId w:val="19"/>
        </w:numPr>
        <w:ind w:left="567"/>
        <w:rPr>
          <w:b/>
        </w:rPr>
      </w:pPr>
      <w:r>
        <w:rPr>
          <w:b/>
        </w:rPr>
        <w:t xml:space="preserve">Whether the reasons for non-use were due to </w:t>
      </w:r>
      <w:r w:rsidRPr="0035669E">
        <w:rPr>
          <w:b/>
          <w:u w:val="single"/>
        </w:rPr>
        <w:t>circumstances beyond the registered owner’s control</w:t>
      </w:r>
    </w:p>
    <w:p w14:paraId="64AF7C9C" w14:textId="4B48BFD9" w:rsidR="00351124" w:rsidRPr="00351124" w:rsidRDefault="00351124" w:rsidP="00E45E6F">
      <w:pPr>
        <w:pStyle w:val="ListParagraph"/>
        <w:numPr>
          <w:ilvl w:val="0"/>
          <w:numId w:val="20"/>
        </w:numPr>
        <w:ind w:left="1134" w:hanging="284"/>
        <w:rPr>
          <w:b/>
        </w:rPr>
      </w:pPr>
      <w:proofErr w:type="spellStart"/>
      <w:r w:rsidRPr="00E325EA">
        <w:rPr>
          <w:i/>
          <w:color w:val="FF0000"/>
        </w:rPr>
        <w:t>Gowling</w:t>
      </w:r>
      <w:proofErr w:type="spellEnd"/>
      <w:r>
        <w:t xml:space="preserve">: </w:t>
      </w:r>
      <w:r w:rsidR="0069345F">
        <w:t>The threat of litigation (if it existed) couldn’t in itself excuse non-use for a period of almost 5yrs</w:t>
      </w:r>
    </w:p>
    <w:p w14:paraId="21861A0E" w14:textId="5FEFD650" w:rsidR="0035669E" w:rsidRPr="0035669E" w:rsidRDefault="0035669E" w:rsidP="00E45E6F">
      <w:pPr>
        <w:pStyle w:val="ListParagraph"/>
        <w:numPr>
          <w:ilvl w:val="0"/>
          <w:numId w:val="19"/>
        </w:numPr>
        <w:ind w:left="567"/>
        <w:rPr>
          <w:b/>
        </w:rPr>
      </w:pPr>
      <w:r>
        <w:rPr>
          <w:b/>
        </w:rPr>
        <w:t xml:space="preserve">Whether there was a </w:t>
      </w:r>
      <w:r w:rsidRPr="0035669E">
        <w:rPr>
          <w:b/>
          <w:u w:val="single"/>
        </w:rPr>
        <w:t>serious intention to shortly resume use</w:t>
      </w:r>
    </w:p>
    <w:p w14:paraId="724DB16E" w14:textId="66497BBB" w:rsidR="006C595E" w:rsidRPr="006C595E" w:rsidRDefault="006C595E" w:rsidP="00E45E6F">
      <w:pPr>
        <w:pStyle w:val="ListParagraph"/>
        <w:numPr>
          <w:ilvl w:val="0"/>
          <w:numId w:val="20"/>
        </w:numPr>
        <w:ind w:left="1134" w:hanging="284"/>
        <w:rPr>
          <w:b/>
        </w:rPr>
      </w:pPr>
      <w:r>
        <w:t>This factor alone is insufficient—plans for future use don’t explain or excuse the period of non-use (</w:t>
      </w:r>
      <w:r w:rsidRPr="006C595E">
        <w:rPr>
          <w:i/>
          <w:color w:val="FF0000"/>
        </w:rPr>
        <w:t>Scott Paper</w:t>
      </w:r>
      <w:r>
        <w:t>)</w:t>
      </w:r>
    </w:p>
    <w:p w14:paraId="4A3E968C" w14:textId="7A18B2BA" w:rsidR="00321B72" w:rsidRPr="00321B72" w:rsidRDefault="00351124" w:rsidP="00E45E6F">
      <w:pPr>
        <w:pStyle w:val="ListParagraph"/>
        <w:numPr>
          <w:ilvl w:val="0"/>
          <w:numId w:val="20"/>
        </w:numPr>
        <w:ind w:left="1134" w:hanging="284"/>
        <w:rPr>
          <w:b/>
        </w:rPr>
      </w:pPr>
      <w:proofErr w:type="spellStart"/>
      <w:r w:rsidRPr="00E325EA">
        <w:rPr>
          <w:i/>
          <w:color w:val="FF0000"/>
        </w:rPr>
        <w:t>Gowling</w:t>
      </w:r>
      <w:proofErr w:type="spellEnd"/>
      <w:r>
        <w:t xml:space="preserve">: </w:t>
      </w:r>
      <w:r w:rsidR="0069345F">
        <w:t>Despite the owner’s ongoing efforts to arrange for the marketing, manufacturing, and distribution of the goods, these ongoing circumstances provided no indication that the mark would be used any time soon</w:t>
      </w:r>
    </w:p>
    <w:p w14:paraId="1F961597" w14:textId="77777777" w:rsidR="00DE0F82" w:rsidRPr="00321B72" w:rsidRDefault="00DE0F82" w:rsidP="00EB0EA0">
      <w:pPr>
        <w:rPr>
          <w:sz w:val="8"/>
          <w:szCs w:val="8"/>
        </w:rPr>
      </w:pPr>
    </w:p>
    <w:p w14:paraId="5D7418F9" w14:textId="4D69CCD4" w:rsidR="00623BFF" w:rsidRDefault="00574C65" w:rsidP="00623BFF">
      <w:pPr>
        <w:pStyle w:val="Heading3"/>
      </w:pPr>
      <w:bookmarkStart w:id="17" w:name="_Toc480804611"/>
      <w:r>
        <w:t>via</w:t>
      </w:r>
      <w:r w:rsidR="00623BFF">
        <w:t xml:space="preserve"> </w:t>
      </w:r>
      <w:r w:rsidR="00623BFF" w:rsidRPr="00623BFF">
        <w:rPr>
          <w:color w:val="0500FF"/>
        </w:rPr>
        <w:t>s57</w:t>
      </w:r>
      <w:bookmarkEnd w:id="17"/>
    </w:p>
    <w:p w14:paraId="66A114A9" w14:textId="3B0248CB" w:rsidR="009E0A9B" w:rsidRDefault="00C45D6C" w:rsidP="00EB0EA0">
      <w:r w:rsidRPr="00E57687">
        <w:rPr>
          <w:color w:val="0500FF"/>
        </w:rPr>
        <w:t xml:space="preserve">s57(1) </w:t>
      </w:r>
      <w:r>
        <w:t xml:space="preserve">asserts that the FC has exclusive Jx to strike out or </w:t>
      </w:r>
      <w:r w:rsidR="00E57687">
        <w:t xml:space="preserve">amend a TM on the basis that it doesn’t accurately express or define the existing rights of its apparent owner. This provision is read </w:t>
      </w:r>
      <w:r w:rsidR="00620ECF">
        <w:t xml:space="preserve">in conjunction </w:t>
      </w:r>
      <w:r w:rsidR="00E57687">
        <w:t xml:space="preserve">with </w:t>
      </w:r>
      <w:r w:rsidR="00E57687" w:rsidRPr="00E57687">
        <w:rPr>
          <w:color w:val="0500FF"/>
        </w:rPr>
        <w:t>s18(1)</w:t>
      </w:r>
      <w:r w:rsidR="00E57687">
        <w:t>, which provides the ways by which a registered TM can be defeated:</w:t>
      </w:r>
    </w:p>
    <w:p w14:paraId="4F9E5607" w14:textId="58EFED80" w:rsidR="00E57687" w:rsidRPr="00030D41" w:rsidRDefault="00E57687" w:rsidP="00E45E6F">
      <w:pPr>
        <w:pStyle w:val="ListParagraph"/>
        <w:numPr>
          <w:ilvl w:val="0"/>
          <w:numId w:val="21"/>
        </w:numPr>
      </w:pPr>
      <w:r>
        <w:t xml:space="preserve">If the TM </w:t>
      </w:r>
      <w:r w:rsidRPr="00C20508">
        <w:rPr>
          <w:b/>
          <w:u w:val="single"/>
        </w:rPr>
        <w:t>wasn’t registrable</w:t>
      </w:r>
      <w:r>
        <w:t xml:space="preserve"> at the date of registration</w:t>
      </w:r>
    </w:p>
    <w:p w14:paraId="4BFE05C4" w14:textId="51E12EF8" w:rsidR="00030D41" w:rsidRDefault="00030D41" w:rsidP="00030D41">
      <w:pPr>
        <w:pStyle w:val="ListParagraph"/>
        <w:numPr>
          <w:ilvl w:val="0"/>
          <w:numId w:val="0"/>
        </w:numPr>
        <w:ind w:left="1276" w:hanging="425"/>
      </w:pPr>
      <w:r w:rsidRPr="00030D41">
        <w:rPr>
          <w:color w:val="0500FF"/>
        </w:rPr>
        <w:t>s9</w:t>
      </w:r>
      <w:r>
        <w:t xml:space="preserve"> </w:t>
      </w:r>
      <w:r>
        <w:tab/>
      </w:r>
      <w:r>
        <w:sym w:font="Wingdings" w:char="F0E0"/>
      </w:r>
      <w:r>
        <w:t xml:space="preserve"> </w:t>
      </w:r>
      <w:r w:rsidR="00C038B6">
        <w:t xml:space="preserve"> </w:t>
      </w:r>
      <w:r w:rsidR="00605343">
        <w:t>Prohibited marks, including official marks (</w:t>
      </w:r>
      <w:r w:rsidR="00605343" w:rsidRPr="00605343">
        <w:rPr>
          <w:color w:val="0500FF"/>
        </w:rPr>
        <w:t>s9(1)(n)(iii)</w:t>
      </w:r>
      <w:r w:rsidR="00605343">
        <w:t>)</w:t>
      </w:r>
    </w:p>
    <w:p w14:paraId="2D595D32" w14:textId="73E467E0" w:rsidR="00030D41" w:rsidRDefault="00030D41" w:rsidP="00030D41">
      <w:pPr>
        <w:pStyle w:val="ListParagraph"/>
        <w:numPr>
          <w:ilvl w:val="0"/>
          <w:numId w:val="0"/>
        </w:numPr>
        <w:tabs>
          <w:tab w:val="left" w:pos="1276"/>
        </w:tabs>
        <w:ind w:left="1560" w:hanging="709"/>
      </w:pPr>
      <w:r w:rsidRPr="00030D41">
        <w:rPr>
          <w:color w:val="0500FF"/>
        </w:rPr>
        <w:t>s10</w:t>
      </w:r>
      <w:r>
        <w:t xml:space="preserve"> </w:t>
      </w:r>
      <w:r>
        <w:tab/>
      </w:r>
      <w:r>
        <w:sym w:font="Wingdings" w:char="F0E0"/>
      </w:r>
      <w:r>
        <w:t xml:space="preserve"> </w:t>
      </w:r>
      <w:r w:rsidR="00C038B6">
        <w:t xml:space="preserve"> </w:t>
      </w:r>
      <w:r>
        <w:t xml:space="preserve">Where a mark has by ordinary and </w:t>
      </w:r>
      <w:r>
        <w:rPr>
          <w:i/>
        </w:rPr>
        <w:t xml:space="preserve">bona fide </w:t>
      </w:r>
      <w:r>
        <w:t xml:space="preserve">usage become recognized in Canada as designating the kind, quality, </w:t>
      </w:r>
      <w:r w:rsidR="00C038B6">
        <w:t>place of origin, etc. of any goods/services, no person shall adopt it in a way likely to mislead</w:t>
      </w:r>
    </w:p>
    <w:p w14:paraId="694F0ED7" w14:textId="12438C00" w:rsidR="00030D41" w:rsidRDefault="00030D41" w:rsidP="00605343">
      <w:pPr>
        <w:pStyle w:val="ListParagraph"/>
        <w:numPr>
          <w:ilvl w:val="0"/>
          <w:numId w:val="0"/>
        </w:numPr>
        <w:tabs>
          <w:tab w:val="left" w:pos="1276"/>
        </w:tabs>
        <w:ind w:left="1560" w:hanging="709"/>
      </w:pPr>
      <w:r w:rsidRPr="00030D41">
        <w:rPr>
          <w:color w:val="0500FF"/>
        </w:rPr>
        <w:t>s12</w:t>
      </w:r>
      <w:r>
        <w:t xml:space="preserve"> </w:t>
      </w:r>
      <w:r>
        <w:tab/>
      </w:r>
      <w:r>
        <w:sym w:font="Wingdings" w:char="F0E0"/>
      </w:r>
      <w:r w:rsidR="00C038B6">
        <w:t xml:space="preserve">  </w:t>
      </w:r>
      <w:r w:rsidR="00605343">
        <w:t>TMs isn’t registrable if it’s primarily merely a name, clearly/deceptively (</w:t>
      </w:r>
      <w:proofErr w:type="spellStart"/>
      <w:r w:rsidR="00605343">
        <w:t>mis</w:t>
      </w:r>
      <w:proofErr w:type="spellEnd"/>
      <w:r w:rsidR="00605343">
        <w:t>)descriptive, name of goods/services in any language, etc.</w:t>
      </w:r>
    </w:p>
    <w:p w14:paraId="5F3B81C4" w14:textId="2351FAD3" w:rsidR="00E8634A" w:rsidRDefault="00030D41" w:rsidP="00605343">
      <w:pPr>
        <w:pStyle w:val="ListParagraph"/>
        <w:numPr>
          <w:ilvl w:val="0"/>
          <w:numId w:val="0"/>
        </w:numPr>
        <w:ind w:left="1276" w:hanging="425"/>
      </w:pPr>
      <w:r w:rsidRPr="00030D41">
        <w:rPr>
          <w:color w:val="0500FF"/>
        </w:rPr>
        <w:t>s13</w:t>
      </w:r>
      <w:r>
        <w:t xml:space="preserve"> </w:t>
      </w:r>
      <w:r>
        <w:tab/>
      </w:r>
      <w:r>
        <w:sym w:font="Wingdings" w:char="F0E0"/>
      </w:r>
      <w:r w:rsidR="00C038B6">
        <w:t xml:space="preserve">  </w:t>
      </w:r>
      <w:r w:rsidR="00EA59E9">
        <w:t xml:space="preserve">Distinguishing guises are only registrable if </w:t>
      </w:r>
      <w:r w:rsidR="00927183">
        <w:t>they’ve acquired distinctiveness through use</w:t>
      </w:r>
    </w:p>
    <w:p w14:paraId="6DFC518D" w14:textId="027B090F" w:rsidR="00E57687" w:rsidRDefault="00E57687" w:rsidP="00E45E6F">
      <w:pPr>
        <w:pStyle w:val="ListParagraph"/>
        <w:numPr>
          <w:ilvl w:val="0"/>
          <w:numId w:val="21"/>
        </w:numPr>
      </w:pPr>
      <w:r>
        <w:t xml:space="preserve">If the TM </w:t>
      </w:r>
      <w:r w:rsidRPr="00C20508">
        <w:rPr>
          <w:b/>
          <w:u w:val="single"/>
        </w:rPr>
        <w:t>isn’t distinctive</w:t>
      </w:r>
      <w:r>
        <w:t xml:space="preserve"> </w:t>
      </w:r>
    </w:p>
    <w:p w14:paraId="08EE2734" w14:textId="5D611196" w:rsidR="00E8634A" w:rsidRDefault="0047495D" w:rsidP="00E45E6F">
      <w:pPr>
        <w:pStyle w:val="ListParagraph"/>
        <w:numPr>
          <w:ilvl w:val="0"/>
          <w:numId w:val="22"/>
        </w:numPr>
        <w:ind w:left="1134" w:hanging="218"/>
      </w:pPr>
      <w:r>
        <w:t xml:space="preserve">Consider whether the TM has become </w:t>
      </w:r>
      <w:r>
        <w:rPr>
          <w:b/>
          <w:i/>
        </w:rPr>
        <w:t>generic</w:t>
      </w:r>
    </w:p>
    <w:p w14:paraId="6FEC987B" w14:textId="0DCB2EFE" w:rsidR="0047495D" w:rsidRDefault="0047495D" w:rsidP="00E45E6F">
      <w:pPr>
        <w:pStyle w:val="ListParagraph"/>
        <w:numPr>
          <w:ilvl w:val="0"/>
          <w:numId w:val="22"/>
        </w:numPr>
        <w:ind w:left="1134" w:hanging="218"/>
      </w:pPr>
      <w:r>
        <w:t xml:space="preserve">Look to </w:t>
      </w:r>
      <w:r w:rsidRPr="0047495D">
        <w:rPr>
          <w:color w:val="0500FF"/>
        </w:rPr>
        <w:t>ss48</w:t>
      </w:r>
      <w:r>
        <w:t>–</w:t>
      </w:r>
      <w:r w:rsidRPr="0047495D">
        <w:rPr>
          <w:color w:val="0500FF"/>
        </w:rPr>
        <w:t>50</w:t>
      </w:r>
      <w:r>
        <w:t xml:space="preserve"> re: transfer, ownership, and licensing</w:t>
      </w:r>
    </w:p>
    <w:p w14:paraId="2938C8C5" w14:textId="6A9CECA9" w:rsidR="00E57687" w:rsidRPr="00E8634A" w:rsidRDefault="00E57687" w:rsidP="00E45E6F">
      <w:pPr>
        <w:pStyle w:val="ListParagraph"/>
        <w:numPr>
          <w:ilvl w:val="0"/>
          <w:numId w:val="21"/>
        </w:numPr>
      </w:pPr>
      <w:r>
        <w:t xml:space="preserve">If the TM has been </w:t>
      </w:r>
      <w:r w:rsidRPr="00C20508">
        <w:rPr>
          <w:b/>
          <w:u w:val="single"/>
        </w:rPr>
        <w:t>abandoned</w:t>
      </w:r>
    </w:p>
    <w:p w14:paraId="0161E020" w14:textId="6D4FF45B" w:rsidR="00E8634A" w:rsidRDefault="0047495D" w:rsidP="00E45E6F">
      <w:pPr>
        <w:pStyle w:val="ListParagraph"/>
        <w:numPr>
          <w:ilvl w:val="0"/>
          <w:numId w:val="22"/>
        </w:numPr>
        <w:ind w:left="1134" w:hanging="218"/>
      </w:pPr>
      <w:r>
        <w:t xml:space="preserve">As per </w:t>
      </w:r>
      <w:r w:rsidRPr="0047495D">
        <w:rPr>
          <w:color w:val="0500FF"/>
        </w:rPr>
        <w:t>s45</w:t>
      </w:r>
      <w:r>
        <w:t>, the Registrar may request evidence showing that the TM was in use at any time during the past three years (and, if not, the date it was last in use and the reasons for the absence of use since that date)</w:t>
      </w:r>
    </w:p>
    <w:p w14:paraId="5E87154F" w14:textId="0B68803D" w:rsidR="002C4678" w:rsidRDefault="0047495D" w:rsidP="00E45E6F">
      <w:pPr>
        <w:pStyle w:val="ListParagraph"/>
        <w:numPr>
          <w:ilvl w:val="0"/>
          <w:numId w:val="22"/>
        </w:numPr>
        <w:ind w:left="1134" w:hanging="218"/>
      </w:pPr>
      <w:proofErr w:type="spellStart"/>
      <w:r w:rsidRPr="0047495D">
        <w:rPr>
          <w:i/>
          <w:color w:val="FF0000"/>
        </w:rPr>
        <w:t>Promafil</w:t>
      </w:r>
      <w:proofErr w:type="spellEnd"/>
      <w:r w:rsidR="002C4678">
        <w:t xml:space="preserve"> provides a </w:t>
      </w:r>
      <w:r w:rsidR="002C4678">
        <w:rPr>
          <w:b/>
          <w:u w:val="single"/>
        </w:rPr>
        <w:t>test for abandonment</w:t>
      </w:r>
      <w:r w:rsidR="002C4678">
        <w:t xml:space="preserve">—in order to establish abandonment under </w:t>
      </w:r>
      <w:r w:rsidR="002C4678" w:rsidRPr="002C4678">
        <w:rPr>
          <w:color w:val="0500FF"/>
        </w:rPr>
        <w:t>s18(1)(c)</w:t>
      </w:r>
      <w:r w:rsidR="002C4678">
        <w:t>, one must show:</w:t>
      </w:r>
      <w:r w:rsidR="00523489">
        <w:t xml:space="preserve"> </w:t>
      </w:r>
      <w:r w:rsidR="00523489">
        <w:rPr>
          <w:b/>
        </w:rPr>
        <w:t xml:space="preserve">(1) </w:t>
      </w:r>
      <w:r w:rsidR="00523489">
        <w:t>t</w:t>
      </w:r>
      <w:r w:rsidR="002C4678">
        <w:t>hat the registered TM is no longer in use in Canada</w:t>
      </w:r>
      <w:r w:rsidR="00523489">
        <w:t xml:space="preserve">, and </w:t>
      </w:r>
      <w:r w:rsidR="00523489">
        <w:rPr>
          <w:b/>
        </w:rPr>
        <w:t xml:space="preserve">(2) </w:t>
      </w:r>
      <w:r w:rsidR="00523489">
        <w:t>t</w:t>
      </w:r>
      <w:r w:rsidR="002C4678">
        <w:t xml:space="preserve">he </w:t>
      </w:r>
      <w:r w:rsidR="002C4678" w:rsidRPr="00523489">
        <w:rPr>
          <w:i/>
        </w:rPr>
        <w:t>intention</w:t>
      </w:r>
      <w:r w:rsidR="002C4678">
        <w:t xml:space="preserve"> to abandon the mark</w:t>
      </w:r>
    </w:p>
    <w:p w14:paraId="430C650C" w14:textId="09EF2CF3" w:rsidR="00523489" w:rsidRDefault="00523489" w:rsidP="00E45E6F">
      <w:pPr>
        <w:pStyle w:val="ListParagraph"/>
        <w:numPr>
          <w:ilvl w:val="1"/>
          <w:numId w:val="22"/>
        </w:numPr>
        <w:ind w:left="1560" w:hanging="210"/>
      </w:pPr>
      <w:r>
        <w:rPr>
          <w:b/>
        </w:rPr>
        <w:t>Amendment:</w:t>
      </w:r>
      <w:r>
        <w:t xml:space="preserve"> An amendment will constitute </w:t>
      </w:r>
      <w:r>
        <w:rPr>
          <w:i/>
        </w:rPr>
        <w:t>use</w:t>
      </w:r>
      <w:r>
        <w:t xml:space="preserve"> if it’s not substantially different from the registered TM—ask: </w:t>
      </w:r>
      <w:r>
        <w:rPr>
          <w:i/>
        </w:rPr>
        <w:t>are the marks so similar that an unaware purchaser would think the goods have the same origin?</w:t>
      </w:r>
      <w:r>
        <w:t xml:space="preserve"> (</w:t>
      </w:r>
      <w:proofErr w:type="spellStart"/>
      <w:r w:rsidRPr="00523489">
        <w:rPr>
          <w:i/>
          <w:color w:val="FF0000"/>
        </w:rPr>
        <w:t>Promafil</w:t>
      </w:r>
      <w:proofErr w:type="spellEnd"/>
      <w:r>
        <w:t>)</w:t>
      </w:r>
    </w:p>
    <w:p w14:paraId="1BE0F8F6" w14:textId="0FAAB5FA" w:rsidR="002F5BB7" w:rsidRPr="002F5BB7" w:rsidRDefault="002F5BB7" w:rsidP="00E45E6F">
      <w:pPr>
        <w:pStyle w:val="ListParagraph"/>
        <w:numPr>
          <w:ilvl w:val="2"/>
          <w:numId w:val="22"/>
        </w:numPr>
        <w:ind w:left="1985" w:hanging="185"/>
      </w:pPr>
      <w:r>
        <w:rPr>
          <w:b/>
        </w:rPr>
        <w:t>Rule:</w:t>
      </w:r>
      <w:r>
        <w:t xml:space="preserve"> You can amend the mark provided that the amendment doesn’t materially alter its character</w:t>
      </w:r>
    </w:p>
    <w:p w14:paraId="53D64845" w14:textId="6D7675F1" w:rsidR="002F5BB7" w:rsidRDefault="002F5BB7" w:rsidP="00E45E6F">
      <w:pPr>
        <w:pStyle w:val="ListParagraph"/>
        <w:numPr>
          <w:ilvl w:val="2"/>
          <w:numId w:val="22"/>
        </w:numPr>
        <w:ind w:left="1985" w:hanging="185"/>
      </w:pPr>
      <w:r>
        <w:rPr>
          <w:b/>
        </w:rPr>
        <w:t>Rule:</w:t>
      </w:r>
      <w:r>
        <w:t xml:space="preserve"> You can have </w:t>
      </w:r>
      <w:r>
        <w:rPr>
          <w:b/>
          <w:i/>
        </w:rPr>
        <w:t>variations</w:t>
      </w:r>
      <w:r>
        <w:t xml:space="preserve"> of the same mark, provided that there’s a </w:t>
      </w:r>
      <w:r>
        <w:rPr>
          <w:b/>
          <w:i/>
        </w:rPr>
        <w:t xml:space="preserve">maintenance of recognisability </w:t>
      </w:r>
      <w:r>
        <w:t>to avoid the confusion of unaware purchasers</w:t>
      </w:r>
    </w:p>
    <w:p w14:paraId="379C0C57" w14:textId="365CA98B" w:rsidR="00523489" w:rsidRDefault="00523489" w:rsidP="00E45E6F">
      <w:pPr>
        <w:pStyle w:val="ListParagraph"/>
        <w:numPr>
          <w:ilvl w:val="1"/>
          <w:numId w:val="22"/>
        </w:numPr>
        <w:ind w:left="1560" w:hanging="210"/>
      </w:pPr>
      <w:r>
        <w:rPr>
          <w:b/>
        </w:rPr>
        <w:t xml:space="preserve">Facts: </w:t>
      </w:r>
      <w:proofErr w:type="spellStart"/>
      <w:r w:rsidR="002F5BB7">
        <w:t>Munsingwear</w:t>
      </w:r>
      <w:proofErr w:type="spellEnd"/>
      <w:r w:rsidR="002F5BB7">
        <w:t xml:space="preserve"> successfully argued that the amendment of its mark (skinny to fat penguin) constituted </w:t>
      </w:r>
      <w:r w:rsidR="002F5BB7">
        <w:rPr>
          <w:i/>
        </w:rPr>
        <w:t>use</w:t>
      </w:r>
      <w:r w:rsidR="002F5BB7">
        <w:t>, so the mark hadn’t been abandoned</w:t>
      </w:r>
    </w:p>
    <w:p w14:paraId="74978846" w14:textId="6B38AC59" w:rsidR="002F5BB7" w:rsidRDefault="002F5BB7" w:rsidP="00E45E6F">
      <w:pPr>
        <w:pStyle w:val="ListParagraph"/>
        <w:numPr>
          <w:ilvl w:val="1"/>
          <w:numId w:val="22"/>
        </w:numPr>
        <w:ind w:left="1560" w:hanging="210"/>
      </w:pPr>
      <w:r>
        <w:rPr>
          <w:b/>
        </w:rPr>
        <w:t xml:space="preserve">Result: </w:t>
      </w:r>
      <w:r w:rsidRPr="002F5BB7">
        <w:t xml:space="preserve">The visual impact of the two designs was insufficient to warrant abandonment—the differences were only </w:t>
      </w:r>
      <w:r w:rsidRPr="002F5BB7">
        <w:rPr>
          <w:i/>
        </w:rPr>
        <w:t>petty</w:t>
      </w:r>
      <w:r w:rsidRPr="002F5BB7">
        <w:t xml:space="preserve">, and the </w:t>
      </w:r>
      <w:r w:rsidRPr="002F5BB7">
        <w:rPr>
          <w:i/>
          <w:u w:val="single"/>
        </w:rPr>
        <w:t>dominant features</w:t>
      </w:r>
      <w:r w:rsidRPr="002F5BB7">
        <w:t xml:space="preserve"> were common to both</w:t>
      </w:r>
    </w:p>
    <w:p w14:paraId="0E985455" w14:textId="465773B7" w:rsidR="00C20508" w:rsidRDefault="00C20508" w:rsidP="00E45E6F">
      <w:pPr>
        <w:pStyle w:val="ListParagraph"/>
        <w:numPr>
          <w:ilvl w:val="0"/>
          <w:numId w:val="22"/>
        </w:numPr>
        <w:ind w:left="1134" w:hanging="218"/>
      </w:pPr>
      <w:r>
        <w:rPr>
          <w:b/>
        </w:rPr>
        <w:t xml:space="preserve">Variation: </w:t>
      </w:r>
      <w:r>
        <w:t xml:space="preserve">At some point, a variation in a mark may be significant enough to constitute a new mark (ask: </w:t>
      </w:r>
      <w:r>
        <w:rPr>
          <w:i/>
        </w:rPr>
        <w:t>has the mark varied so much as to confuse the consumer as to the source of the ware?</w:t>
      </w:r>
      <w:r>
        <w:t>)</w:t>
      </w:r>
    </w:p>
    <w:p w14:paraId="5DA32186" w14:textId="6F7DC0B9" w:rsidR="00C20508" w:rsidRDefault="00C20508" w:rsidP="00E45E6F">
      <w:pPr>
        <w:pStyle w:val="ListParagraph"/>
        <w:numPr>
          <w:ilvl w:val="1"/>
          <w:numId w:val="22"/>
        </w:numPr>
        <w:ind w:left="1560" w:hanging="210"/>
      </w:pPr>
      <w:r>
        <w:lastRenderedPageBreak/>
        <w:t>Ongoing use of a new mark could constitute abandonment of the old mark</w:t>
      </w:r>
    </w:p>
    <w:p w14:paraId="2D4F9A22" w14:textId="143E5E1B" w:rsidR="00C20508" w:rsidRPr="002C4678" w:rsidRDefault="00C20508" w:rsidP="00E45E6F">
      <w:pPr>
        <w:pStyle w:val="ListParagraph"/>
        <w:numPr>
          <w:ilvl w:val="1"/>
          <w:numId w:val="22"/>
        </w:numPr>
        <w:ind w:left="1560" w:hanging="210"/>
      </w:pPr>
      <w:r>
        <w:t>Take technology into account, as a potential reason for the improvement of a mark</w:t>
      </w:r>
    </w:p>
    <w:p w14:paraId="1D052D05" w14:textId="185436F0" w:rsidR="00E57687" w:rsidRDefault="00E57687" w:rsidP="00E45E6F">
      <w:pPr>
        <w:pStyle w:val="ListParagraph"/>
        <w:numPr>
          <w:ilvl w:val="0"/>
          <w:numId w:val="21"/>
        </w:numPr>
      </w:pPr>
      <w:r>
        <w:t xml:space="preserve">If (subject to </w:t>
      </w:r>
      <w:r w:rsidRPr="00E57687">
        <w:rPr>
          <w:color w:val="0500FF"/>
        </w:rPr>
        <w:t>s17</w:t>
      </w:r>
      <w:r>
        <w:t xml:space="preserve">) the </w:t>
      </w:r>
      <w:r w:rsidRPr="00C20508">
        <w:rPr>
          <w:b/>
          <w:u w:val="single"/>
        </w:rPr>
        <w:t xml:space="preserve">applicant wasn’t entitled to </w:t>
      </w:r>
      <w:r w:rsidR="00CD2B60" w:rsidRPr="00C20508">
        <w:rPr>
          <w:b/>
          <w:u w:val="single"/>
        </w:rPr>
        <w:t>register</w:t>
      </w:r>
      <w:r w:rsidRPr="00C20508">
        <w:t xml:space="preserve"> </w:t>
      </w:r>
      <w:r>
        <w:t>the TM</w:t>
      </w:r>
    </w:p>
    <w:p w14:paraId="72430EC3" w14:textId="35367C0D" w:rsidR="00443C94" w:rsidRDefault="00443C94" w:rsidP="00E45E6F">
      <w:pPr>
        <w:pStyle w:val="ListParagraph"/>
        <w:numPr>
          <w:ilvl w:val="0"/>
          <w:numId w:val="22"/>
        </w:numPr>
        <w:ind w:left="1134" w:hanging="218"/>
      </w:pPr>
      <w:r w:rsidRPr="00443C94">
        <w:rPr>
          <w:color w:val="0500FF"/>
        </w:rPr>
        <w:t>s16</w:t>
      </w:r>
      <w:r>
        <w:t xml:space="preserve"> provides the legal basis for registration: it must have been </w:t>
      </w:r>
      <w:r>
        <w:rPr>
          <w:i/>
        </w:rPr>
        <w:t xml:space="preserve">used </w:t>
      </w:r>
      <w:r>
        <w:t xml:space="preserve">or </w:t>
      </w:r>
      <w:r>
        <w:rPr>
          <w:i/>
        </w:rPr>
        <w:t>made known</w:t>
      </w:r>
      <w:r>
        <w:t xml:space="preserve"> in Canada</w:t>
      </w:r>
    </w:p>
    <w:p w14:paraId="72A0054F" w14:textId="63DBBA82" w:rsidR="00443C94" w:rsidRDefault="00443C94" w:rsidP="00E45E6F">
      <w:pPr>
        <w:pStyle w:val="ListParagraph"/>
        <w:numPr>
          <w:ilvl w:val="1"/>
          <w:numId w:val="22"/>
        </w:numPr>
        <w:ind w:left="1560" w:hanging="210"/>
      </w:pPr>
      <w:r w:rsidRPr="00443C94">
        <w:rPr>
          <w:color w:val="0500FF"/>
        </w:rPr>
        <w:t>s16(1</w:t>
      </w:r>
      <w:r>
        <w:rPr>
          <w:color w:val="0500FF"/>
        </w:rPr>
        <w:t xml:space="preserve">) </w:t>
      </w:r>
      <w:r>
        <w:t>precludes the registration of a TM if, at the date the TM was first used, it was confusing with a TM that had previously been used or made known in Canada</w:t>
      </w:r>
    </w:p>
    <w:p w14:paraId="7F8EE8B6" w14:textId="06085122" w:rsidR="00443C94" w:rsidRDefault="00443C94" w:rsidP="00E45E6F">
      <w:pPr>
        <w:pStyle w:val="ListParagraph"/>
        <w:numPr>
          <w:ilvl w:val="1"/>
          <w:numId w:val="22"/>
        </w:numPr>
        <w:ind w:left="1560" w:hanging="210"/>
      </w:pPr>
      <w:r w:rsidRPr="00443C94">
        <w:rPr>
          <w:color w:val="0500FF"/>
        </w:rPr>
        <w:t>s4</w:t>
      </w:r>
      <w:r>
        <w:t xml:space="preserve"> provides the “use” analysis (</w:t>
      </w:r>
      <w:r>
        <w:rPr>
          <w:i/>
        </w:rPr>
        <w:t xml:space="preserve">was the unregistered TM being </w:t>
      </w:r>
      <w:r>
        <w:rPr>
          <w:i/>
          <w:u w:val="single"/>
        </w:rPr>
        <w:t>used</w:t>
      </w:r>
      <w:r>
        <w:rPr>
          <w:i/>
        </w:rPr>
        <w:t>?</w:t>
      </w:r>
      <w:r>
        <w:t>)</w:t>
      </w:r>
    </w:p>
    <w:p w14:paraId="081D3802" w14:textId="37CB2AF6" w:rsidR="00443C94" w:rsidRDefault="00443C94" w:rsidP="00E45E6F">
      <w:pPr>
        <w:pStyle w:val="ListParagraph"/>
        <w:numPr>
          <w:ilvl w:val="1"/>
          <w:numId w:val="22"/>
        </w:numPr>
        <w:ind w:left="1560" w:hanging="210"/>
      </w:pPr>
      <w:r>
        <w:rPr>
          <w:color w:val="0500FF"/>
        </w:rPr>
        <w:t>ss6(2</w:t>
      </w:r>
      <w:r w:rsidRPr="00443C94">
        <w:t>&amp;</w:t>
      </w:r>
      <w:r>
        <w:rPr>
          <w:color w:val="0500FF"/>
        </w:rPr>
        <w:t xml:space="preserve">5) </w:t>
      </w:r>
      <w:r>
        <w:t>provide the “confusion” analysis</w:t>
      </w:r>
    </w:p>
    <w:p w14:paraId="0641D558" w14:textId="21A90D60" w:rsidR="00443C94" w:rsidRPr="00443C94" w:rsidRDefault="001E3E71" w:rsidP="00E45E6F">
      <w:pPr>
        <w:pStyle w:val="ListParagraph"/>
        <w:numPr>
          <w:ilvl w:val="0"/>
          <w:numId w:val="22"/>
        </w:numPr>
        <w:ind w:left="1134" w:hanging="218"/>
      </w:pPr>
      <w:r>
        <w:rPr>
          <w:b/>
        </w:rPr>
        <w:t>Limitation:</w:t>
      </w:r>
      <w:r>
        <w:t xml:space="preserve"> </w:t>
      </w:r>
      <w:r w:rsidRPr="001E3E71">
        <w:rPr>
          <w:color w:val="0500FF"/>
        </w:rPr>
        <w:t xml:space="preserve">s17(2) </w:t>
      </w:r>
      <w:r>
        <w:t xml:space="preserve">imposes a </w:t>
      </w:r>
      <w:r w:rsidRPr="001E3E71">
        <w:rPr>
          <w:b/>
          <w:u w:val="single"/>
        </w:rPr>
        <w:t>5yr limit</w:t>
      </w:r>
      <w:r>
        <w:t xml:space="preserve"> on expunging, amending, or holding invalid on the ground of previous use </w:t>
      </w:r>
      <w:r>
        <w:rPr>
          <w:u w:val="single"/>
        </w:rPr>
        <w:t>unless</w:t>
      </w:r>
      <w:r>
        <w:t xml:space="preserve"> it’s established that the person who adopted the registered TM did so with knowledge of that previous use</w:t>
      </w:r>
    </w:p>
    <w:p w14:paraId="3A0778DD" w14:textId="77777777" w:rsidR="00B570F4" w:rsidRPr="00867743" w:rsidRDefault="00B570F4" w:rsidP="00EB0EA0">
      <w:pPr>
        <w:rPr>
          <w:sz w:val="8"/>
          <w:szCs w:val="8"/>
        </w:rPr>
      </w:pPr>
    </w:p>
    <w:p w14:paraId="01D111DC" w14:textId="4CA6E762" w:rsidR="00B570F4" w:rsidRDefault="00B570F4" w:rsidP="00623BFF">
      <w:pPr>
        <w:pStyle w:val="Heading2"/>
      </w:pPr>
      <w:bookmarkStart w:id="18" w:name="_Toc480804612"/>
      <w:r>
        <w:t>DOCTRINE of CONFUSION</w:t>
      </w:r>
      <w:bookmarkEnd w:id="18"/>
    </w:p>
    <w:p w14:paraId="1D35BA3B" w14:textId="0BD186A5" w:rsidR="00E027F2" w:rsidRPr="00E027F2" w:rsidRDefault="00E027F2" w:rsidP="00EB0EA0">
      <w:r>
        <w:rPr>
          <w:b/>
        </w:rPr>
        <w:t>Application:</w:t>
      </w:r>
      <w:r>
        <w:t xml:space="preserve"> </w:t>
      </w:r>
      <w:r w:rsidR="00D47A79">
        <w:t>Confusion is particularly important</w:t>
      </w:r>
      <w:r>
        <w:t xml:space="preserve"> in the context of </w:t>
      </w:r>
      <w:r w:rsidRPr="00D47A79">
        <w:rPr>
          <w:b/>
        </w:rPr>
        <w:t>registrability</w:t>
      </w:r>
      <w:r>
        <w:t xml:space="preserve"> (</w:t>
      </w:r>
      <w:r w:rsidRPr="00E027F2">
        <w:rPr>
          <w:color w:val="0500FF"/>
        </w:rPr>
        <w:t>ss12</w:t>
      </w:r>
      <w:r>
        <w:t xml:space="preserve">, </w:t>
      </w:r>
      <w:r w:rsidRPr="00E027F2">
        <w:rPr>
          <w:color w:val="0500FF"/>
        </w:rPr>
        <w:t>16</w:t>
      </w:r>
      <w:r>
        <w:t xml:space="preserve">) and </w:t>
      </w:r>
      <w:r w:rsidRPr="00D47A79">
        <w:rPr>
          <w:b/>
        </w:rPr>
        <w:t>infringement actions</w:t>
      </w:r>
      <w:r>
        <w:t xml:space="preserve"> (</w:t>
      </w:r>
      <w:r w:rsidRPr="00E027F2">
        <w:rPr>
          <w:color w:val="0500FF"/>
        </w:rPr>
        <w:t>s20</w:t>
      </w:r>
      <w:r>
        <w:t>).</w:t>
      </w:r>
    </w:p>
    <w:p w14:paraId="31361ABD" w14:textId="77777777" w:rsidR="00E027F2" w:rsidRPr="00E027F2" w:rsidRDefault="00E027F2" w:rsidP="00EB0EA0">
      <w:pPr>
        <w:rPr>
          <w:sz w:val="8"/>
          <w:szCs w:val="8"/>
        </w:rPr>
      </w:pPr>
    </w:p>
    <w:p w14:paraId="0457C169" w14:textId="14EE527F" w:rsidR="00A9119C" w:rsidRDefault="00867743" w:rsidP="00EB0EA0">
      <w:r>
        <w:t xml:space="preserve">Whereas distinctiveness speaks to whether a mark signifies a single source of goods/services, confusion goes to the uncertainty created in the mind of the purchaser as to their origin. </w:t>
      </w:r>
      <w:r w:rsidRPr="00867743">
        <w:rPr>
          <w:color w:val="0500FF"/>
        </w:rPr>
        <w:t xml:space="preserve">s6(2) </w:t>
      </w:r>
      <w:r>
        <w:t xml:space="preserve">describes that </w:t>
      </w:r>
      <w:r w:rsidRPr="00D81883">
        <w:rPr>
          <w:b/>
        </w:rPr>
        <w:t>confusion arises where the use of both TMs in the same area would be likely to lead to the inference that the goods/services associated with them are manufactured, sold, leased, hired, or performed by the same person</w:t>
      </w:r>
      <w:r w:rsidR="00D81883">
        <w:t>, whether or not they’re in the same general class.</w:t>
      </w:r>
      <w:r>
        <w:t xml:space="preserve"> </w:t>
      </w:r>
    </w:p>
    <w:p w14:paraId="15DF864A" w14:textId="77777777" w:rsidR="00D81883" w:rsidRPr="00D81883" w:rsidRDefault="00D81883" w:rsidP="00EB0EA0">
      <w:pPr>
        <w:rPr>
          <w:sz w:val="8"/>
          <w:szCs w:val="8"/>
        </w:rPr>
      </w:pPr>
    </w:p>
    <w:p w14:paraId="3B2F888B" w14:textId="73865855" w:rsidR="00D81883" w:rsidRPr="00D81883" w:rsidRDefault="00D81883" w:rsidP="00EB0EA0">
      <w:r w:rsidRPr="00D81883">
        <w:rPr>
          <w:b/>
          <w:highlight w:val="yellow"/>
        </w:rPr>
        <w:t>RATIONALE</w:t>
      </w:r>
      <w:r>
        <w:t xml:space="preserve"> </w:t>
      </w:r>
      <w:r>
        <w:sym w:font="Wingdings" w:char="F0E0"/>
      </w:r>
      <w:r>
        <w:t xml:space="preserve"> As Rothstein J articulated in </w:t>
      </w:r>
      <w:r w:rsidRPr="00D81883">
        <w:rPr>
          <w:i/>
          <w:color w:val="FF0000"/>
        </w:rPr>
        <w:t>Masterpiece</w:t>
      </w:r>
      <w:r>
        <w:t>, confusion impairs the objective of providing companies with a reliable indication of the expected source of the goods/services</w:t>
      </w:r>
    </w:p>
    <w:p w14:paraId="458265F8" w14:textId="77777777" w:rsidR="00D81883" w:rsidRPr="00D47A79" w:rsidRDefault="00D81883" w:rsidP="00EB0EA0">
      <w:pPr>
        <w:rPr>
          <w:b/>
          <w:sz w:val="8"/>
          <w:szCs w:val="8"/>
        </w:rPr>
      </w:pPr>
    </w:p>
    <w:p w14:paraId="594864D5" w14:textId="7AC001A5" w:rsidR="00D47A79" w:rsidRDefault="00D47A79" w:rsidP="00EB0EA0">
      <w:r w:rsidRPr="00D47A79">
        <w:rPr>
          <w:b/>
          <w:highlight w:val="yellow"/>
        </w:rPr>
        <w:t>TEST PERSON</w:t>
      </w:r>
      <w:r>
        <w:t xml:space="preserve"> </w:t>
      </w:r>
      <w:r>
        <w:sym w:font="Wingdings" w:char="F0E0"/>
      </w:r>
      <w:r>
        <w:t xml:space="preserve"> In </w:t>
      </w:r>
      <w:r w:rsidRPr="00D47A79">
        <w:rPr>
          <w:i/>
          <w:color w:val="FF0000"/>
        </w:rPr>
        <w:t>Mattel</w:t>
      </w:r>
      <w:r>
        <w:t xml:space="preserve">, the SCC rejected both the “moron in a hurry” and the “overly careful person” as the test person for the purpose of the confusion analysis in favour of the </w:t>
      </w:r>
      <w:r>
        <w:rPr>
          <w:u w:val="single"/>
        </w:rPr>
        <w:t>ordinary, hurried purchaser</w:t>
      </w:r>
      <w:r>
        <w:t>—an average person with normal intelligence and recollection acting with ordinary caution (</w:t>
      </w:r>
      <w:r>
        <w:rPr>
          <w:i/>
        </w:rPr>
        <w:t>also: functionally bilingual</w:t>
      </w:r>
      <w:r>
        <w:t>)</w:t>
      </w:r>
    </w:p>
    <w:p w14:paraId="330C17AB" w14:textId="71F4D75B" w:rsidR="00D47A79" w:rsidRPr="00D47A79" w:rsidRDefault="00D47A79" w:rsidP="00D47A79">
      <w:pPr>
        <w:pStyle w:val="ListParagraph"/>
      </w:pPr>
      <w:r>
        <w:t>If this person is likely to be deceived, then the statutory test for confusion is met</w:t>
      </w:r>
    </w:p>
    <w:p w14:paraId="49511BC4" w14:textId="77777777" w:rsidR="00D47A79" w:rsidRPr="00D47A79" w:rsidRDefault="00D47A79" w:rsidP="00EB0EA0">
      <w:pPr>
        <w:rPr>
          <w:b/>
          <w:sz w:val="8"/>
          <w:szCs w:val="8"/>
        </w:rPr>
      </w:pPr>
    </w:p>
    <w:p w14:paraId="1A391816" w14:textId="53DE3648" w:rsidR="00D81883" w:rsidRDefault="00D81883" w:rsidP="00EB0EA0">
      <w:r w:rsidRPr="00D47A79">
        <w:rPr>
          <w:b/>
          <w:highlight w:val="yellow"/>
        </w:rPr>
        <w:t>TEST for CONFUSION</w:t>
      </w:r>
      <w:r w:rsidR="00D47A79">
        <w:t xml:space="preserve"> </w:t>
      </w:r>
      <w:r w:rsidR="00D47A79">
        <w:sym w:font="Wingdings" w:char="F0E0"/>
      </w:r>
      <w:r w:rsidR="00D47A79">
        <w:t xml:space="preserve"> </w:t>
      </w:r>
      <w:r w:rsidR="00C42177">
        <w:t xml:space="preserve">Ask: </w:t>
      </w:r>
      <w:r w:rsidR="00C42177">
        <w:rPr>
          <w:i/>
        </w:rPr>
        <w:t>would the use of the TM lead to the inference that the goods/services are being manufactured by the same person or are coming from the same source?</w:t>
      </w:r>
      <w:r w:rsidR="00C42177">
        <w:t xml:space="preserve"> (</w:t>
      </w:r>
      <w:proofErr w:type="spellStart"/>
      <w:r w:rsidR="00C42177" w:rsidRPr="00C42177">
        <w:rPr>
          <w:i/>
          <w:color w:val="FF0000"/>
        </w:rPr>
        <w:t>Veuve</w:t>
      </w:r>
      <w:proofErr w:type="spellEnd"/>
      <w:r w:rsidR="00C42177">
        <w:t xml:space="preserve">: The question of whether confusion exists is largely a question of </w:t>
      </w:r>
      <w:r w:rsidR="00C42177">
        <w:rPr>
          <w:b/>
        </w:rPr>
        <w:t>fact</w:t>
      </w:r>
      <w:r w:rsidR="00C42177">
        <w:t>)</w:t>
      </w:r>
    </w:p>
    <w:p w14:paraId="1C4396E8" w14:textId="4AE44A19" w:rsidR="00B273F2" w:rsidRDefault="00B273F2" w:rsidP="00C42177">
      <w:pPr>
        <w:pStyle w:val="ListParagraph"/>
      </w:pPr>
      <w:r>
        <w:rPr>
          <w:b/>
        </w:rPr>
        <w:t xml:space="preserve">Onus: </w:t>
      </w:r>
      <w:r>
        <w:t xml:space="preserve">In assessing confusion, the onus is on ∆ to show that there is </w:t>
      </w:r>
      <w:r>
        <w:rPr>
          <w:u w:val="single"/>
        </w:rPr>
        <w:t>no reasonable likelihood of confusion</w:t>
      </w:r>
      <w:r>
        <w:t xml:space="preserve"> between the marks</w:t>
      </w:r>
    </w:p>
    <w:p w14:paraId="0ED55063" w14:textId="32FB7E72" w:rsidR="00C42177" w:rsidRDefault="00B273F2" w:rsidP="00C42177">
      <w:pPr>
        <w:pStyle w:val="ListParagraph"/>
      </w:pPr>
      <w:r>
        <w:rPr>
          <w:b/>
        </w:rPr>
        <w:t xml:space="preserve">Factors: </w:t>
      </w:r>
      <w:r w:rsidR="00C42177">
        <w:t xml:space="preserve">Under </w:t>
      </w:r>
      <w:r w:rsidR="00C42177" w:rsidRPr="00C42177">
        <w:rPr>
          <w:color w:val="0500FF"/>
        </w:rPr>
        <w:t>s6(5)</w:t>
      </w:r>
      <w:r w:rsidR="00C42177">
        <w:t>, there are five main factors to consider in determining whether TMs are confusing:</w:t>
      </w:r>
    </w:p>
    <w:p w14:paraId="1C45801E" w14:textId="206EDD32" w:rsidR="00C42177" w:rsidRPr="00195968" w:rsidRDefault="00C42177" w:rsidP="00E45E6F">
      <w:pPr>
        <w:pStyle w:val="ListParagraph"/>
        <w:numPr>
          <w:ilvl w:val="0"/>
          <w:numId w:val="23"/>
        </w:numPr>
        <w:ind w:left="709" w:hanging="218"/>
      </w:pPr>
      <w:r>
        <w:t xml:space="preserve">The </w:t>
      </w:r>
      <w:r w:rsidRPr="00C42177">
        <w:rPr>
          <w:b/>
        </w:rPr>
        <w:t>inherent distinctiveness</w:t>
      </w:r>
      <w:r>
        <w:t xml:space="preserve"> of the TMs and the </w:t>
      </w:r>
      <w:r w:rsidRPr="00C42177">
        <w:rPr>
          <w:b/>
        </w:rPr>
        <w:t xml:space="preserve">extent to which </w:t>
      </w:r>
      <w:r>
        <w:rPr>
          <w:b/>
        </w:rPr>
        <w:t>they’ve</w:t>
      </w:r>
      <w:r w:rsidRPr="00C42177">
        <w:rPr>
          <w:b/>
        </w:rPr>
        <w:t xml:space="preserve"> become known</w:t>
      </w:r>
    </w:p>
    <w:p w14:paraId="75C29B72" w14:textId="45D25F26" w:rsidR="00195968" w:rsidRPr="0058608A" w:rsidRDefault="00195968" w:rsidP="00195968">
      <w:pPr>
        <w:pStyle w:val="ListParagraph"/>
        <w:numPr>
          <w:ilvl w:val="0"/>
          <w:numId w:val="25"/>
        </w:numPr>
        <w:ind w:left="993" w:hanging="142"/>
        <w:rPr>
          <w:u w:val="single"/>
        </w:rPr>
      </w:pPr>
      <w:r w:rsidRPr="0058608A">
        <w:rPr>
          <w:u w:val="single"/>
        </w:rPr>
        <w:t>Distinctiveness</w:t>
      </w:r>
    </w:p>
    <w:p w14:paraId="392E90EC" w14:textId="07F4BCE2" w:rsidR="00195968" w:rsidRDefault="00195968" w:rsidP="00195968">
      <w:pPr>
        <w:pStyle w:val="ListParagraph"/>
        <w:numPr>
          <w:ilvl w:val="1"/>
          <w:numId w:val="25"/>
        </w:numPr>
        <w:ind w:left="1418" w:hanging="218"/>
      </w:pPr>
      <w:r>
        <w:t xml:space="preserve">If the word has another meaning = </w:t>
      </w:r>
      <w:r w:rsidRPr="00EB55FD">
        <w:rPr>
          <w:rFonts w:asciiTheme="majorHAnsi" w:hAnsiTheme="majorHAnsi"/>
          <w:sz w:val="15"/>
          <w:szCs w:val="15"/>
        </w:rPr>
        <w:sym w:font="Wingdings" w:char="F0E2"/>
      </w:r>
      <w:r>
        <w:t>inherent distinctiveness (</w:t>
      </w:r>
      <w:r w:rsidRPr="00195968">
        <w:rPr>
          <w:i/>
          <w:color w:val="FF0000"/>
        </w:rPr>
        <w:t>Possum</w:t>
      </w:r>
      <w:r>
        <w:t>)</w:t>
      </w:r>
    </w:p>
    <w:p w14:paraId="52FEE359" w14:textId="238E5C75" w:rsidR="00195968" w:rsidRDefault="00195968" w:rsidP="00195968">
      <w:pPr>
        <w:pStyle w:val="ListParagraph"/>
        <w:numPr>
          <w:ilvl w:val="1"/>
          <w:numId w:val="25"/>
        </w:numPr>
        <w:ind w:left="1418" w:hanging="218"/>
      </w:pPr>
      <w:r w:rsidRPr="00195968">
        <w:rPr>
          <w:i/>
          <w:color w:val="FF0000"/>
        </w:rPr>
        <w:t>Possum</w:t>
      </w:r>
      <w:r>
        <w:t>: Both marks</w:t>
      </w:r>
      <w:r w:rsidR="0058608A">
        <w:t xml:space="preserve"> (“Possum Lodge(s)”)</w:t>
      </w:r>
      <w:r>
        <w:t xml:space="preserve"> were inherently distinctive, but </w:t>
      </w:r>
      <w:r w:rsidR="0058608A">
        <w:t xml:space="preserve">the </w:t>
      </w:r>
      <w:proofErr w:type="gramStart"/>
      <w:r w:rsidR="0058608A">
        <w:t>applicant’s</w:t>
      </w:r>
      <w:proofErr w:type="gramEnd"/>
      <w:r>
        <w:t xml:space="preserve"> was less so because the 2</w:t>
      </w:r>
      <w:r w:rsidRPr="00195968">
        <w:rPr>
          <w:vertAlign w:val="superscript"/>
        </w:rPr>
        <w:t>nd</w:t>
      </w:r>
      <w:r>
        <w:t xml:space="preserve"> word (Lodges) was</w:t>
      </w:r>
      <w:r w:rsidR="0058608A">
        <w:t xml:space="preserve"> actually</w:t>
      </w:r>
      <w:r>
        <w:t xml:space="preserve"> </w:t>
      </w:r>
      <w:r>
        <w:rPr>
          <w:i/>
        </w:rPr>
        <w:t xml:space="preserve">descriptive </w:t>
      </w:r>
      <w:r>
        <w:t>of what the business offered: lodging</w:t>
      </w:r>
      <w:r w:rsidR="0058608A">
        <w:t xml:space="preserve"> </w:t>
      </w:r>
    </w:p>
    <w:p w14:paraId="0037F3DB" w14:textId="4485DE8E" w:rsidR="00B16052" w:rsidRDefault="00B16052" w:rsidP="00195968">
      <w:pPr>
        <w:pStyle w:val="ListParagraph"/>
        <w:numPr>
          <w:ilvl w:val="1"/>
          <w:numId w:val="25"/>
        </w:numPr>
        <w:ind w:left="1418" w:hanging="218"/>
      </w:pPr>
      <w:r>
        <w:rPr>
          <w:i/>
          <w:color w:val="FF0000"/>
        </w:rPr>
        <w:t>Mattel</w:t>
      </w:r>
      <w:r>
        <w:t>:</w:t>
      </w:r>
      <w:r w:rsidR="00F708AA">
        <w:t xml:space="preserve"> “Barbie” was a relatively common name—courts shouldn’t protect things like names or allow for the appropriation of words of a general nature</w:t>
      </w:r>
      <w:r w:rsidR="00D156DE">
        <w:t xml:space="preserve"> = </w:t>
      </w:r>
      <w:r w:rsidR="00D156DE" w:rsidRPr="00EB55FD">
        <w:rPr>
          <w:rFonts w:asciiTheme="majorHAnsi" w:hAnsiTheme="majorHAnsi"/>
          <w:sz w:val="15"/>
          <w:szCs w:val="15"/>
        </w:rPr>
        <w:sym w:font="Wingdings" w:char="F0E2"/>
      </w:r>
      <w:r w:rsidR="00D156DE">
        <w:t>distinctive</w:t>
      </w:r>
    </w:p>
    <w:p w14:paraId="41E5F502" w14:textId="6330160E" w:rsidR="00D156DE" w:rsidRDefault="00D156DE" w:rsidP="00195968">
      <w:pPr>
        <w:pStyle w:val="ListParagraph"/>
        <w:numPr>
          <w:ilvl w:val="1"/>
          <w:numId w:val="25"/>
        </w:numPr>
        <w:ind w:left="1418" w:hanging="218"/>
      </w:pPr>
      <w:proofErr w:type="spellStart"/>
      <w:r>
        <w:rPr>
          <w:i/>
          <w:color w:val="FF0000"/>
        </w:rPr>
        <w:t>Veuve</w:t>
      </w:r>
      <w:proofErr w:type="spellEnd"/>
      <w:r>
        <w:t>: “</w:t>
      </w:r>
      <w:proofErr w:type="spellStart"/>
      <w:r>
        <w:t>Clicquot</w:t>
      </w:r>
      <w:proofErr w:type="spellEnd"/>
      <w:r>
        <w:t xml:space="preserve">” was the founder’s family name = </w:t>
      </w:r>
      <w:r w:rsidRPr="00EB55FD">
        <w:rPr>
          <w:rFonts w:asciiTheme="majorHAnsi" w:hAnsiTheme="majorHAnsi"/>
          <w:sz w:val="15"/>
          <w:szCs w:val="15"/>
        </w:rPr>
        <w:sym w:font="Wingdings" w:char="F0E1"/>
      </w:r>
      <w:r>
        <w:t>distinctive</w:t>
      </w:r>
    </w:p>
    <w:p w14:paraId="3298FCA9" w14:textId="3221C0A7" w:rsidR="00195968" w:rsidRPr="0058608A" w:rsidRDefault="00195968" w:rsidP="00195968">
      <w:pPr>
        <w:pStyle w:val="ListParagraph"/>
        <w:numPr>
          <w:ilvl w:val="0"/>
          <w:numId w:val="25"/>
        </w:numPr>
        <w:ind w:left="993" w:hanging="142"/>
        <w:rPr>
          <w:u w:val="single"/>
        </w:rPr>
      </w:pPr>
      <w:r w:rsidRPr="0058608A">
        <w:rPr>
          <w:u w:val="single"/>
        </w:rPr>
        <w:t>Extent to which the mark is known</w:t>
      </w:r>
    </w:p>
    <w:p w14:paraId="53E897AA" w14:textId="5AC96EBF" w:rsidR="00195968" w:rsidRPr="00D156DE" w:rsidRDefault="00195968" w:rsidP="00195968">
      <w:pPr>
        <w:pStyle w:val="ListParagraph"/>
        <w:numPr>
          <w:ilvl w:val="1"/>
          <w:numId w:val="25"/>
        </w:numPr>
        <w:ind w:left="1418" w:hanging="218"/>
        <w:rPr>
          <w:b/>
        </w:rPr>
      </w:pPr>
      <w:r w:rsidRPr="00195968">
        <w:rPr>
          <w:i/>
          <w:color w:val="FF0000"/>
        </w:rPr>
        <w:t>Possum</w:t>
      </w:r>
      <w:r>
        <w:t xml:space="preserve">: </w:t>
      </w:r>
      <w:r w:rsidR="0058608A">
        <w:t>No evidence of knowledge of the applicant’s mark, but extensive evidence of knowledge of “Possum Lodge” from the Red Green Show</w:t>
      </w:r>
    </w:p>
    <w:p w14:paraId="46CB150A" w14:textId="03DCA948" w:rsidR="00D156DE" w:rsidRPr="00195968" w:rsidRDefault="00D156DE" w:rsidP="00195968">
      <w:pPr>
        <w:pStyle w:val="ListParagraph"/>
        <w:numPr>
          <w:ilvl w:val="1"/>
          <w:numId w:val="25"/>
        </w:numPr>
        <w:ind w:left="1418" w:hanging="218"/>
        <w:rPr>
          <w:b/>
        </w:rPr>
      </w:pPr>
      <w:proofErr w:type="spellStart"/>
      <w:r>
        <w:rPr>
          <w:i/>
          <w:color w:val="FF0000"/>
        </w:rPr>
        <w:t>Veuve</w:t>
      </w:r>
      <w:proofErr w:type="spellEnd"/>
      <w:r>
        <w:t xml:space="preserve">: TM had evolved into a famous brand = </w:t>
      </w:r>
      <w:r w:rsidRPr="00EB55FD">
        <w:rPr>
          <w:rFonts w:asciiTheme="majorHAnsi" w:hAnsiTheme="majorHAnsi"/>
          <w:sz w:val="15"/>
          <w:szCs w:val="15"/>
        </w:rPr>
        <w:sym w:font="Wingdings" w:char="F0E1"/>
      </w:r>
      <w:r>
        <w:t>distinctive</w:t>
      </w:r>
    </w:p>
    <w:p w14:paraId="37B8D474" w14:textId="375D47BC" w:rsidR="00C42177" w:rsidRDefault="00C42177" w:rsidP="00E45E6F">
      <w:pPr>
        <w:pStyle w:val="ListParagraph"/>
        <w:numPr>
          <w:ilvl w:val="0"/>
          <w:numId w:val="23"/>
        </w:numPr>
        <w:ind w:left="709" w:hanging="218"/>
      </w:pPr>
      <w:r>
        <w:t xml:space="preserve">The </w:t>
      </w:r>
      <w:r w:rsidRPr="00C42177">
        <w:rPr>
          <w:b/>
        </w:rPr>
        <w:t>length of time</w:t>
      </w:r>
      <w:r>
        <w:t xml:space="preserve"> the TMs have been in use</w:t>
      </w:r>
    </w:p>
    <w:p w14:paraId="2422A7F9" w14:textId="1195989C" w:rsidR="00195968" w:rsidRDefault="0058608A" w:rsidP="00195968">
      <w:pPr>
        <w:pStyle w:val="ListParagraph"/>
        <w:numPr>
          <w:ilvl w:val="0"/>
          <w:numId w:val="25"/>
        </w:numPr>
        <w:ind w:left="993" w:hanging="142"/>
      </w:pPr>
      <w:r>
        <w:t>A mark that has been in use for a long time will be heavily favoured over one that is not yet in use (</w:t>
      </w:r>
      <w:r w:rsidRPr="0058608A">
        <w:rPr>
          <w:i/>
          <w:color w:val="FF0000"/>
        </w:rPr>
        <w:t>Possum</w:t>
      </w:r>
      <w:r>
        <w:t>)</w:t>
      </w:r>
    </w:p>
    <w:p w14:paraId="25638759" w14:textId="69A51F03" w:rsidR="00F708AA" w:rsidRPr="00D156DE" w:rsidRDefault="00F708AA" w:rsidP="00195968">
      <w:pPr>
        <w:pStyle w:val="ListParagraph"/>
        <w:numPr>
          <w:ilvl w:val="0"/>
          <w:numId w:val="25"/>
        </w:numPr>
        <w:ind w:left="993" w:hanging="142"/>
      </w:pPr>
      <w:r w:rsidRPr="00F708AA">
        <w:rPr>
          <w:i/>
          <w:color w:val="FF0000"/>
        </w:rPr>
        <w:t>Mattel</w:t>
      </w:r>
      <w:r>
        <w:t xml:space="preserve">: The mark that had been in use since the 1960s (vs. 1992) had </w:t>
      </w:r>
      <w:r>
        <w:rPr>
          <w:i/>
        </w:rPr>
        <w:t>deeper roots</w:t>
      </w:r>
    </w:p>
    <w:p w14:paraId="4356D778" w14:textId="48394DC9" w:rsidR="00D156DE" w:rsidRDefault="00D156DE" w:rsidP="00195968">
      <w:pPr>
        <w:pStyle w:val="ListParagraph"/>
        <w:numPr>
          <w:ilvl w:val="0"/>
          <w:numId w:val="25"/>
        </w:numPr>
        <w:ind w:left="993" w:hanging="142"/>
      </w:pPr>
      <w:proofErr w:type="spellStart"/>
      <w:r>
        <w:rPr>
          <w:i/>
          <w:color w:val="FF0000"/>
        </w:rPr>
        <w:t>Veuve</w:t>
      </w:r>
      <w:proofErr w:type="spellEnd"/>
      <w:r>
        <w:t>: The mark was originally registered in 1899 (vs. 1995) and thus had &gt;100yrs to acquire the ability to identify and distinguish the company’s wine and champagne in the Canadian market</w:t>
      </w:r>
    </w:p>
    <w:p w14:paraId="4F1A19D1" w14:textId="0E5D312E" w:rsidR="00C42177" w:rsidRPr="00E45E6F" w:rsidRDefault="00C42177" w:rsidP="00E45E6F">
      <w:pPr>
        <w:pStyle w:val="ListParagraph"/>
        <w:numPr>
          <w:ilvl w:val="0"/>
          <w:numId w:val="23"/>
        </w:numPr>
        <w:ind w:left="709" w:hanging="218"/>
      </w:pPr>
      <w:r>
        <w:t xml:space="preserve">The </w:t>
      </w:r>
      <w:r w:rsidRPr="00C42177">
        <w:rPr>
          <w:b/>
        </w:rPr>
        <w:t>nature of the goods/services</w:t>
      </w:r>
      <w:r w:rsidR="0058608A">
        <w:rPr>
          <w:b/>
        </w:rPr>
        <w:t>/business</w:t>
      </w:r>
    </w:p>
    <w:p w14:paraId="6DD03311" w14:textId="4E91B52F" w:rsidR="00DB7584" w:rsidRDefault="00DB7584" w:rsidP="00E45E6F">
      <w:pPr>
        <w:pStyle w:val="ListParagraph"/>
        <w:numPr>
          <w:ilvl w:val="0"/>
          <w:numId w:val="24"/>
        </w:numPr>
        <w:ind w:left="993" w:hanging="142"/>
      </w:pPr>
      <w:r>
        <w:t xml:space="preserve">This test is one of </w:t>
      </w:r>
      <w:r>
        <w:rPr>
          <w:b/>
          <w:i/>
        </w:rPr>
        <w:t>first impression</w:t>
      </w:r>
      <w:r>
        <w:t>—even if careful research would later remedy confusion, it doesn’t mean that confusion never existed in the minds of customers in the first place</w:t>
      </w:r>
    </w:p>
    <w:p w14:paraId="1375027B" w14:textId="6ECF6506" w:rsidR="00E45E6F" w:rsidRDefault="00E45E6F" w:rsidP="00E45E6F">
      <w:pPr>
        <w:pStyle w:val="ListParagraph"/>
        <w:numPr>
          <w:ilvl w:val="0"/>
          <w:numId w:val="24"/>
        </w:numPr>
        <w:ind w:left="993" w:hanging="142"/>
      </w:pPr>
      <w:r>
        <w:t xml:space="preserve">While </w:t>
      </w:r>
      <w:r w:rsidRPr="00D405FD">
        <w:rPr>
          <w:color w:val="0500FF"/>
        </w:rPr>
        <w:t>s6(5)(c)</w:t>
      </w:r>
      <w:r>
        <w:t xml:space="preserve"> specifically identifies the relevance of the nature of the goods/services, the tail end of </w:t>
      </w:r>
      <w:r w:rsidRPr="00D405FD">
        <w:rPr>
          <w:color w:val="0500FF"/>
        </w:rPr>
        <w:t>s6(2</w:t>
      </w:r>
      <w:r>
        <w:t>)</w:t>
      </w:r>
      <w:r w:rsidR="00D405FD">
        <w:t xml:space="preserve"> makes it clear that </w:t>
      </w:r>
      <w:r w:rsidR="00D405FD">
        <w:rPr>
          <w:u w:val="single"/>
        </w:rPr>
        <w:t>this factor is not controlling</w:t>
      </w:r>
      <w:r w:rsidR="00D405FD">
        <w:t xml:space="preserve"> (“</w:t>
      </w:r>
      <w:r w:rsidR="00D405FD">
        <w:rPr>
          <w:i/>
        </w:rPr>
        <w:t>whether or not the goods/services are of the same general class</w:t>
      </w:r>
      <w:r w:rsidR="00D405FD">
        <w:t>”)</w:t>
      </w:r>
      <w:r w:rsidR="00F708AA">
        <w:t xml:space="preserve"> (</w:t>
      </w:r>
      <w:r w:rsidR="00F708AA">
        <w:rPr>
          <w:i/>
          <w:color w:val="FF0000"/>
        </w:rPr>
        <w:t>Mattel</w:t>
      </w:r>
      <w:r w:rsidR="00F708AA">
        <w:t>)</w:t>
      </w:r>
    </w:p>
    <w:p w14:paraId="0D583158" w14:textId="1616303B" w:rsidR="0058608A" w:rsidRPr="0058608A" w:rsidRDefault="0058608A" w:rsidP="00E45E6F">
      <w:pPr>
        <w:pStyle w:val="ListParagraph"/>
        <w:numPr>
          <w:ilvl w:val="0"/>
          <w:numId w:val="24"/>
        </w:numPr>
        <w:ind w:left="993" w:hanging="142"/>
      </w:pPr>
      <w:r w:rsidRPr="00EB55FD">
        <w:rPr>
          <w:rFonts w:asciiTheme="majorHAnsi" w:hAnsiTheme="majorHAnsi"/>
          <w:sz w:val="15"/>
          <w:szCs w:val="15"/>
        </w:rPr>
        <w:sym w:font="Wingdings" w:char="F0E1"/>
      </w:r>
      <w:r>
        <w:t xml:space="preserve">relative strength of mark = </w:t>
      </w:r>
      <w:r w:rsidRPr="00EB55FD">
        <w:rPr>
          <w:rFonts w:asciiTheme="majorHAnsi" w:hAnsiTheme="majorHAnsi"/>
          <w:sz w:val="15"/>
          <w:szCs w:val="15"/>
        </w:rPr>
        <w:sym w:font="Wingdings" w:char="F0E1"/>
      </w:r>
      <w:r>
        <w:t>likelihood of finding confusion despite a lack of connection between the goods</w:t>
      </w:r>
      <w:r w:rsidR="000D0D1E">
        <w:t xml:space="preserve"> (</w:t>
      </w:r>
      <w:r w:rsidR="000D0D1E">
        <w:rPr>
          <w:i/>
          <w:color w:val="FF0000"/>
        </w:rPr>
        <w:t>Mattel</w:t>
      </w:r>
      <w:r w:rsidR="00DB7584">
        <w:t>: you don’t need to establish a connection b/w the goods/services for a finding of confusion to be made out)</w:t>
      </w:r>
    </w:p>
    <w:p w14:paraId="358B3046" w14:textId="0B4C8BB7" w:rsidR="00DB7584" w:rsidRDefault="0058608A" w:rsidP="00DB7584">
      <w:pPr>
        <w:pStyle w:val="ListParagraph"/>
        <w:numPr>
          <w:ilvl w:val="0"/>
          <w:numId w:val="24"/>
        </w:numPr>
        <w:ind w:left="993" w:hanging="142"/>
      </w:pPr>
      <w:r w:rsidRPr="00F708AA">
        <w:rPr>
          <w:i/>
          <w:color w:val="FF0000"/>
        </w:rPr>
        <w:lastRenderedPageBreak/>
        <w:t>Possum</w:t>
      </w:r>
      <w:r>
        <w:t xml:space="preserve">: There was no overlap between the uses, but a connection: the applicant’s business involved recreational accommodation whereas the Red Green Show satirized outdoorsmen </w:t>
      </w:r>
    </w:p>
    <w:p w14:paraId="5969F681" w14:textId="51A55C79" w:rsidR="00D156DE" w:rsidRDefault="00D156DE" w:rsidP="00DB7584">
      <w:pPr>
        <w:pStyle w:val="ListParagraph"/>
        <w:numPr>
          <w:ilvl w:val="0"/>
          <w:numId w:val="24"/>
        </w:numPr>
        <w:ind w:left="993" w:hanging="142"/>
      </w:pPr>
      <w:proofErr w:type="spellStart"/>
      <w:r>
        <w:rPr>
          <w:i/>
          <w:color w:val="FF0000"/>
        </w:rPr>
        <w:t>Veuve</w:t>
      </w:r>
      <w:proofErr w:type="spellEnd"/>
      <w:r>
        <w:t xml:space="preserve">: </w:t>
      </w:r>
      <w:r w:rsidR="004E3179">
        <w:t>Famous marks come in all sizes—</w:t>
      </w:r>
      <w:r w:rsidR="004E3179" w:rsidRPr="00BC299E">
        <w:t>Buckley’s</w:t>
      </w:r>
      <w:r w:rsidR="004E3179">
        <w:rPr>
          <w:i/>
        </w:rPr>
        <w:t xml:space="preserve"> </w:t>
      </w:r>
      <w:r w:rsidR="004E3179">
        <w:t xml:space="preserve">is product-specific, whereas </w:t>
      </w:r>
      <w:r w:rsidR="004E3179" w:rsidRPr="00BC299E">
        <w:t>Disney</w:t>
      </w:r>
      <w:r w:rsidR="004E3179">
        <w:t xml:space="preserve"> transcends product lines</w:t>
      </w:r>
    </w:p>
    <w:p w14:paraId="1095C4DA" w14:textId="1B734808" w:rsidR="00C42177" w:rsidRPr="00195968" w:rsidRDefault="00C42177" w:rsidP="00E45E6F">
      <w:pPr>
        <w:pStyle w:val="ListParagraph"/>
        <w:numPr>
          <w:ilvl w:val="0"/>
          <w:numId w:val="23"/>
        </w:numPr>
        <w:ind w:left="709" w:hanging="218"/>
      </w:pPr>
      <w:r>
        <w:t xml:space="preserve">The </w:t>
      </w:r>
      <w:r w:rsidRPr="00C42177">
        <w:rPr>
          <w:b/>
        </w:rPr>
        <w:t>nature of the trade</w:t>
      </w:r>
    </w:p>
    <w:p w14:paraId="3D856D7B" w14:textId="13F6A404" w:rsidR="00195968" w:rsidRDefault="00E164AE" w:rsidP="00195968">
      <w:pPr>
        <w:pStyle w:val="ListParagraph"/>
        <w:numPr>
          <w:ilvl w:val="0"/>
          <w:numId w:val="25"/>
        </w:numPr>
        <w:ind w:left="993" w:hanging="142"/>
      </w:pPr>
      <w:r>
        <w:t xml:space="preserve">In </w:t>
      </w:r>
      <w:r w:rsidRPr="00E164AE">
        <w:rPr>
          <w:i/>
          <w:color w:val="FF0000"/>
        </w:rPr>
        <w:t>Mattel</w:t>
      </w:r>
      <w:r>
        <w:t>, the marks were used in association with wares vs. services = no intermingling</w:t>
      </w:r>
      <w:r w:rsidR="0096078E">
        <w:t xml:space="preserve"> = </w:t>
      </w:r>
      <w:r w:rsidR="0096078E" w:rsidRPr="00EB55FD">
        <w:rPr>
          <w:rFonts w:asciiTheme="majorHAnsi" w:hAnsiTheme="majorHAnsi"/>
          <w:sz w:val="15"/>
          <w:szCs w:val="15"/>
        </w:rPr>
        <w:sym w:font="Wingdings" w:char="F0E2"/>
      </w:r>
      <w:r w:rsidR="0096078E">
        <w:t>likelihood of confusion</w:t>
      </w:r>
    </w:p>
    <w:p w14:paraId="09DDC24A" w14:textId="309F28C2" w:rsidR="00C42177" w:rsidRPr="00C42177" w:rsidRDefault="00C42177" w:rsidP="00E45E6F">
      <w:pPr>
        <w:pStyle w:val="ListParagraph"/>
        <w:numPr>
          <w:ilvl w:val="0"/>
          <w:numId w:val="23"/>
        </w:numPr>
        <w:ind w:left="709" w:hanging="218"/>
      </w:pPr>
      <w:r>
        <w:t xml:space="preserve">The </w:t>
      </w:r>
      <w:r w:rsidRPr="00C42177">
        <w:rPr>
          <w:b/>
        </w:rPr>
        <w:t>degree of resemblance</w:t>
      </w:r>
      <w:r>
        <w:t xml:space="preserve"> between the TMs in appearance, in sound, or in the ideas suggested by them</w:t>
      </w:r>
    </w:p>
    <w:p w14:paraId="58023919" w14:textId="73C52959" w:rsidR="004D0D7E" w:rsidRDefault="004D0D7E" w:rsidP="00195968">
      <w:pPr>
        <w:pStyle w:val="ListParagraph"/>
        <w:numPr>
          <w:ilvl w:val="0"/>
          <w:numId w:val="25"/>
        </w:numPr>
        <w:ind w:left="993" w:hanging="142"/>
      </w:pPr>
      <w:r w:rsidRPr="004D0D7E">
        <w:rPr>
          <w:i/>
          <w:color w:val="FF0000"/>
        </w:rPr>
        <w:t>Masterpiece</w:t>
      </w:r>
      <w:r w:rsidR="00DB7584">
        <w:t>: T</w:t>
      </w:r>
      <w:r>
        <w:t>his factor is likely to have the greatest effect on the analysis</w:t>
      </w:r>
      <w:r w:rsidR="00DB7584">
        <w:t xml:space="preserve"> where there’s a proposed use vs. an existing unregistered TM </w:t>
      </w:r>
    </w:p>
    <w:p w14:paraId="7BE809C6" w14:textId="33196D79" w:rsidR="004D0D7E" w:rsidRDefault="004D0D7E" w:rsidP="004D0D7E">
      <w:pPr>
        <w:pStyle w:val="ListParagraph"/>
        <w:numPr>
          <w:ilvl w:val="1"/>
          <w:numId w:val="25"/>
        </w:numPr>
        <w:ind w:left="1560" w:hanging="284"/>
        <w:rPr>
          <w:b/>
        </w:rPr>
      </w:pPr>
      <w:r>
        <w:rPr>
          <w:b/>
        </w:rPr>
        <w:t>Registered TMs:</w:t>
      </w:r>
      <w:r>
        <w:t xml:space="preserve"> Focus on the full scope of </w:t>
      </w:r>
      <w:r>
        <w:rPr>
          <w:i/>
        </w:rPr>
        <w:t xml:space="preserve">possible </w:t>
      </w:r>
      <w:r>
        <w:t>uses (e.g. applicant could alter font to emphasize 1 word)</w:t>
      </w:r>
    </w:p>
    <w:p w14:paraId="7EABD3A5" w14:textId="40A74692" w:rsidR="00B652CE" w:rsidRPr="00B652CE" w:rsidRDefault="004D0D7E" w:rsidP="00B652CE">
      <w:pPr>
        <w:pStyle w:val="ListParagraph"/>
        <w:numPr>
          <w:ilvl w:val="1"/>
          <w:numId w:val="25"/>
        </w:numPr>
        <w:ind w:left="1560" w:hanging="284"/>
        <w:rPr>
          <w:b/>
        </w:rPr>
      </w:pPr>
      <w:r>
        <w:rPr>
          <w:b/>
        </w:rPr>
        <w:t>Unregistered TMs:</w:t>
      </w:r>
      <w:r>
        <w:t xml:space="preserve"> Only focus on the </w:t>
      </w:r>
      <w:r>
        <w:rPr>
          <w:i/>
        </w:rPr>
        <w:t>actual</w:t>
      </w:r>
      <w:r>
        <w:t xml:space="preserve"> uses (significant reduction in rights for unregistered marks)</w:t>
      </w:r>
    </w:p>
    <w:p w14:paraId="75FB1C9B" w14:textId="28E4877C" w:rsidR="00195968" w:rsidRDefault="0058608A" w:rsidP="00195968">
      <w:pPr>
        <w:pStyle w:val="ListParagraph"/>
        <w:numPr>
          <w:ilvl w:val="0"/>
          <w:numId w:val="25"/>
        </w:numPr>
        <w:ind w:left="993" w:hanging="142"/>
      </w:pPr>
      <w:r w:rsidRPr="0058608A">
        <w:rPr>
          <w:i/>
          <w:color w:val="FF0000"/>
        </w:rPr>
        <w:t>Possum</w:t>
      </w:r>
      <w:r w:rsidR="00BC299E">
        <w:t>: “Possum Lodge(</w:t>
      </w:r>
      <w:proofErr w:type="spellStart"/>
      <w:r w:rsidR="00BC299E">
        <w:t>s</w:t>
      </w:r>
      <w:proofErr w:type="spellEnd"/>
      <w:r w:rsidR="00BC299E">
        <w:t xml:space="preserve">)” = </w:t>
      </w:r>
      <w:r>
        <w:t xml:space="preserve">essentially identical = highest degree of resemblance </w:t>
      </w:r>
      <w:r w:rsidR="00BC299E">
        <w:t xml:space="preserve">= </w:t>
      </w:r>
      <w:r w:rsidR="00BC299E" w:rsidRPr="00EB55FD">
        <w:rPr>
          <w:rFonts w:asciiTheme="majorHAnsi" w:hAnsiTheme="majorHAnsi"/>
          <w:sz w:val="15"/>
          <w:szCs w:val="15"/>
        </w:rPr>
        <w:sym w:font="Wingdings" w:char="F0E1"/>
      </w:r>
      <w:r w:rsidR="00BC299E">
        <w:t>likelihood of confusion</w:t>
      </w:r>
    </w:p>
    <w:p w14:paraId="1A477DB6" w14:textId="6009409E" w:rsidR="00E164AE" w:rsidRDefault="00E164AE" w:rsidP="00195968">
      <w:pPr>
        <w:pStyle w:val="ListParagraph"/>
        <w:numPr>
          <w:ilvl w:val="0"/>
          <w:numId w:val="25"/>
        </w:numPr>
        <w:ind w:left="993" w:hanging="142"/>
      </w:pPr>
      <w:r>
        <w:rPr>
          <w:i/>
          <w:color w:val="FF0000"/>
        </w:rPr>
        <w:t>Mattel</w:t>
      </w:r>
      <w:r>
        <w:t>: Similarly sounding names (aside from design) = complete resemblance</w:t>
      </w:r>
      <w:r w:rsidR="00BC299E">
        <w:t xml:space="preserve"> = </w:t>
      </w:r>
      <w:r w:rsidR="00BC299E" w:rsidRPr="00EB55FD">
        <w:rPr>
          <w:rFonts w:asciiTheme="majorHAnsi" w:hAnsiTheme="majorHAnsi"/>
          <w:sz w:val="15"/>
          <w:szCs w:val="15"/>
        </w:rPr>
        <w:sym w:font="Wingdings" w:char="F0E1"/>
      </w:r>
      <w:r w:rsidR="00BC299E">
        <w:t>likelihood of confusion</w:t>
      </w:r>
    </w:p>
    <w:p w14:paraId="21264282" w14:textId="4DB90B60" w:rsidR="00B652CE" w:rsidRDefault="00B652CE" w:rsidP="00195968">
      <w:pPr>
        <w:pStyle w:val="ListParagraph"/>
        <w:numPr>
          <w:ilvl w:val="0"/>
          <w:numId w:val="25"/>
        </w:numPr>
        <w:ind w:left="993" w:hanging="142"/>
      </w:pPr>
      <w:r>
        <w:rPr>
          <w:i/>
          <w:color w:val="FF0000"/>
        </w:rPr>
        <w:t>Masterpiece</w:t>
      </w:r>
      <w:r>
        <w:t xml:space="preserve">: </w:t>
      </w:r>
      <w:r w:rsidRPr="00DB7584">
        <w:rPr>
          <w:i/>
        </w:rPr>
        <w:t>Striking similarities</w:t>
      </w:r>
      <w:r>
        <w:t xml:space="preserve"> b/w the marks suggested a strong resemblance = </w:t>
      </w:r>
      <w:r w:rsidRPr="00EB55FD">
        <w:rPr>
          <w:rFonts w:asciiTheme="majorHAnsi" w:hAnsiTheme="majorHAnsi"/>
          <w:sz w:val="15"/>
          <w:szCs w:val="15"/>
        </w:rPr>
        <w:sym w:font="Wingdings" w:char="F0E1"/>
      </w:r>
      <w:r>
        <w:t>likelihood of confusion</w:t>
      </w:r>
    </w:p>
    <w:p w14:paraId="4FD97150" w14:textId="0CD4C37A" w:rsidR="004E3179" w:rsidRDefault="004E3179" w:rsidP="00195968">
      <w:pPr>
        <w:pStyle w:val="ListParagraph"/>
        <w:numPr>
          <w:ilvl w:val="0"/>
          <w:numId w:val="25"/>
        </w:numPr>
        <w:ind w:left="993" w:hanging="142"/>
      </w:pPr>
      <w:proofErr w:type="spellStart"/>
      <w:r>
        <w:rPr>
          <w:i/>
          <w:color w:val="FF0000"/>
        </w:rPr>
        <w:t>Veuve</w:t>
      </w:r>
      <w:proofErr w:type="spellEnd"/>
      <w:r>
        <w:t xml:space="preserve">: </w:t>
      </w:r>
      <w:r w:rsidR="00ED12D3">
        <w:t>Ordinary consumers were unlikely to make any mental link b/w the marks and their respective wares/services (high-end champagne vs. mid-priced women’s clothing store)</w:t>
      </w:r>
      <w:r w:rsidR="0096078E">
        <w:t xml:space="preserve"> = </w:t>
      </w:r>
      <w:r w:rsidR="0096078E" w:rsidRPr="00EB55FD">
        <w:rPr>
          <w:rFonts w:asciiTheme="majorHAnsi" w:hAnsiTheme="majorHAnsi"/>
          <w:sz w:val="15"/>
          <w:szCs w:val="15"/>
        </w:rPr>
        <w:sym w:font="Wingdings" w:char="F0E2"/>
      </w:r>
      <w:r w:rsidR="0096078E">
        <w:t>likelihood of confusion</w:t>
      </w:r>
    </w:p>
    <w:p w14:paraId="28798C7B" w14:textId="36AA8AA1" w:rsidR="00C42177" w:rsidRPr="00C140E9" w:rsidRDefault="006E5877" w:rsidP="00C140E9">
      <w:pPr>
        <w:pStyle w:val="ListParagraph"/>
      </w:pPr>
      <w:r>
        <w:rPr>
          <w:b/>
        </w:rPr>
        <w:t>Cases</w:t>
      </w:r>
      <w:r w:rsidR="00C140E9">
        <w:rPr>
          <w:b/>
        </w:rPr>
        <w:t>:</w:t>
      </w:r>
    </w:p>
    <w:p w14:paraId="6E4A80B8" w14:textId="60B67DFF" w:rsidR="00C140E9" w:rsidRPr="00C140E9" w:rsidRDefault="00C140E9" w:rsidP="00C140E9">
      <w:pPr>
        <w:pStyle w:val="ListParagraph"/>
        <w:numPr>
          <w:ilvl w:val="1"/>
          <w:numId w:val="1"/>
        </w:numPr>
        <w:ind w:left="993" w:hanging="284"/>
      </w:pPr>
      <w:r w:rsidRPr="00C140E9">
        <w:rPr>
          <w:b/>
          <w:i/>
          <w:color w:val="FF0000"/>
        </w:rPr>
        <w:t>Possum</w:t>
      </w:r>
      <w:r>
        <w:rPr>
          <w:b/>
        </w:rPr>
        <w:t>:</w:t>
      </w:r>
      <w:r w:rsidR="006E5877">
        <w:rPr>
          <w:b/>
        </w:rPr>
        <w:t xml:space="preserve"> </w:t>
      </w:r>
      <w:r w:rsidR="006E5877">
        <w:t xml:space="preserve">The company “Possum Lodges” filed a TM application in relation to the sale &amp; rental of recreational lodging and restaurants; the opponent claimed that the TM wasn’t registrable specifically on the basis that it was confusing with “Possum Lodge” from the Red Green Show. </w:t>
      </w:r>
      <w:r w:rsidR="006E5877">
        <w:rPr>
          <w:b/>
        </w:rPr>
        <w:t>Result:</w:t>
      </w:r>
      <w:r w:rsidR="006E5877">
        <w:t xml:space="preserve"> </w:t>
      </w:r>
      <w:r w:rsidR="006E5877">
        <w:rPr>
          <w:u w:val="single"/>
        </w:rPr>
        <w:t>Likelihood of confusion</w:t>
      </w:r>
    </w:p>
    <w:p w14:paraId="6D690D1B" w14:textId="74839FA3" w:rsidR="00C140E9" w:rsidRPr="00C140E9" w:rsidRDefault="00C140E9" w:rsidP="00C140E9">
      <w:pPr>
        <w:pStyle w:val="ListParagraph"/>
        <w:numPr>
          <w:ilvl w:val="1"/>
          <w:numId w:val="1"/>
        </w:numPr>
        <w:ind w:left="993" w:hanging="284"/>
      </w:pPr>
      <w:r w:rsidRPr="00C140E9">
        <w:rPr>
          <w:b/>
          <w:i/>
          <w:color w:val="FF0000"/>
        </w:rPr>
        <w:t>Mattel</w:t>
      </w:r>
      <w:r>
        <w:rPr>
          <w:b/>
        </w:rPr>
        <w:t>:</w:t>
      </w:r>
      <w:r w:rsidR="006E5877">
        <w:t xml:space="preserve"> The applicant sought to register TMs with </w:t>
      </w:r>
      <w:proofErr w:type="spellStart"/>
      <w:r w:rsidR="006E5877">
        <w:t>Barbies</w:t>
      </w:r>
      <w:proofErr w:type="spellEnd"/>
      <w:r w:rsidR="006E5877">
        <w:t xml:space="preserve"> Restaurants, but Mattel argued that this would create confusion with its toys (</w:t>
      </w:r>
      <w:proofErr w:type="spellStart"/>
      <w:r w:rsidR="006E5877">
        <w:t>Barbies</w:t>
      </w:r>
      <w:proofErr w:type="spellEnd"/>
      <w:r w:rsidR="006E5877">
        <w:t xml:space="preserve">). </w:t>
      </w:r>
      <w:r w:rsidR="006E5877">
        <w:rPr>
          <w:b/>
        </w:rPr>
        <w:t xml:space="preserve">Result: </w:t>
      </w:r>
      <w:r w:rsidR="00DB7584">
        <w:t xml:space="preserve">Notwithstanding Mattel’s fame, there was </w:t>
      </w:r>
      <w:r w:rsidR="00DB7584">
        <w:rPr>
          <w:u w:val="single"/>
        </w:rPr>
        <w:t>no likelihood of confusion</w:t>
      </w:r>
    </w:p>
    <w:p w14:paraId="19FAC543" w14:textId="51DD98C8" w:rsidR="00C140E9" w:rsidRPr="006E5877" w:rsidRDefault="00C140E9" w:rsidP="00C140E9">
      <w:pPr>
        <w:pStyle w:val="ListParagraph"/>
        <w:numPr>
          <w:ilvl w:val="1"/>
          <w:numId w:val="1"/>
        </w:numPr>
        <w:ind w:left="993" w:hanging="284"/>
      </w:pPr>
      <w:r w:rsidRPr="00C140E9">
        <w:rPr>
          <w:b/>
          <w:i/>
          <w:color w:val="FF0000"/>
        </w:rPr>
        <w:t>Masterpiece</w:t>
      </w:r>
      <w:r>
        <w:rPr>
          <w:b/>
        </w:rPr>
        <w:t>:</w:t>
      </w:r>
      <w:r w:rsidR="006E5877">
        <w:t xml:space="preserve"> Both companies operated in the retirement housing industry. AB company owned several TMs including “Masterpiece”; the applicant (ON company) sought to register “Masterpiece Living”. </w:t>
      </w:r>
      <w:r w:rsidR="006E5877">
        <w:rPr>
          <w:b/>
        </w:rPr>
        <w:t xml:space="preserve">Result: </w:t>
      </w:r>
      <w:r w:rsidR="006E5877">
        <w:rPr>
          <w:u w:val="single"/>
        </w:rPr>
        <w:t>Likelihood of confusion</w:t>
      </w:r>
    </w:p>
    <w:p w14:paraId="04274F5F" w14:textId="77777777" w:rsidR="006E5877" w:rsidRPr="006E5877" w:rsidRDefault="006E5877" w:rsidP="006E5877">
      <w:pPr>
        <w:rPr>
          <w:sz w:val="8"/>
          <w:szCs w:val="8"/>
        </w:rPr>
      </w:pPr>
    </w:p>
    <w:p w14:paraId="68F20DA6" w14:textId="2C2863E7" w:rsidR="006E5877" w:rsidRDefault="006E5877" w:rsidP="006E5877">
      <w:r w:rsidRPr="00F36471">
        <w:rPr>
          <w:b/>
          <w:highlight w:val="yellow"/>
        </w:rPr>
        <w:t xml:space="preserve">OTHER </w:t>
      </w:r>
      <w:r w:rsidR="00F36471" w:rsidRPr="00F36471">
        <w:rPr>
          <w:b/>
          <w:highlight w:val="yellow"/>
        </w:rPr>
        <w:t>CONSIDERATIONS</w:t>
      </w:r>
      <w:r>
        <w:t xml:space="preserve"> </w:t>
      </w:r>
    </w:p>
    <w:p w14:paraId="57236D82" w14:textId="1138A7B4" w:rsidR="00B273F2" w:rsidRPr="00B273F2" w:rsidRDefault="00B273F2" w:rsidP="00F36471">
      <w:pPr>
        <w:pStyle w:val="ListParagraph"/>
        <w:rPr>
          <w:b/>
        </w:rPr>
      </w:pPr>
      <w:r>
        <w:rPr>
          <w:b/>
          <w:u w:val="single"/>
        </w:rPr>
        <w:t>Evidence of actual confusion</w:t>
      </w:r>
      <w:r>
        <w:rPr>
          <w:b/>
        </w:rPr>
        <w:t>:</w:t>
      </w:r>
      <w:r>
        <w:t xml:space="preserve"> Another (non-determinative) factor that may be of assistance (</w:t>
      </w:r>
      <w:r w:rsidRPr="00B273F2">
        <w:rPr>
          <w:i/>
          <w:color w:val="FF0000"/>
        </w:rPr>
        <w:t>Mattel</w:t>
      </w:r>
      <w:r>
        <w:t>)</w:t>
      </w:r>
    </w:p>
    <w:p w14:paraId="78902DCB" w14:textId="084C36B5" w:rsidR="00DB7584" w:rsidRPr="00B273F2" w:rsidRDefault="00DB7584" w:rsidP="00F36471">
      <w:pPr>
        <w:pStyle w:val="ListParagraph"/>
        <w:rPr>
          <w:b/>
        </w:rPr>
      </w:pPr>
      <w:r w:rsidRPr="00DB7584">
        <w:rPr>
          <w:b/>
          <w:u w:val="single"/>
        </w:rPr>
        <w:t>Fame</w:t>
      </w:r>
      <w:r>
        <w:rPr>
          <w:b/>
        </w:rPr>
        <w:t>:</w:t>
      </w:r>
      <w:r>
        <w:t xml:space="preserve"> Some TMs are so well-known that use in connection with any goods/services would generate confusion (</w:t>
      </w:r>
      <w:r w:rsidRPr="00DB7584">
        <w:rPr>
          <w:i/>
          <w:color w:val="FF0000"/>
        </w:rPr>
        <w:t>Mattel</w:t>
      </w:r>
      <w:r>
        <w:t>)</w:t>
      </w:r>
    </w:p>
    <w:p w14:paraId="458655B2" w14:textId="1B1553FB" w:rsidR="00B273F2" w:rsidRPr="00DB7584" w:rsidRDefault="00B273F2" w:rsidP="00B273F2">
      <w:pPr>
        <w:pStyle w:val="ListParagraph"/>
        <w:numPr>
          <w:ilvl w:val="1"/>
          <w:numId w:val="1"/>
        </w:numPr>
        <w:ind w:left="993" w:hanging="219"/>
        <w:rPr>
          <w:b/>
        </w:rPr>
      </w:pPr>
      <w:r>
        <w:rPr>
          <w:b/>
        </w:rPr>
        <w:t>E.g.</w:t>
      </w:r>
      <w:r>
        <w:t xml:space="preserve"> Virgin is a brand that isn’t product-specific = </w:t>
      </w:r>
      <w:r w:rsidRPr="00EB55FD">
        <w:rPr>
          <w:rFonts w:asciiTheme="majorHAnsi" w:hAnsiTheme="majorHAnsi"/>
          <w:sz w:val="15"/>
          <w:szCs w:val="15"/>
        </w:rPr>
        <w:sym w:font="Wingdings" w:char="F0E1"/>
      </w:r>
      <w:r>
        <w:t>likelihood of confusion</w:t>
      </w:r>
    </w:p>
    <w:p w14:paraId="248D6696" w14:textId="27E53277" w:rsidR="00F36471" w:rsidRDefault="003166A8" w:rsidP="00F36471">
      <w:pPr>
        <w:pStyle w:val="ListParagraph"/>
      </w:pPr>
      <w:r w:rsidRPr="00DB7584">
        <w:rPr>
          <w:b/>
          <w:u w:val="single"/>
        </w:rPr>
        <w:t>Consumer surveys</w:t>
      </w:r>
      <w:r w:rsidR="00F36471">
        <w:rPr>
          <w:b/>
        </w:rPr>
        <w:t>:</w:t>
      </w:r>
      <w:r w:rsidR="00F36471">
        <w:t xml:space="preserve"> </w:t>
      </w:r>
      <w:r>
        <w:t>This evidence can be valuable, but should be applied w/caution (</w:t>
      </w:r>
      <w:r w:rsidRPr="003166A8">
        <w:rPr>
          <w:i/>
          <w:color w:val="FF0000"/>
        </w:rPr>
        <w:t>Masterpiece</w:t>
      </w:r>
      <w:r>
        <w:t>: the survey was an issue because the AB company had yet to establish a presence in the community in which it operated)</w:t>
      </w:r>
    </w:p>
    <w:p w14:paraId="6EDB8515" w14:textId="1820989B" w:rsidR="00DB7584" w:rsidRDefault="00DB7584" w:rsidP="00F36471">
      <w:pPr>
        <w:pStyle w:val="ListParagraph"/>
      </w:pPr>
      <w:r>
        <w:rPr>
          <w:b/>
          <w:u w:val="single"/>
        </w:rPr>
        <w:t>Expert evidence</w:t>
      </w:r>
      <w:r>
        <w:rPr>
          <w:b/>
        </w:rPr>
        <w:t>:</w:t>
      </w:r>
      <w:r>
        <w:t xml:space="preserve"> Judge should question the relevance and necessity of this evidence before admitting it; they should use their own common sense to determine whether the casual consumer would likely be confused</w:t>
      </w:r>
    </w:p>
    <w:p w14:paraId="6583B684" w14:textId="1A76C9C9" w:rsidR="00F36471" w:rsidRDefault="00F36471" w:rsidP="00F36471">
      <w:pPr>
        <w:pStyle w:val="ListParagraph"/>
      </w:pPr>
      <w:r w:rsidRPr="00DB7584">
        <w:rPr>
          <w:b/>
          <w:u w:val="single"/>
        </w:rPr>
        <w:t>Proposed use TM vs. existing registered TM</w:t>
      </w:r>
      <w:r>
        <w:rPr>
          <w:b/>
        </w:rPr>
        <w:t>:</w:t>
      </w:r>
      <w:r>
        <w:t xml:space="preserve"> </w:t>
      </w:r>
      <w:r w:rsidR="003166A8">
        <w:t xml:space="preserve">Since registration itself doesn’t confer priority of title to a TM, conduct separate analyses wrt each TM rather than a single composite analysis—under </w:t>
      </w:r>
      <w:r w:rsidR="003166A8" w:rsidRPr="003166A8">
        <w:rPr>
          <w:color w:val="0500FF"/>
        </w:rPr>
        <w:t>s16(3)</w:t>
      </w:r>
      <w:r w:rsidR="003166A8">
        <w:t>, even one confusingly similar TM will invalidate the applicant’s registration</w:t>
      </w:r>
      <w:r w:rsidR="00DB7584">
        <w:t xml:space="preserve"> (</w:t>
      </w:r>
      <w:r w:rsidR="00DB7584" w:rsidRPr="00DB7584">
        <w:rPr>
          <w:i/>
          <w:color w:val="FF0000"/>
        </w:rPr>
        <w:t>Masterpiece</w:t>
      </w:r>
      <w:r w:rsidR="00DB7584">
        <w:t>)</w:t>
      </w:r>
    </w:p>
    <w:p w14:paraId="622EED3D" w14:textId="62AFDB07" w:rsidR="00F36471" w:rsidRPr="006E5877" w:rsidRDefault="00B22668" w:rsidP="00F36471">
      <w:pPr>
        <w:pStyle w:val="ListParagraph"/>
      </w:pPr>
      <w:r w:rsidRPr="00DB7584">
        <w:rPr>
          <w:b/>
          <w:u w:val="single"/>
        </w:rPr>
        <w:t>Geography isn’t relevant in performing a confusion analysis</w:t>
      </w:r>
      <w:r>
        <w:rPr>
          <w:b/>
        </w:rPr>
        <w:t>:</w:t>
      </w:r>
      <w:r>
        <w:t xml:space="preserve"> The statutory test is based on the hypothetical assumption that both businesses are located in the same market, irrespective of whether this is actually the case</w:t>
      </w:r>
      <w:r w:rsidR="00DB7584">
        <w:t xml:space="preserve"> (</w:t>
      </w:r>
      <w:r w:rsidR="00DB7584" w:rsidRPr="00DB7584">
        <w:rPr>
          <w:i/>
          <w:color w:val="FF0000"/>
        </w:rPr>
        <w:t>Masterpiece</w:t>
      </w:r>
      <w:r w:rsidR="00DB7584">
        <w:t>)</w:t>
      </w:r>
    </w:p>
    <w:p w14:paraId="4C91EFD2" w14:textId="77777777" w:rsidR="00867743" w:rsidRPr="00FA2D3E" w:rsidRDefault="00867743" w:rsidP="00EB0EA0">
      <w:pPr>
        <w:rPr>
          <w:sz w:val="8"/>
          <w:szCs w:val="8"/>
        </w:rPr>
      </w:pPr>
    </w:p>
    <w:p w14:paraId="3DAAE5C9" w14:textId="11FE8528" w:rsidR="004F70D7" w:rsidRDefault="004F70D7" w:rsidP="004F70D7">
      <w:pPr>
        <w:pStyle w:val="Heading1"/>
      </w:pPr>
      <w:bookmarkStart w:id="19" w:name="_Toc480804613"/>
      <w:r>
        <w:t>TRADEMARK INFRINGEMENT</w:t>
      </w:r>
      <w:bookmarkEnd w:id="19"/>
    </w:p>
    <w:p w14:paraId="5D184DC9" w14:textId="4D34BDF0" w:rsidR="00040D28" w:rsidRPr="00C46D95" w:rsidRDefault="00C46D95" w:rsidP="00EB0EA0">
      <w:r>
        <w:t>There are four provisions in the</w:t>
      </w:r>
      <w:r w:rsidR="00FA2D3E">
        <w:t xml:space="preserve"> </w:t>
      </w:r>
      <w:r w:rsidR="00FA2D3E" w:rsidRPr="00FA2D3E">
        <w:rPr>
          <w:i/>
          <w:color w:val="0500FF"/>
        </w:rPr>
        <w:t xml:space="preserve">TA </w:t>
      </w:r>
      <w:r>
        <w:t>that address infringement:</w:t>
      </w:r>
    </w:p>
    <w:p w14:paraId="5898BB3B" w14:textId="49E1AC07" w:rsidR="00FA2D3E" w:rsidRDefault="00C46D95" w:rsidP="00C46D95">
      <w:pPr>
        <w:pStyle w:val="ListParagraph"/>
      </w:pPr>
      <w:r w:rsidRPr="00C46D95">
        <w:rPr>
          <w:color w:val="0500FF"/>
        </w:rPr>
        <w:t xml:space="preserve">s7 </w:t>
      </w:r>
      <w:r>
        <w:t xml:space="preserve">provides protection against passing-off to both registered and unregistered </w:t>
      </w:r>
      <w:r w:rsidR="00432BCC">
        <w:t>marks</w:t>
      </w:r>
      <w:r>
        <w:t xml:space="preserve"> </w:t>
      </w:r>
    </w:p>
    <w:p w14:paraId="354B5306" w14:textId="71E0E759" w:rsidR="00C46D95" w:rsidRDefault="00C46D95" w:rsidP="00C46D95">
      <w:pPr>
        <w:pStyle w:val="ListParagraph"/>
      </w:pPr>
      <w:r w:rsidRPr="00C46D95">
        <w:rPr>
          <w:color w:val="0500FF"/>
        </w:rPr>
        <w:t>s19</w:t>
      </w:r>
      <w:r>
        <w:t xml:space="preserve"> governs the use of precise TMs registered for the same goods/services</w:t>
      </w:r>
    </w:p>
    <w:p w14:paraId="25BCCD9F" w14:textId="5C18335F" w:rsidR="00C46D95" w:rsidRDefault="00C46D95" w:rsidP="00C46D95">
      <w:pPr>
        <w:pStyle w:val="ListParagraph"/>
      </w:pPr>
      <w:r w:rsidRPr="00C46D95">
        <w:rPr>
          <w:color w:val="0500FF"/>
        </w:rPr>
        <w:t>s20</w:t>
      </w:r>
      <w:r>
        <w:t xml:space="preserve"> deals with confusing uses of TMs</w:t>
      </w:r>
    </w:p>
    <w:p w14:paraId="5C3167DD" w14:textId="2777AF09" w:rsidR="00C46D95" w:rsidRDefault="00C46D95" w:rsidP="00C46D95">
      <w:pPr>
        <w:pStyle w:val="ListParagraph"/>
      </w:pPr>
      <w:r w:rsidRPr="00C46D95">
        <w:rPr>
          <w:color w:val="0500FF"/>
        </w:rPr>
        <w:t>s22</w:t>
      </w:r>
      <w:r>
        <w:t xml:space="preserve"> governs uses that depreciate the value of goodwill</w:t>
      </w:r>
    </w:p>
    <w:p w14:paraId="0176A0D8" w14:textId="77777777" w:rsidR="00C46D95" w:rsidRPr="00F92D9C" w:rsidRDefault="00C46D95" w:rsidP="00EB0EA0">
      <w:pPr>
        <w:rPr>
          <w:sz w:val="8"/>
          <w:szCs w:val="8"/>
        </w:rPr>
      </w:pPr>
    </w:p>
    <w:p w14:paraId="30DCA156" w14:textId="328C9606" w:rsidR="00040D28" w:rsidRPr="00B21FB3" w:rsidRDefault="00040D28" w:rsidP="00040D28">
      <w:pPr>
        <w:pStyle w:val="Heading2"/>
      </w:pPr>
      <w:bookmarkStart w:id="20" w:name="_Toc480804614"/>
      <w:r w:rsidRPr="00040D28">
        <w:rPr>
          <w:color w:val="0500FF"/>
        </w:rPr>
        <w:t>s</w:t>
      </w:r>
      <w:r>
        <w:rPr>
          <w:color w:val="0500FF"/>
        </w:rPr>
        <w:t>19</w:t>
      </w:r>
      <w:r w:rsidR="00B21FB3">
        <w:t>: USE of SAME TRADE-MARK for the SAME GOODS/SERVICES</w:t>
      </w:r>
      <w:bookmarkEnd w:id="20"/>
    </w:p>
    <w:p w14:paraId="4E99BABC" w14:textId="1D2004BF" w:rsidR="00040D28" w:rsidRPr="0054596D" w:rsidRDefault="00432BCC" w:rsidP="00EB0EA0">
      <w:r>
        <w:t xml:space="preserve">As per </w:t>
      </w:r>
      <w:r w:rsidRPr="00432BCC">
        <w:rPr>
          <w:color w:val="0500FF"/>
        </w:rPr>
        <w:t>s19</w:t>
      </w:r>
      <w:r>
        <w:t xml:space="preserve">, the valid registration of a TM gives its owner </w:t>
      </w:r>
      <w:r w:rsidRPr="00F92D9C">
        <w:rPr>
          <w:b/>
        </w:rPr>
        <w:t>the exclusive right to use the TM throughout Canada in respect of the goods or services for which it’s registered</w:t>
      </w:r>
      <w:r>
        <w:t>.</w:t>
      </w:r>
      <w:r w:rsidR="0054596D">
        <w:t xml:space="preserve"> In essence, this provision </w:t>
      </w:r>
      <w:r w:rsidR="00114994">
        <w:t>is invoked where someone</w:t>
      </w:r>
      <w:r w:rsidR="0054596D">
        <w:t xml:space="preserve"> uses </w:t>
      </w:r>
      <w:r w:rsidR="0054596D" w:rsidRPr="0054596D">
        <w:rPr>
          <w:b/>
          <w:i/>
          <w:u w:val="single"/>
        </w:rPr>
        <w:t xml:space="preserve">exactly the same </w:t>
      </w:r>
      <w:r w:rsidR="0054596D" w:rsidRPr="0087218C">
        <w:rPr>
          <w:b/>
          <w:i/>
          <w:u w:val="single"/>
        </w:rPr>
        <w:t xml:space="preserve">mark for those </w:t>
      </w:r>
      <w:r w:rsidR="0087218C">
        <w:rPr>
          <w:b/>
          <w:i/>
          <w:u w:val="single"/>
        </w:rPr>
        <w:t>exact</w:t>
      </w:r>
      <w:r w:rsidR="0054596D" w:rsidRPr="0087218C">
        <w:rPr>
          <w:b/>
          <w:i/>
          <w:u w:val="single"/>
        </w:rPr>
        <w:t xml:space="preserve"> goods/services for which the mark is registered</w:t>
      </w:r>
      <w:r w:rsidR="0054596D">
        <w:t>.</w:t>
      </w:r>
    </w:p>
    <w:p w14:paraId="0A4DC319" w14:textId="77777777" w:rsidR="00432BCC" w:rsidRPr="002C7F63" w:rsidRDefault="00432BCC" w:rsidP="00EB0EA0">
      <w:pPr>
        <w:rPr>
          <w:sz w:val="8"/>
          <w:szCs w:val="8"/>
        </w:rPr>
      </w:pPr>
    </w:p>
    <w:p w14:paraId="644259BE" w14:textId="7062CA62" w:rsidR="00432BCC" w:rsidRPr="00F5147E" w:rsidRDefault="00432BCC" w:rsidP="00EB0EA0">
      <w:r>
        <w:t xml:space="preserve">This right </w:t>
      </w:r>
      <w:r w:rsidR="00114994">
        <w:t xml:space="preserve">provided by </w:t>
      </w:r>
      <w:r w:rsidR="00114994" w:rsidRPr="00114994">
        <w:rPr>
          <w:color w:val="0500FF"/>
        </w:rPr>
        <w:t>s19</w:t>
      </w:r>
      <w:r w:rsidR="00114994">
        <w:t xml:space="preserve"> </w:t>
      </w:r>
      <w:r>
        <w:t xml:space="preserve">is subject to </w:t>
      </w:r>
      <w:r w:rsidR="00F5147E">
        <w:rPr>
          <w:color w:val="0500FF"/>
        </w:rPr>
        <w:t>ss</w:t>
      </w:r>
      <w:r w:rsidRPr="00432BCC">
        <w:rPr>
          <w:color w:val="0500FF"/>
        </w:rPr>
        <w:t>21</w:t>
      </w:r>
      <w:r w:rsidR="00F5147E">
        <w:t xml:space="preserve"> and </w:t>
      </w:r>
      <w:r w:rsidR="00F5147E" w:rsidRPr="00F5147E">
        <w:rPr>
          <w:color w:val="0500FF"/>
        </w:rPr>
        <w:t>32</w:t>
      </w:r>
      <w:r w:rsidR="00F5147E">
        <w:t>:</w:t>
      </w:r>
    </w:p>
    <w:p w14:paraId="38642911" w14:textId="1555A918" w:rsidR="00432BCC" w:rsidRDefault="00432BCC" w:rsidP="00432BCC">
      <w:pPr>
        <w:pStyle w:val="ListParagraph"/>
      </w:pPr>
      <w:r w:rsidRPr="00432BCC">
        <w:rPr>
          <w:color w:val="0500FF"/>
        </w:rPr>
        <w:t>s21</w:t>
      </w:r>
      <w:r>
        <w:t xml:space="preserve"> </w:t>
      </w:r>
      <w:r>
        <w:sym w:font="Wingdings" w:char="F0E0"/>
      </w:r>
      <w:r>
        <w:t xml:space="preserve"> </w:t>
      </w:r>
      <w:r w:rsidR="008825F5">
        <w:rPr>
          <w:b/>
        </w:rPr>
        <w:t xml:space="preserve">Allows for honest, concurrent use of the mark: </w:t>
      </w:r>
      <w:r>
        <w:t xml:space="preserve">If another party </w:t>
      </w:r>
      <w:r w:rsidR="002C7F63">
        <w:t xml:space="preserve">uses a confusing </w:t>
      </w:r>
      <w:r w:rsidR="00F5147E">
        <w:t>mark</w:t>
      </w:r>
      <w:r w:rsidR="002C7F63">
        <w:t xml:space="preserve"> in good faith</w:t>
      </w:r>
      <w:r w:rsidR="00F5147E">
        <w:t xml:space="preserve">, and its use </w:t>
      </w:r>
      <w:r>
        <w:t xml:space="preserve">isn’t contrary to the public interest, then the court may </w:t>
      </w:r>
      <w:r w:rsidR="008825F5">
        <w:rPr>
          <w:b/>
        </w:rPr>
        <w:t>carve out</w:t>
      </w:r>
      <w:r w:rsidR="00F5147E">
        <w:t xml:space="preserve"> space for the party’s continuing</w:t>
      </w:r>
      <w:r w:rsidR="002C7F63">
        <w:t xml:space="preserve"> </w:t>
      </w:r>
      <w:r w:rsidR="00F5147E">
        <w:t>use of</w:t>
      </w:r>
      <w:r w:rsidR="002C7F63">
        <w:t xml:space="preserve"> </w:t>
      </w:r>
      <w:r w:rsidR="00F5147E">
        <w:t>mark</w:t>
      </w:r>
      <w:r w:rsidR="002C7F63">
        <w:t xml:space="preserve"> as long as there’s an adequate specified distinction from the registered TM </w:t>
      </w:r>
      <w:r w:rsidR="00F5147E">
        <w:t>(</w:t>
      </w:r>
      <w:r w:rsidR="00F5147E">
        <w:rPr>
          <w:i/>
        </w:rPr>
        <w:t>compromise provision</w:t>
      </w:r>
      <w:r w:rsidR="00F5147E">
        <w:t>)</w:t>
      </w:r>
    </w:p>
    <w:p w14:paraId="4DEC09B1" w14:textId="16A4B06E" w:rsidR="00432BCC" w:rsidRDefault="00432BCC" w:rsidP="00432BCC">
      <w:pPr>
        <w:pStyle w:val="ListParagraph"/>
      </w:pPr>
      <w:r w:rsidRPr="00432BCC">
        <w:rPr>
          <w:color w:val="0500FF"/>
        </w:rPr>
        <w:lastRenderedPageBreak/>
        <w:t>s32</w:t>
      </w:r>
      <w:r>
        <w:t xml:space="preserve"> </w:t>
      </w:r>
      <w:r>
        <w:sym w:font="Wingdings" w:char="F0E0"/>
      </w:r>
      <w:r w:rsidR="00F5147E">
        <w:t xml:space="preserve"> The Registrar can restrict an applicant’s registration to the goods/services in association with which the TM is shown to have been used as to have become distinctive (and the respective defined territorial area in which </w:t>
      </w:r>
      <w:proofErr w:type="spellStart"/>
      <w:r w:rsidR="00F5147E">
        <w:t>it’s</w:t>
      </w:r>
      <w:proofErr w:type="spellEnd"/>
      <w:r w:rsidR="00F5147E">
        <w:t xml:space="preserve"> distinctive)</w:t>
      </w:r>
    </w:p>
    <w:p w14:paraId="758855BA" w14:textId="77777777" w:rsidR="00432BCC" w:rsidRPr="00733EEF" w:rsidRDefault="00432BCC" w:rsidP="00EB0EA0">
      <w:pPr>
        <w:rPr>
          <w:b/>
          <w:sz w:val="8"/>
          <w:szCs w:val="8"/>
        </w:rPr>
      </w:pPr>
    </w:p>
    <w:p w14:paraId="0579135C" w14:textId="5654F809" w:rsidR="00F92D9C" w:rsidRPr="00F71680" w:rsidRDefault="00F92D9C" w:rsidP="00EB0EA0">
      <w:pPr>
        <w:rPr>
          <w:b/>
        </w:rPr>
      </w:pPr>
      <w:r w:rsidRPr="00F71680">
        <w:rPr>
          <w:b/>
          <w:highlight w:val="yellow"/>
        </w:rPr>
        <w:t xml:space="preserve"> </w:t>
      </w:r>
      <w:r w:rsidRPr="00F71680">
        <w:rPr>
          <w:b/>
          <w:color w:val="0500FF"/>
          <w:highlight w:val="yellow"/>
        </w:rPr>
        <w:t>s19</w:t>
      </w:r>
      <w:r w:rsidRPr="00F71680">
        <w:rPr>
          <w:b/>
          <w:highlight w:val="yellow"/>
        </w:rPr>
        <w:t xml:space="preserve"> </w:t>
      </w:r>
      <w:r w:rsidR="00F71680" w:rsidRPr="00F71680">
        <w:rPr>
          <w:b/>
          <w:highlight w:val="yellow"/>
        </w:rPr>
        <w:t>INFRINGEMENT TEST</w:t>
      </w:r>
    </w:p>
    <w:p w14:paraId="79FD6819" w14:textId="08707514" w:rsidR="00F92D9C" w:rsidRDefault="00F92D9C" w:rsidP="0087218C">
      <w:pPr>
        <w:pStyle w:val="ListParagraph"/>
        <w:numPr>
          <w:ilvl w:val="0"/>
          <w:numId w:val="26"/>
        </w:numPr>
        <w:ind w:left="426"/>
      </w:pPr>
      <w:r>
        <w:t xml:space="preserve">The mark must have been </w:t>
      </w:r>
      <w:r>
        <w:rPr>
          <w:b/>
          <w:u w:val="single"/>
        </w:rPr>
        <w:t>used</w:t>
      </w:r>
      <w:r>
        <w:t xml:space="preserve">—any “use” that by </w:t>
      </w:r>
      <w:r w:rsidRPr="00F92D9C">
        <w:rPr>
          <w:color w:val="0500FF"/>
        </w:rPr>
        <w:t xml:space="preserve">ss2 </w:t>
      </w:r>
      <w:r>
        <w:t xml:space="preserve">and </w:t>
      </w:r>
      <w:r w:rsidRPr="00F92D9C">
        <w:rPr>
          <w:color w:val="0500FF"/>
        </w:rPr>
        <w:t xml:space="preserve">4 </w:t>
      </w:r>
      <w:r>
        <w:t>is deemed to be a use in association with goods/services)</w:t>
      </w:r>
    </w:p>
    <w:p w14:paraId="3FDC358E" w14:textId="40D4834D" w:rsidR="0087218C" w:rsidRDefault="0087218C" w:rsidP="0087218C">
      <w:pPr>
        <w:pStyle w:val="ListParagraph"/>
        <w:numPr>
          <w:ilvl w:val="0"/>
          <w:numId w:val="27"/>
        </w:numPr>
        <w:ind w:left="851" w:hanging="218"/>
      </w:pPr>
      <w:r w:rsidRPr="0087218C">
        <w:rPr>
          <w:i/>
          <w:color w:val="FF0000"/>
        </w:rPr>
        <w:t>Clairol</w:t>
      </w:r>
      <w:r>
        <w:t xml:space="preserve">: The TM’s presence on boxes at the time of the transfer of possession established “use” under </w:t>
      </w:r>
      <w:r w:rsidRPr="0087218C">
        <w:rPr>
          <w:color w:val="0500FF"/>
        </w:rPr>
        <w:t>s4(1)</w:t>
      </w:r>
    </w:p>
    <w:p w14:paraId="1CB891BB" w14:textId="58685C34" w:rsidR="00F92D9C" w:rsidRDefault="00F92D9C" w:rsidP="0087218C">
      <w:pPr>
        <w:pStyle w:val="ListParagraph"/>
        <w:numPr>
          <w:ilvl w:val="0"/>
          <w:numId w:val="26"/>
        </w:numPr>
        <w:ind w:left="426"/>
      </w:pPr>
      <w:r>
        <w:t xml:space="preserve">The mark must have been used </w:t>
      </w:r>
      <w:r>
        <w:rPr>
          <w:b/>
          <w:u w:val="single"/>
        </w:rPr>
        <w:t>as a TM</w:t>
      </w:r>
      <w:r>
        <w:t>—for the purpose of distinguishing goods/services; as an indicator of source</w:t>
      </w:r>
    </w:p>
    <w:p w14:paraId="33BDEF33" w14:textId="40BC5D26" w:rsidR="0087218C" w:rsidRDefault="0087218C" w:rsidP="0087218C">
      <w:pPr>
        <w:pStyle w:val="ListParagraph"/>
        <w:numPr>
          <w:ilvl w:val="0"/>
          <w:numId w:val="27"/>
        </w:numPr>
        <w:ind w:left="851" w:hanging="218"/>
      </w:pPr>
      <w:r w:rsidRPr="0087218C">
        <w:rPr>
          <w:i/>
          <w:color w:val="FF0000"/>
        </w:rPr>
        <w:t>Clairol</w:t>
      </w:r>
      <w:r>
        <w:t xml:space="preserve">: Use “as a TM” couldn’t be established because Revlon clearly </w:t>
      </w:r>
      <w:r w:rsidR="001A0515">
        <w:t>wasn’t trying to pretend its product was produced by Clairol—it was simply showing the relevant comparable purchase</w:t>
      </w:r>
    </w:p>
    <w:p w14:paraId="36A62C61" w14:textId="2082A2BC" w:rsidR="00F92D9C" w:rsidRPr="00F92D9C" w:rsidRDefault="00F92D9C" w:rsidP="0087218C">
      <w:pPr>
        <w:pStyle w:val="ListParagraph"/>
        <w:numPr>
          <w:ilvl w:val="0"/>
          <w:numId w:val="26"/>
        </w:numPr>
        <w:ind w:left="426"/>
      </w:pPr>
      <w:r>
        <w:t xml:space="preserve">The mark must have been used </w:t>
      </w:r>
      <w:r>
        <w:rPr>
          <w:b/>
          <w:u w:val="single"/>
        </w:rPr>
        <w:t>in association with the goods/services for which it’s registered</w:t>
      </w:r>
      <w:r>
        <w:t>—</w:t>
      </w:r>
    </w:p>
    <w:p w14:paraId="71559CD3" w14:textId="77777777" w:rsidR="00432BCC" w:rsidRPr="001A0515" w:rsidRDefault="00432BCC" w:rsidP="00EB0EA0">
      <w:pPr>
        <w:rPr>
          <w:sz w:val="8"/>
          <w:szCs w:val="8"/>
        </w:rPr>
      </w:pPr>
    </w:p>
    <w:p w14:paraId="22336476" w14:textId="3FC3D2ED" w:rsidR="00040D28" w:rsidRPr="00B21FB3" w:rsidRDefault="00040D28" w:rsidP="00040D28">
      <w:pPr>
        <w:pStyle w:val="Heading2"/>
      </w:pPr>
      <w:bookmarkStart w:id="21" w:name="_Toc480804615"/>
      <w:r w:rsidRPr="00040D28">
        <w:rPr>
          <w:color w:val="0500FF"/>
        </w:rPr>
        <w:t>s</w:t>
      </w:r>
      <w:r>
        <w:rPr>
          <w:color w:val="0500FF"/>
        </w:rPr>
        <w:t>20</w:t>
      </w:r>
      <w:r w:rsidR="00B21FB3">
        <w:t>: CONFUSING USES of TRADE-MARKS</w:t>
      </w:r>
      <w:bookmarkEnd w:id="21"/>
    </w:p>
    <w:p w14:paraId="5A2E3A8C" w14:textId="47261DDE" w:rsidR="00A22FCD" w:rsidRDefault="00A22FCD" w:rsidP="00EB0EA0">
      <w:pPr>
        <w:rPr>
          <w:b/>
        </w:rPr>
      </w:pPr>
      <w:r w:rsidRPr="00A22FCD">
        <w:rPr>
          <w:color w:val="0500FF"/>
        </w:rPr>
        <w:t>s20</w:t>
      </w:r>
      <w:r>
        <w:t xml:space="preserve"> encompasses two types of situations: </w:t>
      </w:r>
    </w:p>
    <w:p w14:paraId="1B262A59" w14:textId="2BB9EBAE" w:rsidR="00040D28" w:rsidRDefault="00A22FCD" w:rsidP="00A22FCD">
      <w:pPr>
        <w:pStyle w:val="ListParagraph"/>
      </w:pPr>
      <w:r>
        <w:t xml:space="preserve">Where a </w:t>
      </w:r>
      <w:r w:rsidRPr="00A22FCD">
        <w:rPr>
          <w:b/>
          <w:i/>
          <w:u w:val="single"/>
        </w:rPr>
        <w:t>similar but not identical TM</w:t>
      </w:r>
      <w:r>
        <w:t xml:space="preserve"> is used</w:t>
      </w:r>
      <w:r w:rsidR="00BC299E">
        <w:t xml:space="preserve"> (</w:t>
      </w:r>
      <w:proofErr w:type="spellStart"/>
      <w:r w:rsidR="00BC299E" w:rsidRPr="00BC299E">
        <w:rPr>
          <w:i/>
          <w:color w:val="FF0000"/>
        </w:rPr>
        <w:t>Veuve</w:t>
      </w:r>
      <w:proofErr w:type="spellEnd"/>
      <w:r w:rsidR="00BC299E" w:rsidRPr="00BC299E">
        <w:rPr>
          <w:color w:val="FF0000"/>
        </w:rPr>
        <w:t xml:space="preserve"> </w:t>
      </w:r>
      <w:r w:rsidR="00BC299E">
        <w:t xml:space="preserve">and </w:t>
      </w:r>
      <w:r w:rsidR="00BC299E" w:rsidRPr="00BC299E">
        <w:rPr>
          <w:i/>
          <w:color w:val="FF0000"/>
        </w:rPr>
        <w:t>Mattel</w:t>
      </w:r>
      <w:r w:rsidR="00BC299E" w:rsidRPr="00BC299E">
        <w:rPr>
          <w:color w:val="FF0000"/>
        </w:rPr>
        <w:t xml:space="preserve"> </w:t>
      </w:r>
      <w:r w:rsidR="00BC299E">
        <w:t>would’ve fallen into this category, but the πs argued that their brands’ fame transcended the limit of registered goods/services)</w:t>
      </w:r>
      <w:r>
        <w:t xml:space="preserve"> </w:t>
      </w:r>
    </w:p>
    <w:p w14:paraId="2CD521FA" w14:textId="6E03503F" w:rsidR="00A22FCD" w:rsidRDefault="00A22FCD" w:rsidP="00A22FCD">
      <w:pPr>
        <w:pStyle w:val="ListParagraph"/>
      </w:pPr>
      <w:r>
        <w:t xml:space="preserve">Where the </w:t>
      </w:r>
      <w:r>
        <w:rPr>
          <w:b/>
          <w:i/>
          <w:u w:val="single"/>
        </w:rPr>
        <w:t>identical TM is used, but wrt different goods/services</w:t>
      </w:r>
      <w:r>
        <w:t xml:space="preserve"> than those for which the original TM is registered</w:t>
      </w:r>
    </w:p>
    <w:p w14:paraId="395E7042" w14:textId="77777777" w:rsidR="00F71680" w:rsidRPr="00F71680" w:rsidRDefault="00F71680" w:rsidP="00F71680">
      <w:pPr>
        <w:rPr>
          <w:sz w:val="8"/>
          <w:szCs w:val="8"/>
        </w:rPr>
      </w:pPr>
    </w:p>
    <w:p w14:paraId="6D6029B8" w14:textId="2A06CAC5" w:rsidR="00F71680" w:rsidRDefault="00F71680" w:rsidP="00F71680">
      <w:r w:rsidRPr="00F71680">
        <w:rPr>
          <w:b/>
          <w:color w:val="0500FF"/>
          <w:highlight w:val="yellow"/>
        </w:rPr>
        <w:t>s20</w:t>
      </w:r>
      <w:r w:rsidRPr="00F71680">
        <w:rPr>
          <w:b/>
          <w:highlight w:val="yellow"/>
        </w:rPr>
        <w:t xml:space="preserve"> INFRINGEMENT TEST</w:t>
      </w:r>
      <w:r w:rsidR="00BC299E">
        <w:t xml:space="preserve"> </w:t>
      </w:r>
    </w:p>
    <w:p w14:paraId="619DB351" w14:textId="7FD9A1F1" w:rsidR="00BC299E" w:rsidRPr="00BC299E" w:rsidRDefault="00BC299E" w:rsidP="00BC299E">
      <w:pPr>
        <w:pStyle w:val="ListParagraph"/>
        <w:numPr>
          <w:ilvl w:val="0"/>
          <w:numId w:val="29"/>
        </w:numPr>
        <w:ind w:left="426"/>
        <w:rPr>
          <w:u w:val="single"/>
        </w:rPr>
      </w:pPr>
      <w:r w:rsidRPr="00BC299E">
        <w:rPr>
          <w:b/>
        </w:rPr>
        <w:t>Doctrine of use</w:t>
      </w:r>
      <w:r>
        <w:t xml:space="preserve"> (</w:t>
      </w:r>
      <w:r w:rsidRPr="00BC299E">
        <w:rPr>
          <w:color w:val="0500FF"/>
        </w:rPr>
        <w:t>ss2</w:t>
      </w:r>
      <w:r>
        <w:t xml:space="preserve">, </w:t>
      </w:r>
      <w:r w:rsidRPr="00BC299E">
        <w:rPr>
          <w:color w:val="0500FF"/>
        </w:rPr>
        <w:t>4</w:t>
      </w:r>
      <w:r>
        <w:t>)</w:t>
      </w:r>
      <w:r w:rsidR="001275B3">
        <w:t xml:space="preserve"> </w:t>
      </w:r>
      <w:r w:rsidR="001275B3">
        <w:sym w:font="Wingdings" w:char="F0E0"/>
      </w:r>
      <w:r w:rsidR="001275B3">
        <w:t xml:space="preserve"> Different depending on whether </w:t>
      </w:r>
      <w:r w:rsidR="001275B3">
        <w:rPr>
          <w:i/>
        </w:rPr>
        <w:t>goods</w:t>
      </w:r>
      <w:r w:rsidR="001275B3">
        <w:t xml:space="preserve"> or </w:t>
      </w:r>
      <w:r w:rsidR="001275B3">
        <w:rPr>
          <w:i/>
        </w:rPr>
        <w:t>services</w:t>
      </w:r>
      <w:r w:rsidR="001275B3">
        <w:t xml:space="preserve"> are at issue</w:t>
      </w:r>
    </w:p>
    <w:p w14:paraId="102EC52B" w14:textId="1E897A95" w:rsidR="00BC299E" w:rsidRPr="00BC299E" w:rsidRDefault="00BC299E" w:rsidP="00BC299E">
      <w:pPr>
        <w:pStyle w:val="ListParagraph"/>
        <w:numPr>
          <w:ilvl w:val="0"/>
          <w:numId w:val="29"/>
        </w:numPr>
        <w:ind w:left="426"/>
        <w:rPr>
          <w:u w:val="single"/>
        </w:rPr>
      </w:pPr>
      <w:r w:rsidRPr="00BC299E">
        <w:rPr>
          <w:b/>
        </w:rPr>
        <w:t>Doctrine of confusion</w:t>
      </w:r>
      <w:r>
        <w:t xml:space="preserve"> (</w:t>
      </w:r>
      <w:r w:rsidRPr="00BC299E">
        <w:rPr>
          <w:color w:val="0500FF"/>
        </w:rPr>
        <w:t>ss6(2)</w:t>
      </w:r>
      <w:r>
        <w:t xml:space="preserve">, </w:t>
      </w:r>
      <w:r w:rsidRPr="00BC299E">
        <w:rPr>
          <w:color w:val="0500FF"/>
        </w:rPr>
        <w:t>6(5)</w:t>
      </w:r>
      <w:r>
        <w:t>)</w:t>
      </w:r>
      <w:r w:rsidR="001275B3">
        <w:t xml:space="preserve"> </w:t>
      </w:r>
      <w:r w:rsidR="001275B3">
        <w:sym w:font="Wingdings" w:char="F0E0"/>
      </w:r>
      <w:r w:rsidR="001275B3">
        <w:t xml:space="preserve"> Onus on ∆ to show that there’s no reasonable likelihood of confusion b/w the marks</w:t>
      </w:r>
    </w:p>
    <w:p w14:paraId="71C902A6" w14:textId="77777777" w:rsidR="0054596D" w:rsidRPr="00F35690" w:rsidRDefault="0054596D" w:rsidP="00EB0EA0">
      <w:pPr>
        <w:rPr>
          <w:sz w:val="8"/>
          <w:szCs w:val="8"/>
        </w:rPr>
      </w:pPr>
    </w:p>
    <w:p w14:paraId="6201FB6D" w14:textId="7888C8CF" w:rsidR="00040D28" w:rsidRPr="00B21FB3" w:rsidRDefault="00040D28" w:rsidP="00040D28">
      <w:pPr>
        <w:pStyle w:val="Heading2"/>
      </w:pPr>
      <w:bookmarkStart w:id="22" w:name="_Toc480804616"/>
      <w:r w:rsidRPr="00040D28">
        <w:rPr>
          <w:color w:val="0500FF"/>
        </w:rPr>
        <w:t>s</w:t>
      </w:r>
      <w:r>
        <w:rPr>
          <w:color w:val="0500FF"/>
        </w:rPr>
        <w:t>22</w:t>
      </w:r>
      <w:r w:rsidR="00B21FB3">
        <w:t>: USES of TRADE-MARKS that DEPRECIATE the VALUE of GOODWILL</w:t>
      </w:r>
      <w:bookmarkEnd w:id="22"/>
    </w:p>
    <w:p w14:paraId="3B29DD88" w14:textId="554732D7" w:rsidR="00CD4C3A" w:rsidRDefault="00F92D9C" w:rsidP="00EB0EA0">
      <w:r w:rsidRPr="00F44D52">
        <w:rPr>
          <w:color w:val="0500FF"/>
        </w:rPr>
        <w:t>s22</w:t>
      </w:r>
      <w:r>
        <w:t xml:space="preserve"> governs uses that depreciate the value of goodwill and </w:t>
      </w:r>
      <w:r w:rsidR="008B31D5">
        <w:t>essentially functions as a “super-weapon” in making out infringement claims. It doesn’t seek stop legitimate comparisons, but recognizes that companies invest significant time and money in creating their brand, and legislatures should protect this investment (</w:t>
      </w:r>
      <w:r w:rsidR="008B31D5" w:rsidRPr="008B31D5">
        <w:rPr>
          <w:i/>
          <w:color w:val="FF0000"/>
        </w:rPr>
        <w:t>Clairol</w:t>
      </w:r>
      <w:r w:rsidR="008B31D5">
        <w:t xml:space="preserve">). </w:t>
      </w:r>
      <w:r w:rsidR="008B31D5" w:rsidRPr="008B31D5">
        <w:rPr>
          <w:i/>
          <w:color w:val="FF0000"/>
        </w:rPr>
        <w:t>Clairol</w:t>
      </w:r>
      <w:r w:rsidR="008B31D5" w:rsidRPr="008B31D5">
        <w:rPr>
          <w:color w:val="FF0000"/>
        </w:rPr>
        <w:t xml:space="preserve"> </w:t>
      </w:r>
      <w:r w:rsidR="008B31D5">
        <w:t xml:space="preserve">narrowed the application of this provision so as to keep it in check, and </w:t>
      </w:r>
      <w:proofErr w:type="spellStart"/>
      <w:r w:rsidR="008B31D5" w:rsidRPr="008B31D5">
        <w:rPr>
          <w:i/>
          <w:color w:val="FF0000"/>
        </w:rPr>
        <w:t>Veuve</w:t>
      </w:r>
      <w:proofErr w:type="spellEnd"/>
      <w:r w:rsidR="008B31D5" w:rsidRPr="008B31D5">
        <w:rPr>
          <w:i/>
          <w:color w:val="FF0000"/>
        </w:rPr>
        <w:t xml:space="preserve"> </w:t>
      </w:r>
      <w:r w:rsidR="008B31D5">
        <w:t xml:space="preserve">provides a four-step inquiry for these infringement claims in which confusion </w:t>
      </w:r>
      <w:r w:rsidR="00CD4C3A">
        <w:t>need not be established.</w:t>
      </w:r>
    </w:p>
    <w:p w14:paraId="09B2CF00" w14:textId="77777777" w:rsidR="00CD4C3A" w:rsidRPr="00CD4C3A" w:rsidRDefault="00CD4C3A" w:rsidP="00EB0EA0">
      <w:pPr>
        <w:rPr>
          <w:sz w:val="8"/>
          <w:szCs w:val="8"/>
        </w:rPr>
      </w:pPr>
    </w:p>
    <w:p w14:paraId="7CE82011" w14:textId="62F8A2D1" w:rsidR="00CD4C3A" w:rsidRDefault="00CD4C3A" w:rsidP="00CD4C3A">
      <w:pPr>
        <w:pStyle w:val="ListParagraph"/>
      </w:pPr>
      <w:r>
        <w:rPr>
          <w:b/>
        </w:rPr>
        <w:t>Comparative advertising:</w:t>
      </w:r>
      <w:r>
        <w:t xml:space="preserve"> The court in </w:t>
      </w:r>
      <w:r w:rsidRPr="00CD4C3A">
        <w:rPr>
          <w:i/>
          <w:color w:val="FF0000"/>
        </w:rPr>
        <w:t>Future Shop</w:t>
      </w:r>
      <w:r w:rsidRPr="00CD4C3A">
        <w:rPr>
          <w:color w:val="FF0000"/>
        </w:rPr>
        <w:t xml:space="preserve"> </w:t>
      </w:r>
      <w:r>
        <w:t>recognized that the public has an interest in comparative advertising as it helps consumers make better choices</w:t>
      </w:r>
    </w:p>
    <w:p w14:paraId="2BBBE979" w14:textId="0695822D" w:rsidR="00CD4C3A" w:rsidRDefault="00CD4C3A" w:rsidP="00CD4C3A">
      <w:pPr>
        <w:pStyle w:val="ListParagraph"/>
        <w:numPr>
          <w:ilvl w:val="0"/>
          <w:numId w:val="0"/>
        </w:numPr>
        <w:ind w:left="720"/>
      </w:pPr>
      <w:r>
        <w:rPr>
          <w:b/>
        </w:rPr>
        <w:t>Emphasizing similarities</w:t>
      </w:r>
      <w:r>
        <w:t xml:space="preserve"> </w:t>
      </w:r>
      <w:r>
        <w:sym w:font="Wingdings" w:char="F0E0"/>
      </w:r>
      <w:r>
        <w:t xml:space="preserve"> contrary to </w:t>
      </w:r>
      <w:r w:rsidRPr="00CD4C3A">
        <w:rPr>
          <w:color w:val="0500FF"/>
        </w:rPr>
        <w:t>s22</w:t>
      </w:r>
      <w:r>
        <w:t xml:space="preserve"> = infringement</w:t>
      </w:r>
    </w:p>
    <w:p w14:paraId="63DC3560" w14:textId="5D349CC6" w:rsidR="00CD4C3A" w:rsidRPr="00CD4C3A" w:rsidRDefault="00CD4C3A" w:rsidP="00CD4C3A">
      <w:pPr>
        <w:pStyle w:val="ListParagraph"/>
        <w:numPr>
          <w:ilvl w:val="0"/>
          <w:numId w:val="0"/>
        </w:numPr>
        <w:ind w:left="720"/>
      </w:pPr>
      <w:r>
        <w:rPr>
          <w:b/>
        </w:rPr>
        <w:t>Emphasizing differences</w:t>
      </w:r>
      <w:r>
        <w:t xml:space="preserve"> </w:t>
      </w:r>
      <w:r>
        <w:sym w:font="Wingdings" w:char="F0E0"/>
      </w:r>
      <w:r>
        <w:t xml:space="preserve"> permitted under </w:t>
      </w:r>
      <w:r w:rsidRPr="00CD4C3A">
        <w:rPr>
          <w:color w:val="0500FF"/>
        </w:rPr>
        <w:t>s22</w:t>
      </w:r>
      <w:r>
        <w:t xml:space="preserve"> ≠ infringement</w:t>
      </w:r>
    </w:p>
    <w:p w14:paraId="27763551" w14:textId="77777777" w:rsidR="00CD4C3A" w:rsidRDefault="00CD4C3A" w:rsidP="00EB0EA0">
      <w:pPr>
        <w:rPr>
          <w:sz w:val="8"/>
          <w:szCs w:val="8"/>
        </w:rPr>
      </w:pPr>
    </w:p>
    <w:p w14:paraId="6F9576EF" w14:textId="766C4A8D" w:rsidR="00F71680" w:rsidRPr="00F71680" w:rsidRDefault="00F71680" w:rsidP="00EB0EA0">
      <w:pPr>
        <w:rPr>
          <w:b/>
          <w:szCs w:val="20"/>
        </w:rPr>
      </w:pPr>
      <w:r w:rsidRPr="00F71680">
        <w:rPr>
          <w:b/>
          <w:color w:val="0500FF"/>
          <w:szCs w:val="20"/>
          <w:highlight w:val="yellow"/>
        </w:rPr>
        <w:t>s22</w:t>
      </w:r>
      <w:r w:rsidRPr="00F71680">
        <w:rPr>
          <w:b/>
          <w:szCs w:val="20"/>
          <w:highlight w:val="yellow"/>
        </w:rPr>
        <w:t xml:space="preserve"> INFRINGEMENT TEST</w:t>
      </w:r>
    </w:p>
    <w:p w14:paraId="3CA05B0A" w14:textId="3509F18C" w:rsidR="00F44D52" w:rsidRPr="00114994" w:rsidRDefault="00F44D52" w:rsidP="00F44D52">
      <w:pPr>
        <w:pStyle w:val="ListParagraph"/>
        <w:numPr>
          <w:ilvl w:val="0"/>
          <w:numId w:val="28"/>
        </w:numPr>
        <w:ind w:left="426"/>
        <w:rPr>
          <w:b/>
        </w:rPr>
      </w:pPr>
      <w:r w:rsidRPr="00F44D52">
        <w:rPr>
          <w:b/>
        </w:rPr>
        <w:t>Use requirement:</w:t>
      </w:r>
      <w:r w:rsidR="00D90453">
        <w:rPr>
          <w:b/>
        </w:rPr>
        <w:t xml:space="preserve"> </w:t>
      </w:r>
      <w:r w:rsidR="00D90453">
        <w:rPr>
          <w:i/>
        </w:rPr>
        <w:t>Was π’s registered TM “used”</w:t>
      </w:r>
      <w:r w:rsidR="00A67A41">
        <w:rPr>
          <w:i/>
        </w:rPr>
        <w:t xml:space="preserve"> (as defined by </w:t>
      </w:r>
      <w:proofErr w:type="spellStart"/>
      <w:r w:rsidR="00A67A41" w:rsidRPr="00A67A41">
        <w:rPr>
          <w:i/>
          <w:color w:val="0500FF"/>
        </w:rPr>
        <w:t>s</w:t>
      </w:r>
      <w:r w:rsidR="00BC299E">
        <w:rPr>
          <w:i/>
          <w:color w:val="0500FF"/>
        </w:rPr>
        <w:t>s</w:t>
      </w:r>
      <w:proofErr w:type="spellEnd"/>
      <w:r w:rsidR="00BC299E">
        <w:rPr>
          <w:i/>
          <w:color w:val="0500FF"/>
        </w:rPr>
        <w:t xml:space="preserve"> 2 </w:t>
      </w:r>
      <w:r w:rsidR="00BC299E" w:rsidRPr="00BC299E">
        <w:rPr>
          <w:i/>
        </w:rPr>
        <w:t>&amp;</w:t>
      </w:r>
      <w:r w:rsidR="00BC299E">
        <w:rPr>
          <w:i/>
          <w:color w:val="0500FF"/>
        </w:rPr>
        <w:t xml:space="preserve"> </w:t>
      </w:r>
      <w:r w:rsidR="00A67A41" w:rsidRPr="00A67A41">
        <w:rPr>
          <w:i/>
          <w:color w:val="0500FF"/>
        </w:rPr>
        <w:t>4</w:t>
      </w:r>
      <w:r w:rsidR="00A67A41">
        <w:rPr>
          <w:i/>
        </w:rPr>
        <w:t>)</w:t>
      </w:r>
      <w:r w:rsidR="00D90453">
        <w:rPr>
          <w:i/>
        </w:rPr>
        <w:t xml:space="preserve"> in connection with ∆’s goods/services in a way that gives notice of the association?</w:t>
      </w:r>
    </w:p>
    <w:p w14:paraId="59844B12" w14:textId="38472796" w:rsidR="00BC299E" w:rsidRDefault="00BC299E" w:rsidP="00114994">
      <w:pPr>
        <w:pStyle w:val="ListParagraph"/>
        <w:ind w:left="851"/>
      </w:pPr>
      <w:r>
        <w:t xml:space="preserve">First go to </w:t>
      </w:r>
      <w:r w:rsidRPr="00BC299E">
        <w:rPr>
          <w:color w:val="0500FF"/>
        </w:rPr>
        <w:t>s</w:t>
      </w:r>
      <w:r w:rsidR="00BF6A88">
        <w:rPr>
          <w:color w:val="0500FF"/>
        </w:rPr>
        <w:t xml:space="preserve">s2 </w:t>
      </w:r>
      <w:r w:rsidR="00BF6A88" w:rsidRPr="00BF6A88">
        <w:t xml:space="preserve">and </w:t>
      </w:r>
      <w:r w:rsidRPr="00BC299E">
        <w:rPr>
          <w:color w:val="0500FF"/>
        </w:rPr>
        <w:t>4</w:t>
      </w:r>
      <w:r w:rsidR="00BF6A88">
        <w:t>, which distinguish</w:t>
      </w:r>
      <w:r>
        <w:t xml:space="preserve"> between </w:t>
      </w:r>
      <w:r>
        <w:rPr>
          <w:i/>
        </w:rPr>
        <w:t>goods</w:t>
      </w:r>
      <w:r>
        <w:t xml:space="preserve"> and </w:t>
      </w:r>
      <w:r>
        <w:rPr>
          <w:i/>
        </w:rPr>
        <w:t>services</w:t>
      </w:r>
      <w:r w:rsidR="00BF6A88">
        <w:t>—establish “use” there</w:t>
      </w:r>
    </w:p>
    <w:p w14:paraId="18FAF7E2" w14:textId="2AF98EB6" w:rsidR="00114994" w:rsidRDefault="00A67A41" w:rsidP="00114994">
      <w:pPr>
        <w:pStyle w:val="ListParagraph"/>
        <w:ind w:left="851"/>
      </w:pPr>
      <w:r>
        <w:t xml:space="preserve">Consider whether the </w:t>
      </w:r>
      <w:r>
        <w:rPr>
          <w:u w:val="single"/>
        </w:rPr>
        <w:t>casual observer</w:t>
      </w:r>
      <w:r>
        <w:t xml:space="preserve"> would recognize the mark used by ∆ as the mark of π (</w:t>
      </w:r>
      <w:proofErr w:type="spellStart"/>
      <w:r w:rsidRPr="00A67A41">
        <w:rPr>
          <w:i/>
          <w:color w:val="FF0000"/>
        </w:rPr>
        <w:t>Veuve</w:t>
      </w:r>
      <w:proofErr w:type="spellEnd"/>
      <w:r>
        <w:t>)</w:t>
      </w:r>
    </w:p>
    <w:p w14:paraId="10D74691" w14:textId="6ADB64BA" w:rsidR="00733EEF" w:rsidRDefault="00733EEF" w:rsidP="00114994">
      <w:pPr>
        <w:pStyle w:val="ListParagraph"/>
        <w:ind w:left="851"/>
      </w:pPr>
      <w:r>
        <w:t xml:space="preserve">A minor difference in spelling doesn’t serve as a defence (e.g. </w:t>
      </w:r>
      <w:proofErr w:type="spellStart"/>
      <w:r w:rsidR="00357798">
        <w:t>Cliquot</w:t>
      </w:r>
      <w:proofErr w:type="spellEnd"/>
      <w:r>
        <w:t xml:space="preserve"> vs. </w:t>
      </w:r>
      <w:proofErr w:type="spellStart"/>
      <w:r w:rsidR="00357798">
        <w:t>C</w:t>
      </w:r>
      <w:r>
        <w:t>licquot</w:t>
      </w:r>
      <w:proofErr w:type="spellEnd"/>
      <w:r w:rsidR="00357798">
        <w:t xml:space="preserve">; Kleenex v </w:t>
      </w:r>
      <w:proofErr w:type="spellStart"/>
      <w:r w:rsidR="00357798">
        <w:t>Klenex</w:t>
      </w:r>
      <w:proofErr w:type="spellEnd"/>
      <w:r w:rsidR="00357798">
        <w:t xml:space="preserve">: </w:t>
      </w:r>
      <w:proofErr w:type="spellStart"/>
      <w:r w:rsidR="00357798" w:rsidRPr="00357798">
        <w:rPr>
          <w:i/>
          <w:color w:val="FF0000"/>
        </w:rPr>
        <w:t>Veuve</w:t>
      </w:r>
      <w:proofErr w:type="spellEnd"/>
      <w:r w:rsidR="00357798">
        <w:t>)</w:t>
      </w:r>
    </w:p>
    <w:p w14:paraId="17BF9525" w14:textId="31D773DC" w:rsidR="00213348" w:rsidRPr="00F44D52" w:rsidRDefault="00213348" w:rsidP="00114994">
      <w:pPr>
        <w:pStyle w:val="ListParagraph"/>
        <w:ind w:left="851"/>
      </w:pPr>
      <w:proofErr w:type="spellStart"/>
      <w:r>
        <w:rPr>
          <w:i/>
          <w:color w:val="FF0000"/>
        </w:rPr>
        <w:t>Veuve</w:t>
      </w:r>
      <w:proofErr w:type="spellEnd"/>
      <w:r>
        <w:t>: A consumer who saw the word “</w:t>
      </w:r>
      <w:proofErr w:type="spellStart"/>
      <w:r>
        <w:t>Cliquot</w:t>
      </w:r>
      <w:proofErr w:type="spellEnd"/>
      <w:r>
        <w:t>” used in ∆’s stores wouldn’t make any link or connection to π’s mark = not established</w:t>
      </w:r>
    </w:p>
    <w:p w14:paraId="3EC2AE35" w14:textId="3301334E" w:rsidR="00F44D52" w:rsidRPr="00114994" w:rsidRDefault="00F44D52" w:rsidP="00F44D52">
      <w:pPr>
        <w:pStyle w:val="ListParagraph"/>
        <w:numPr>
          <w:ilvl w:val="0"/>
          <w:numId w:val="28"/>
        </w:numPr>
        <w:ind w:left="426"/>
        <w:rPr>
          <w:b/>
        </w:rPr>
      </w:pPr>
      <w:r>
        <w:rPr>
          <w:b/>
        </w:rPr>
        <w:t>Goodwill requirement:</w:t>
      </w:r>
      <w:r w:rsidR="008B31D5">
        <w:rPr>
          <w:i/>
        </w:rPr>
        <w:t xml:space="preserve"> Is π’s registered TM sufficiently well-known to have significant goodwill attached to it?</w:t>
      </w:r>
    </w:p>
    <w:p w14:paraId="6F044A54" w14:textId="7DFED267" w:rsidR="00114994" w:rsidRDefault="0080506C" w:rsidP="00114994">
      <w:pPr>
        <w:pStyle w:val="ListParagraph"/>
        <w:ind w:left="851"/>
      </w:pPr>
      <w:r w:rsidRPr="0080506C">
        <w:rPr>
          <w:u w:val="single"/>
        </w:rPr>
        <w:t>Goodwill</w:t>
      </w:r>
      <w:r>
        <w:t xml:space="preserve"> = (</w:t>
      </w:r>
      <w:proofErr w:type="gramStart"/>
      <w:r>
        <w:t>+)ve</w:t>
      </w:r>
      <w:proofErr w:type="gramEnd"/>
      <w:r>
        <w:t xml:space="preserve"> association that attracts customers towards its owner</w:t>
      </w:r>
      <w:r w:rsidR="0053065B">
        <w:t>’</w:t>
      </w:r>
      <w:r>
        <w:t>s goods/services</w:t>
      </w:r>
    </w:p>
    <w:p w14:paraId="5EBEFB22" w14:textId="3E05A8BA" w:rsidR="0080506C" w:rsidRDefault="00357798" w:rsidP="00114994">
      <w:pPr>
        <w:pStyle w:val="ListParagraph"/>
        <w:ind w:left="851"/>
      </w:pPr>
      <w:r>
        <w:t xml:space="preserve">While </w:t>
      </w:r>
      <w:r>
        <w:rPr>
          <w:b/>
          <w:i/>
        </w:rPr>
        <w:t xml:space="preserve">fame </w:t>
      </w:r>
      <w:r>
        <w:t>isn’t req’d, the court should c</w:t>
      </w:r>
      <w:r w:rsidR="00B37EDE">
        <w:t>onsider factors such as (</w:t>
      </w:r>
      <w:proofErr w:type="spellStart"/>
      <w:r w:rsidR="00B37EDE">
        <w:rPr>
          <w:i/>
          <w:color w:val="FF0000"/>
        </w:rPr>
        <w:t>Veuve</w:t>
      </w:r>
      <w:proofErr w:type="spellEnd"/>
      <w:r w:rsidR="00B37EDE">
        <w:t>):</w:t>
      </w:r>
    </w:p>
    <w:p w14:paraId="7F615665" w14:textId="615D2313" w:rsidR="00B37EDE" w:rsidRDefault="00B37EDE" w:rsidP="00B37EDE">
      <w:pPr>
        <w:pStyle w:val="ListParagraph"/>
        <w:numPr>
          <w:ilvl w:val="1"/>
          <w:numId w:val="1"/>
        </w:numPr>
      </w:pPr>
      <w:r>
        <w:t>The mark’s degree of recognition within the relevant universe of consumers</w:t>
      </w:r>
    </w:p>
    <w:p w14:paraId="6773D271" w14:textId="16600E47" w:rsidR="00B37EDE" w:rsidRDefault="00B37EDE" w:rsidP="00B37EDE">
      <w:pPr>
        <w:pStyle w:val="ListParagraph"/>
        <w:numPr>
          <w:ilvl w:val="1"/>
          <w:numId w:val="1"/>
        </w:numPr>
      </w:pPr>
      <w:r>
        <w:t>The volume of sales</w:t>
      </w:r>
    </w:p>
    <w:p w14:paraId="4D176A91" w14:textId="02A94C11" w:rsidR="00B37EDE" w:rsidRDefault="00B37EDE" w:rsidP="00B37EDE">
      <w:pPr>
        <w:pStyle w:val="ListParagraph"/>
        <w:numPr>
          <w:ilvl w:val="1"/>
          <w:numId w:val="1"/>
        </w:numPr>
      </w:pPr>
      <w:r>
        <w:t>The depth of market penetration of products associated with π’s mark</w:t>
      </w:r>
    </w:p>
    <w:p w14:paraId="70763A59" w14:textId="114A5F4E" w:rsidR="00B37EDE" w:rsidRDefault="00B37EDE" w:rsidP="00B37EDE">
      <w:pPr>
        <w:pStyle w:val="ListParagraph"/>
        <w:numPr>
          <w:ilvl w:val="1"/>
          <w:numId w:val="1"/>
        </w:numPr>
      </w:pPr>
      <w:r>
        <w:t>The extent and duration of advertising and publicity accorded π’s mark</w:t>
      </w:r>
    </w:p>
    <w:p w14:paraId="1897C417" w14:textId="0D368CAE" w:rsidR="00B37EDE" w:rsidRDefault="00B37EDE" w:rsidP="00B37EDE">
      <w:pPr>
        <w:pStyle w:val="ListParagraph"/>
        <w:numPr>
          <w:ilvl w:val="1"/>
          <w:numId w:val="1"/>
        </w:numPr>
      </w:pPr>
      <w:r>
        <w:t>The geographic reach of π’s mark</w:t>
      </w:r>
    </w:p>
    <w:p w14:paraId="228CC38C" w14:textId="3EAF8758" w:rsidR="00B37EDE" w:rsidRDefault="00B37EDE" w:rsidP="00B37EDE">
      <w:pPr>
        <w:pStyle w:val="ListParagraph"/>
        <w:numPr>
          <w:ilvl w:val="1"/>
          <w:numId w:val="1"/>
        </w:numPr>
      </w:pPr>
      <w:r>
        <w:t>The mark’s degree of inherent or acquired distinctiveness</w:t>
      </w:r>
    </w:p>
    <w:p w14:paraId="615CC2F1" w14:textId="587E9A5A" w:rsidR="00B37EDE" w:rsidRDefault="00B37EDE" w:rsidP="00B37EDE">
      <w:pPr>
        <w:pStyle w:val="ListParagraph"/>
        <w:numPr>
          <w:ilvl w:val="1"/>
          <w:numId w:val="1"/>
        </w:numPr>
      </w:pPr>
      <w:r>
        <w:t>Whether products associated with the mark are confined to a narrow or specialized channel of trade</w:t>
      </w:r>
    </w:p>
    <w:p w14:paraId="6EE8151B" w14:textId="7A2EEC2F" w:rsidR="00B37EDE" w:rsidRDefault="00B37EDE" w:rsidP="00B37EDE">
      <w:pPr>
        <w:pStyle w:val="ListParagraph"/>
        <w:numPr>
          <w:ilvl w:val="1"/>
          <w:numId w:val="1"/>
        </w:numPr>
      </w:pPr>
      <w:r>
        <w:t xml:space="preserve">The extent to which the mark is </w:t>
      </w:r>
      <w:r w:rsidR="00357798">
        <w:t>identified</w:t>
      </w:r>
      <w:r>
        <w:t xml:space="preserve"> with a particular quality</w:t>
      </w:r>
    </w:p>
    <w:p w14:paraId="7527B8D0" w14:textId="73156B3A" w:rsidR="00357798" w:rsidRPr="00114994" w:rsidRDefault="00357798" w:rsidP="00357798">
      <w:pPr>
        <w:pStyle w:val="ListParagraph"/>
        <w:ind w:left="851"/>
      </w:pPr>
      <w:proofErr w:type="spellStart"/>
      <w:r w:rsidRPr="00357798">
        <w:rPr>
          <w:i/>
          <w:color w:val="FF0000"/>
        </w:rPr>
        <w:t>Veuve</w:t>
      </w:r>
      <w:proofErr w:type="spellEnd"/>
      <w:r>
        <w:t>: The court found there to clearly be considerable goodwill attaching to π’s mark, extending beyond wine and champagne</w:t>
      </w:r>
      <w:r w:rsidR="00213348">
        <w:t xml:space="preserve"> = established</w:t>
      </w:r>
    </w:p>
    <w:p w14:paraId="7B23F4F6" w14:textId="1A0F8A6E" w:rsidR="00F44D52" w:rsidRPr="00114994" w:rsidRDefault="00F44D52" w:rsidP="00F44D52">
      <w:pPr>
        <w:pStyle w:val="ListParagraph"/>
        <w:numPr>
          <w:ilvl w:val="0"/>
          <w:numId w:val="28"/>
        </w:numPr>
        <w:ind w:left="426"/>
        <w:rPr>
          <w:b/>
        </w:rPr>
      </w:pPr>
      <w:r>
        <w:rPr>
          <w:b/>
        </w:rPr>
        <w:t>Effect on goodwill:</w:t>
      </w:r>
      <w:r w:rsidR="008B31D5">
        <w:rPr>
          <w:i/>
        </w:rPr>
        <w:t xml:space="preserve"> Is π’s mark used in a manner likely to have an effect on that goodwill?</w:t>
      </w:r>
    </w:p>
    <w:p w14:paraId="492F7E29" w14:textId="77777777" w:rsidR="00357798" w:rsidRPr="00357798" w:rsidRDefault="0080506C" w:rsidP="00357798">
      <w:pPr>
        <w:pStyle w:val="ListParagraph"/>
        <w:ind w:left="851"/>
      </w:pPr>
      <w:r>
        <w:t xml:space="preserve">π must prove a connection or linkage made by </w:t>
      </w:r>
      <w:proofErr w:type="gramStart"/>
      <w:r>
        <w:t>consumers</w:t>
      </w:r>
      <w:proofErr w:type="gramEnd"/>
      <w:r>
        <w:t xml:space="preserve"> b/w π’s goodwill and ∆’s use of the mark</w:t>
      </w:r>
      <w:r w:rsidR="00357798" w:rsidRPr="00357798">
        <w:rPr>
          <w:i/>
          <w:color w:val="FF0000"/>
        </w:rPr>
        <w:t xml:space="preserve"> </w:t>
      </w:r>
    </w:p>
    <w:p w14:paraId="7CD78EE8" w14:textId="67EBCB36" w:rsidR="00357798" w:rsidRPr="00357798" w:rsidRDefault="00357798" w:rsidP="00357798">
      <w:pPr>
        <w:pStyle w:val="ListParagraph"/>
        <w:ind w:left="851"/>
      </w:pPr>
      <w:r>
        <w:t>If the somewhat-hurried consumer doesn’t associate the mark displayed by ∆ with π’s mark, there can be no impact on goodwill</w:t>
      </w:r>
    </w:p>
    <w:p w14:paraId="3431E2B4" w14:textId="7DC03ACE" w:rsidR="00114994" w:rsidRPr="00114994" w:rsidRDefault="00357798" w:rsidP="00357798">
      <w:pPr>
        <w:pStyle w:val="ListParagraph"/>
        <w:ind w:left="851"/>
      </w:pPr>
      <w:proofErr w:type="spellStart"/>
      <w:r w:rsidRPr="00357798">
        <w:rPr>
          <w:i/>
          <w:color w:val="FF0000"/>
        </w:rPr>
        <w:lastRenderedPageBreak/>
        <w:t>Veuve</w:t>
      </w:r>
      <w:proofErr w:type="spellEnd"/>
      <w:r>
        <w:t xml:space="preserve">: </w:t>
      </w:r>
      <w:r w:rsidRPr="00357798">
        <w:t>While</w:t>
      </w:r>
      <w:r>
        <w:t xml:space="preserve"> the </w:t>
      </w:r>
      <w:r w:rsidRPr="00213348">
        <w:t>halo effect</w:t>
      </w:r>
      <w:r w:rsidR="00213348" w:rsidRPr="00213348">
        <w:t>/</w:t>
      </w:r>
      <w:r w:rsidRPr="00213348">
        <w:t>aura</w:t>
      </w:r>
      <w:r>
        <w:rPr>
          <w:i/>
        </w:rPr>
        <w:t xml:space="preserve"> </w:t>
      </w:r>
      <w:r>
        <w:t xml:space="preserve">of VC </w:t>
      </w:r>
      <w:r>
        <w:rPr>
          <w:i/>
        </w:rPr>
        <w:t>could</w:t>
      </w:r>
      <w:r>
        <w:t xml:space="preserve"> have expanded more broadly into the luxury goods market, no witness suggested that the mark would be associ</w:t>
      </w:r>
      <w:r w:rsidR="00213348">
        <w:t>ated by ordinary consumers w/</w:t>
      </w:r>
      <w:r>
        <w:t>mid-priced women’s clothing</w:t>
      </w:r>
      <w:r w:rsidR="00213348">
        <w:t xml:space="preserve"> = not established</w:t>
      </w:r>
    </w:p>
    <w:p w14:paraId="28D71683" w14:textId="0CE4CE68" w:rsidR="00F44D52" w:rsidRPr="00F44D52" w:rsidRDefault="008B31D5" w:rsidP="00F44D52">
      <w:pPr>
        <w:pStyle w:val="ListParagraph"/>
        <w:numPr>
          <w:ilvl w:val="0"/>
          <w:numId w:val="28"/>
        </w:numPr>
        <w:ind w:left="426"/>
        <w:rPr>
          <w:b/>
        </w:rPr>
      </w:pPr>
      <w:r>
        <w:rPr>
          <w:b/>
        </w:rPr>
        <w:t>Damage</w:t>
      </w:r>
      <w:r w:rsidR="00F44D52">
        <w:rPr>
          <w:b/>
        </w:rPr>
        <w:t>:</w:t>
      </w:r>
      <w:r>
        <w:rPr>
          <w:i/>
        </w:rPr>
        <w:t xml:space="preserve"> Is the </w:t>
      </w:r>
      <w:r w:rsidRPr="000060F1">
        <w:rPr>
          <w:i/>
          <w:u w:val="single"/>
        </w:rPr>
        <w:t>likely</w:t>
      </w:r>
      <w:r>
        <w:rPr>
          <w:i/>
        </w:rPr>
        <w:t xml:space="preserve"> effect to depreciate the value of the goodwill?</w:t>
      </w:r>
    </w:p>
    <w:p w14:paraId="6A7F0CBB" w14:textId="7058C1D9" w:rsidR="00040D28" w:rsidRDefault="0080506C" w:rsidP="00114994">
      <w:pPr>
        <w:pStyle w:val="ListParagraph"/>
        <w:ind w:left="851"/>
      </w:pPr>
      <w:r>
        <w:rPr>
          <w:u w:val="single"/>
        </w:rPr>
        <w:t>Depreciate</w:t>
      </w:r>
      <w:r w:rsidR="00F35690">
        <w:t xml:space="preserve"> = lower the value of</w:t>
      </w:r>
      <w:r>
        <w:t>; disparage, belittle, underrate</w:t>
      </w:r>
      <w:r w:rsidR="00733EEF">
        <w:t xml:space="preserve"> (although these definitions are non-exhaustive)</w:t>
      </w:r>
    </w:p>
    <w:p w14:paraId="22777FF1" w14:textId="7CACD842" w:rsidR="0080506C" w:rsidRDefault="0080506C" w:rsidP="0080506C">
      <w:pPr>
        <w:pStyle w:val="ListParagraph"/>
        <w:numPr>
          <w:ilvl w:val="1"/>
          <w:numId w:val="1"/>
        </w:numPr>
      </w:pPr>
      <w:r>
        <w:t>Lower value = loss of distinctiveness; dilution (blurring of brand image)</w:t>
      </w:r>
    </w:p>
    <w:p w14:paraId="489E5197" w14:textId="5CCC35D4" w:rsidR="0080506C" w:rsidRDefault="00F35690" w:rsidP="0080506C">
      <w:pPr>
        <w:pStyle w:val="ListParagraph"/>
        <w:numPr>
          <w:ilvl w:val="1"/>
          <w:numId w:val="1"/>
        </w:numPr>
      </w:pPr>
      <w:r>
        <w:t xml:space="preserve">Disparage = tarnish; create </w:t>
      </w:r>
      <w:r w:rsidR="0080506C">
        <w:t>negative associations of</w:t>
      </w:r>
    </w:p>
    <w:p w14:paraId="61D1605F" w14:textId="015BF0E9" w:rsidR="000060F1" w:rsidRPr="000060F1" w:rsidRDefault="000060F1" w:rsidP="000060F1">
      <w:pPr>
        <w:pStyle w:val="ListParagraph"/>
        <w:ind w:left="851"/>
        <w:rPr>
          <w:i/>
        </w:rPr>
      </w:pPr>
      <w:proofErr w:type="spellStart"/>
      <w:r w:rsidRPr="000060F1">
        <w:rPr>
          <w:i/>
          <w:color w:val="FF0000"/>
        </w:rPr>
        <w:t>Veuve</w:t>
      </w:r>
      <w:proofErr w:type="spellEnd"/>
      <w:r>
        <w:t xml:space="preserve">: The appellants needed only to prove a </w:t>
      </w:r>
      <w:r>
        <w:rPr>
          <w:i/>
        </w:rPr>
        <w:t>likelihood</w:t>
      </w:r>
      <w:r>
        <w:t xml:space="preserve"> of depreciation, but there was nothing in the evidentiary record from which such a likelihood could be inferred</w:t>
      </w:r>
      <w:r w:rsidR="00213348">
        <w:t xml:space="preserve"> = not established</w:t>
      </w:r>
    </w:p>
    <w:p w14:paraId="597E4C42" w14:textId="26849930" w:rsidR="000060F1" w:rsidRDefault="000060F1" w:rsidP="000060F1">
      <w:pPr>
        <w:pStyle w:val="ListParagraph"/>
        <w:ind w:left="851"/>
        <w:rPr>
          <w:i/>
        </w:rPr>
      </w:pPr>
      <w:r w:rsidRPr="000060F1">
        <w:rPr>
          <w:i/>
          <w:color w:val="FF0000"/>
        </w:rPr>
        <w:t>Tiffany v Boston Club</w:t>
      </w:r>
      <w:r>
        <w:t xml:space="preserve">: In dealing with the case of a local restaurant called “Tiffany”, the court noted the risk of erosion of the public’s identification of the mark </w:t>
      </w:r>
      <w:r>
        <w:rPr>
          <w:i/>
        </w:rPr>
        <w:t>uniquely</w:t>
      </w:r>
      <w:r>
        <w:t xml:space="preserve"> with π’s jewellery and luxury business, thus diminishing its distinctiveness, uniqueness, effectiveness, and </w:t>
      </w:r>
      <w:r>
        <w:rPr>
          <w:b/>
          <w:u w:val="single"/>
        </w:rPr>
        <w:t>prestigious connotations</w:t>
      </w:r>
      <w:r w:rsidRPr="000060F1">
        <w:rPr>
          <w:i/>
        </w:rPr>
        <w:t xml:space="preserve"> </w:t>
      </w:r>
    </w:p>
    <w:p w14:paraId="47F5860D" w14:textId="6796430B" w:rsidR="00296472" w:rsidRDefault="00296472" w:rsidP="000060F1">
      <w:pPr>
        <w:pStyle w:val="ListParagraph"/>
        <w:ind w:left="851"/>
        <w:rPr>
          <w:i/>
        </w:rPr>
      </w:pPr>
      <w:r>
        <w:rPr>
          <w:i/>
          <w:color w:val="FF0000"/>
        </w:rPr>
        <w:t>Clairol</w:t>
      </w:r>
      <w:r w:rsidR="007A1EA8">
        <w:t>: The court noted the fact that, of all companies in the hair colour trade, ∆ only used π’s marks on its packages</w:t>
      </w:r>
    </w:p>
    <w:p w14:paraId="64970D74" w14:textId="77777777" w:rsidR="006F1968" w:rsidRPr="006F1968" w:rsidRDefault="006F1968" w:rsidP="006F1968">
      <w:pPr>
        <w:rPr>
          <w:i/>
          <w:sz w:val="8"/>
          <w:szCs w:val="8"/>
        </w:rPr>
      </w:pPr>
    </w:p>
    <w:p w14:paraId="7CF7DD64" w14:textId="7EED3C2B" w:rsidR="006F1968" w:rsidRPr="006F1968" w:rsidRDefault="006F1968" w:rsidP="006F1968">
      <w:proofErr w:type="spellStart"/>
      <w:r w:rsidRPr="006F1968">
        <w:rPr>
          <w:i/>
          <w:color w:val="FF0000"/>
        </w:rPr>
        <w:t>Veuve</w:t>
      </w:r>
      <w:proofErr w:type="spellEnd"/>
      <w:r>
        <w:t xml:space="preserve">: </w:t>
      </w:r>
      <w:proofErr w:type="spellStart"/>
      <w:r>
        <w:t>Veuve</w:t>
      </w:r>
      <w:proofErr w:type="spellEnd"/>
      <w:r>
        <w:t xml:space="preserve"> </w:t>
      </w:r>
      <w:proofErr w:type="spellStart"/>
      <w:r>
        <w:t>Clicquot</w:t>
      </w:r>
      <w:proofErr w:type="spellEnd"/>
      <w:r>
        <w:t xml:space="preserve"> (a high-end alcohol distributor) claimed that Boutiques </w:t>
      </w:r>
      <w:proofErr w:type="spellStart"/>
      <w:r>
        <w:t>Cliquot</w:t>
      </w:r>
      <w:proofErr w:type="spellEnd"/>
      <w:r>
        <w:t xml:space="preserve"> (mid-range women’s clothing stores) was diminishing its goodwill, and asserted that people would think the clothes and champagne originated from the same source. VC brought claims both under </w:t>
      </w:r>
      <w:r w:rsidRPr="006F1968">
        <w:rPr>
          <w:color w:val="0500FF"/>
        </w:rPr>
        <w:t>ss20</w:t>
      </w:r>
      <w:r>
        <w:t xml:space="preserve"> and </w:t>
      </w:r>
      <w:r w:rsidRPr="006F1968">
        <w:rPr>
          <w:color w:val="0500FF"/>
        </w:rPr>
        <w:t>22</w:t>
      </w:r>
      <w:r>
        <w:t>—both of which failed.</w:t>
      </w:r>
    </w:p>
    <w:p w14:paraId="27184CA2" w14:textId="77777777" w:rsidR="00040D28" w:rsidRPr="00236151" w:rsidRDefault="00040D28" w:rsidP="00EB0EA0">
      <w:pPr>
        <w:rPr>
          <w:sz w:val="8"/>
          <w:szCs w:val="8"/>
        </w:rPr>
      </w:pPr>
    </w:p>
    <w:p w14:paraId="31278746" w14:textId="5376D708" w:rsidR="00236151" w:rsidRDefault="00BF6A88" w:rsidP="00236151">
      <w:pPr>
        <w:pStyle w:val="Heading2"/>
      </w:pPr>
      <w:bookmarkStart w:id="23" w:name="_Toc480804617"/>
      <w:r>
        <w:t>DEFENCES to TRADE-MARK INFRINGEMENT</w:t>
      </w:r>
      <w:bookmarkEnd w:id="23"/>
    </w:p>
    <w:p w14:paraId="6A40AF80" w14:textId="09D39C9D" w:rsidR="00040D28" w:rsidRDefault="00BF6A88" w:rsidP="00B457D1">
      <w:pPr>
        <w:pStyle w:val="ListParagraph"/>
        <w:numPr>
          <w:ilvl w:val="0"/>
          <w:numId w:val="30"/>
        </w:numPr>
        <w:ind w:left="426"/>
      </w:pPr>
      <w:r>
        <w:t xml:space="preserve">Challenge the validity of </w:t>
      </w:r>
      <w:r w:rsidR="00AC011F">
        <w:t>π’s</w:t>
      </w:r>
      <w:r>
        <w:t xml:space="preserve"> TM via </w:t>
      </w:r>
      <w:r w:rsidRPr="00B457D1">
        <w:rPr>
          <w:color w:val="0500FF"/>
        </w:rPr>
        <w:t>s18</w:t>
      </w:r>
      <w:r w:rsidR="00B457D1">
        <w:t xml:space="preserve">, which says that </w:t>
      </w:r>
      <w:r w:rsidR="00AC011F">
        <w:t>a TM registration</w:t>
      </w:r>
      <w:r w:rsidR="00B457D1">
        <w:t xml:space="preserve"> is invalid if</w:t>
      </w:r>
      <w:r w:rsidR="00AC011F">
        <w:t xml:space="preserve"> (see: expungement via </w:t>
      </w:r>
      <w:r w:rsidR="00AC011F" w:rsidRPr="00AC011F">
        <w:rPr>
          <w:color w:val="0500FF"/>
        </w:rPr>
        <w:t>s57</w:t>
      </w:r>
      <w:r w:rsidR="00AC011F">
        <w:t>)</w:t>
      </w:r>
      <w:r w:rsidR="00B457D1">
        <w:t>:</w:t>
      </w:r>
    </w:p>
    <w:p w14:paraId="58932385" w14:textId="559A3022" w:rsidR="00B457D1" w:rsidRDefault="00B457D1" w:rsidP="00AC011F">
      <w:pPr>
        <w:pStyle w:val="ListParagraph"/>
        <w:numPr>
          <w:ilvl w:val="0"/>
          <w:numId w:val="31"/>
        </w:numPr>
        <w:ind w:left="993"/>
      </w:pPr>
      <w:r>
        <w:t>The TM wasn’t registrable at the date of registration</w:t>
      </w:r>
    </w:p>
    <w:p w14:paraId="030E45D8" w14:textId="25FA31D4" w:rsidR="00B457D1" w:rsidRDefault="00B457D1" w:rsidP="00AC011F">
      <w:pPr>
        <w:pStyle w:val="ListParagraph"/>
        <w:numPr>
          <w:ilvl w:val="0"/>
          <w:numId w:val="31"/>
        </w:numPr>
        <w:ind w:left="993"/>
      </w:pPr>
      <w:r>
        <w:t xml:space="preserve">The TM isn’t distinctive </w:t>
      </w:r>
    </w:p>
    <w:p w14:paraId="1C132835" w14:textId="58771D95" w:rsidR="00B457D1" w:rsidRDefault="00B457D1" w:rsidP="00AC011F">
      <w:pPr>
        <w:pStyle w:val="ListParagraph"/>
        <w:numPr>
          <w:ilvl w:val="0"/>
          <w:numId w:val="31"/>
        </w:numPr>
        <w:ind w:left="993"/>
      </w:pPr>
      <w:r>
        <w:t>The TM has been abandoned</w:t>
      </w:r>
      <w:r w:rsidR="00AC011F">
        <w:t>, or</w:t>
      </w:r>
    </w:p>
    <w:p w14:paraId="2E504516" w14:textId="45818E50" w:rsidR="00AC011F" w:rsidRDefault="00AC011F" w:rsidP="00AC011F">
      <w:pPr>
        <w:pStyle w:val="ListParagraph"/>
        <w:numPr>
          <w:ilvl w:val="0"/>
          <w:numId w:val="31"/>
        </w:numPr>
        <w:ind w:left="993"/>
      </w:pPr>
      <w:r>
        <w:t>The applicant wasn’t the person entitled to register the TM</w:t>
      </w:r>
    </w:p>
    <w:p w14:paraId="13582CDF" w14:textId="162BD8A7" w:rsidR="00B457D1" w:rsidRDefault="00B457D1" w:rsidP="00B457D1">
      <w:pPr>
        <w:pStyle w:val="ListParagraph"/>
        <w:numPr>
          <w:ilvl w:val="0"/>
          <w:numId w:val="30"/>
        </w:numPr>
        <w:ind w:left="426"/>
      </w:pPr>
      <w:r>
        <w:t xml:space="preserve">Rely on </w:t>
      </w:r>
      <w:r w:rsidRPr="00B457D1">
        <w:rPr>
          <w:color w:val="0500FF"/>
        </w:rPr>
        <w:t xml:space="preserve">s21 </w:t>
      </w:r>
      <w:r>
        <w:t xml:space="preserve">and argue that ∆ was using a confusing mark in good faith in a way that wasn’t contrary to the public interest, and ask the court to carve out space for ∆’s continuing use of the mark (there must be an </w:t>
      </w:r>
      <w:r>
        <w:rPr>
          <w:i/>
        </w:rPr>
        <w:t>adequate specified distinction</w:t>
      </w:r>
      <w:r>
        <w:t xml:space="preserve"> from the registered TM)</w:t>
      </w:r>
      <w:r w:rsidR="00AC011F">
        <w:t xml:space="preserve"> (see: infringement under </w:t>
      </w:r>
      <w:r w:rsidR="00AC011F" w:rsidRPr="00AC011F">
        <w:rPr>
          <w:color w:val="0500FF"/>
        </w:rPr>
        <w:t>s19</w:t>
      </w:r>
      <w:r w:rsidR="00AC011F">
        <w:t>)</w:t>
      </w:r>
    </w:p>
    <w:p w14:paraId="4038EA11" w14:textId="5DAD06E5" w:rsidR="00BF6A88" w:rsidRDefault="00BF6A88" w:rsidP="00B457D1">
      <w:pPr>
        <w:pStyle w:val="ListParagraph"/>
        <w:numPr>
          <w:ilvl w:val="0"/>
          <w:numId w:val="30"/>
        </w:numPr>
        <w:ind w:left="426"/>
      </w:pPr>
      <w:r>
        <w:t>Argue that the mark should be cancelled on the basis of non-use</w:t>
      </w:r>
      <w:r w:rsidR="00B457D1">
        <w:t xml:space="preserve"> (</w:t>
      </w:r>
      <w:r w:rsidR="00AC011F">
        <w:t xml:space="preserve">see: </w:t>
      </w:r>
      <w:r w:rsidR="00B457D1">
        <w:t xml:space="preserve">expungement via </w:t>
      </w:r>
      <w:r w:rsidR="00B457D1" w:rsidRPr="00B457D1">
        <w:rPr>
          <w:color w:val="0500FF"/>
        </w:rPr>
        <w:t>s45</w:t>
      </w:r>
      <w:r w:rsidR="00B457D1">
        <w:t>)</w:t>
      </w:r>
    </w:p>
    <w:p w14:paraId="4152B23A" w14:textId="2D262D13" w:rsidR="00B457D1" w:rsidRDefault="00B457D1" w:rsidP="00B457D1">
      <w:pPr>
        <w:pStyle w:val="ListParagraph"/>
        <w:numPr>
          <w:ilvl w:val="0"/>
          <w:numId w:val="30"/>
        </w:numPr>
        <w:ind w:left="426"/>
      </w:pPr>
      <w:r>
        <w:t xml:space="preserve">Rely on </w:t>
      </w:r>
      <w:r w:rsidRPr="00B457D1">
        <w:rPr>
          <w:color w:val="0500FF"/>
        </w:rPr>
        <w:t>s20(1.1)</w:t>
      </w:r>
      <w:r>
        <w:t>, and argue that ∆ was:</w:t>
      </w:r>
    </w:p>
    <w:p w14:paraId="0CCA9005" w14:textId="5B993559" w:rsidR="00B457D1" w:rsidRDefault="00B457D1" w:rsidP="00B457D1">
      <w:pPr>
        <w:pStyle w:val="ListParagraph"/>
        <w:ind w:left="851"/>
      </w:pPr>
      <w:r>
        <w:t xml:space="preserve">Making </w:t>
      </w:r>
      <w:r>
        <w:rPr>
          <w:i/>
        </w:rPr>
        <w:t xml:space="preserve">bona fide </w:t>
      </w:r>
      <w:r>
        <w:t>use of his own personal name as a trade-name [</w:t>
      </w:r>
      <w:r>
        <w:rPr>
          <w:color w:val="0500FF"/>
        </w:rPr>
        <w:t>20(</w:t>
      </w:r>
      <w:proofErr w:type="gramStart"/>
      <w:r>
        <w:rPr>
          <w:color w:val="0500FF"/>
        </w:rPr>
        <w:t>1.1)(</w:t>
      </w:r>
      <w:proofErr w:type="gramEnd"/>
      <w:r>
        <w:rPr>
          <w:color w:val="0500FF"/>
        </w:rPr>
        <w:t>a)</w:t>
      </w:r>
      <w:r>
        <w:t>]</w:t>
      </w:r>
    </w:p>
    <w:p w14:paraId="3F217FCD" w14:textId="46A8FA5A" w:rsidR="00BF6A88" w:rsidRDefault="00B457D1" w:rsidP="00B457D1">
      <w:pPr>
        <w:pStyle w:val="ListParagraph"/>
        <w:ind w:left="851"/>
      </w:pPr>
      <w:r>
        <w:t>Making</w:t>
      </w:r>
      <w:r>
        <w:rPr>
          <w:i/>
        </w:rPr>
        <w:t xml:space="preserve"> bona fide </w:t>
      </w:r>
      <w:r>
        <w:t>use of the geographical name of his business (but not as a TM) [</w:t>
      </w:r>
      <w:r>
        <w:rPr>
          <w:color w:val="0500FF"/>
        </w:rPr>
        <w:t>20(</w:t>
      </w:r>
      <w:proofErr w:type="gramStart"/>
      <w:r>
        <w:rPr>
          <w:color w:val="0500FF"/>
        </w:rPr>
        <w:t>1.1)(</w:t>
      </w:r>
      <w:proofErr w:type="gramEnd"/>
      <w:r>
        <w:rPr>
          <w:color w:val="0500FF"/>
        </w:rPr>
        <w:t>a)</w:t>
      </w:r>
      <w:r>
        <w:t>]</w:t>
      </w:r>
    </w:p>
    <w:p w14:paraId="67C89A0A" w14:textId="067EB9C2" w:rsidR="00B457D1" w:rsidRPr="00BF6A88" w:rsidRDefault="00B457D1" w:rsidP="00B457D1">
      <w:pPr>
        <w:pStyle w:val="ListParagraph"/>
        <w:ind w:left="851"/>
      </w:pPr>
      <w:r>
        <w:t xml:space="preserve">Making </w:t>
      </w:r>
      <w:r>
        <w:rPr>
          <w:i/>
        </w:rPr>
        <w:t>bona fide</w:t>
      </w:r>
      <w:r>
        <w:t xml:space="preserve"> use of any accurate description of the character/quality of his goods/services [</w:t>
      </w:r>
      <w:r>
        <w:rPr>
          <w:color w:val="0500FF"/>
        </w:rPr>
        <w:t>20(</w:t>
      </w:r>
      <w:proofErr w:type="gramStart"/>
      <w:r>
        <w:rPr>
          <w:color w:val="0500FF"/>
        </w:rPr>
        <w:t>1.1)(</w:t>
      </w:r>
      <w:proofErr w:type="gramEnd"/>
      <w:r>
        <w:rPr>
          <w:color w:val="0500FF"/>
        </w:rPr>
        <w:t>b)</w:t>
      </w:r>
      <w:r>
        <w:t>]</w:t>
      </w:r>
    </w:p>
    <w:p w14:paraId="11243DB4" w14:textId="77777777" w:rsidR="00BF6A88" w:rsidRPr="00B13598" w:rsidRDefault="00BF6A88" w:rsidP="00B457D1">
      <w:pPr>
        <w:rPr>
          <w:sz w:val="8"/>
          <w:szCs w:val="8"/>
        </w:rPr>
      </w:pPr>
    </w:p>
    <w:p w14:paraId="4C597BD2" w14:textId="77777777" w:rsidR="00BF6A88" w:rsidRDefault="00BF6A88" w:rsidP="00BF6A88">
      <w:pPr>
        <w:pStyle w:val="Heading2"/>
      </w:pPr>
      <w:bookmarkStart w:id="24" w:name="_Toc480804618"/>
      <w:r>
        <w:t>REMEDIES</w:t>
      </w:r>
      <w:bookmarkEnd w:id="24"/>
    </w:p>
    <w:p w14:paraId="3CB01612" w14:textId="4207EEE8" w:rsidR="00BF6A88" w:rsidRDefault="00B13598" w:rsidP="00EB0EA0">
      <w:r>
        <w:t xml:space="preserve">Under </w:t>
      </w:r>
      <w:r w:rsidRPr="00B13598">
        <w:rPr>
          <w:color w:val="0500FF"/>
        </w:rPr>
        <w:t>s53.2(1)</w:t>
      </w:r>
      <w:r>
        <w:t xml:space="preserve">, the court may make any order it considers appropriate if it’s satisfied, on the application of any </w:t>
      </w:r>
      <w:r w:rsidRPr="00B13598">
        <w:rPr>
          <w:b/>
        </w:rPr>
        <w:t>interested person</w:t>
      </w:r>
      <w:r>
        <w:t xml:space="preserve">, that any act has been done contrary to the </w:t>
      </w:r>
      <w:r w:rsidRPr="00B13598">
        <w:rPr>
          <w:i/>
          <w:color w:val="0500FF"/>
        </w:rPr>
        <w:t>TA</w:t>
      </w:r>
      <w:r>
        <w:t>. Potential orders include those providing for relief by way of:</w:t>
      </w:r>
    </w:p>
    <w:p w14:paraId="16547B39" w14:textId="4A856010" w:rsidR="00B13598" w:rsidRDefault="00B13598" w:rsidP="00B13598">
      <w:pPr>
        <w:pStyle w:val="ListParagraph"/>
        <w:rPr>
          <w:b/>
          <w:i/>
        </w:rPr>
      </w:pPr>
      <w:proofErr w:type="spellStart"/>
      <w:r w:rsidRPr="00B13598">
        <w:rPr>
          <w:b/>
          <w:i/>
        </w:rPr>
        <w:t>inJx</w:t>
      </w:r>
      <w:proofErr w:type="spellEnd"/>
      <w:r w:rsidRPr="00B13598">
        <w:rPr>
          <w:b/>
          <w:i/>
        </w:rPr>
        <w:t xml:space="preserve"> </w:t>
      </w:r>
    </w:p>
    <w:p w14:paraId="79C317DB" w14:textId="585830E1" w:rsidR="00B13598" w:rsidRPr="00B13598" w:rsidRDefault="00B13598" w:rsidP="00B13598">
      <w:pPr>
        <w:pStyle w:val="ListParagraph"/>
        <w:numPr>
          <w:ilvl w:val="1"/>
          <w:numId w:val="1"/>
        </w:numPr>
        <w:ind w:left="993"/>
        <w:rPr>
          <w:b/>
          <w:i/>
        </w:rPr>
      </w:pPr>
      <w:r>
        <w:rPr>
          <w:i/>
        </w:rPr>
        <w:t>Interlocutory</w:t>
      </w:r>
      <w:r>
        <w:t xml:space="preserve"> </w:t>
      </w:r>
      <w:r>
        <w:sym w:font="Wingdings" w:char="F0E0"/>
      </w:r>
      <w:r>
        <w:t xml:space="preserve"> may be sought prior to trial in order to prevent activities that would cause irreparable harm to π </w:t>
      </w:r>
    </w:p>
    <w:p w14:paraId="4A58180E" w14:textId="56E29367" w:rsidR="00B13598" w:rsidRPr="00B13598" w:rsidRDefault="00B13598" w:rsidP="00B13598">
      <w:pPr>
        <w:pStyle w:val="ListParagraph"/>
        <w:numPr>
          <w:ilvl w:val="1"/>
          <w:numId w:val="1"/>
        </w:numPr>
        <w:ind w:left="993"/>
        <w:rPr>
          <w:b/>
          <w:i/>
        </w:rPr>
      </w:pPr>
      <w:r>
        <w:rPr>
          <w:i/>
        </w:rPr>
        <w:t xml:space="preserve">Permanent </w:t>
      </w:r>
      <w:r>
        <w:sym w:font="Wingdings" w:char="F0E0"/>
      </w:r>
      <w:r>
        <w:t xml:space="preserve"> can be ordered at the close of a trial (e.g. order ∆ to cease activities found to be infringing)</w:t>
      </w:r>
    </w:p>
    <w:p w14:paraId="770E348E" w14:textId="4D97A4B3" w:rsidR="00B13598" w:rsidRPr="00B13598" w:rsidRDefault="00B13598" w:rsidP="00B13598">
      <w:pPr>
        <w:pStyle w:val="ListParagraph"/>
        <w:rPr>
          <w:b/>
          <w:i/>
        </w:rPr>
      </w:pPr>
      <w:r w:rsidRPr="00B13598">
        <w:rPr>
          <w:b/>
          <w:i/>
        </w:rPr>
        <w:t>Damages</w:t>
      </w:r>
      <w:r>
        <w:rPr>
          <w:b/>
        </w:rPr>
        <w:t xml:space="preserve"> </w:t>
      </w:r>
      <w:r>
        <w:t>(compensation for lost sales, depreciation of goodwill, loss of control of reputation—difficult to quantify)</w:t>
      </w:r>
    </w:p>
    <w:p w14:paraId="4D3DCA1B" w14:textId="3458D35D" w:rsidR="00B13598" w:rsidRPr="00B13598" w:rsidRDefault="00B13598" w:rsidP="00B13598">
      <w:pPr>
        <w:pStyle w:val="ListParagraph"/>
        <w:numPr>
          <w:ilvl w:val="1"/>
          <w:numId w:val="1"/>
        </w:numPr>
        <w:ind w:left="993"/>
        <w:rPr>
          <w:b/>
          <w:i/>
        </w:rPr>
      </w:pPr>
      <w:r>
        <w:rPr>
          <w:i/>
        </w:rPr>
        <w:t xml:space="preserve">Punitive </w:t>
      </w:r>
      <w:r>
        <w:sym w:font="Wingdings" w:char="F0E0"/>
      </w:r>
      <w:r>
        <w:t xml:space="preserve"> only available in certain circumstances, usually based on ∆’s conduct</w:t>
      </w:r>
    </w:p>
    <w:p w14:paraId="7703105D" w14:textId="29549140" w:rsidR="00B13598" w:rsidRPr="00B13598" w:rsidRDefault="00B13598" w:rsidP="00B13598">
      <w:pPr>
        <w:pStyle w:val="ListParagraph"/>
        <w:rPr>
          <w:b/>
          <w:i/>
        </w:rPr>
      </w:pPr>
      <w:r w:rsidRPr="00B13598">
        <w:rPr>
          <w:b/>
          <w:i/>
        </w:rPr>
        <w:t>Accounting of profits</w:t>
      </w:r>
      <w:r>
        <w:t xml:space="preserve"> (alternative to damages)</w:t>
      </w:r>
    </w:p>
    <w:p w14:paraId="13B38C71" w14:textId="3D5E5398" w:rsidR="00B13598" w:rsidRPr="00B13598" w:rsidRDefault="00B13598" w:rsidP="00B13598">
      <w:pPr>
        <w:pStyle w:val="ListParagraph"/>
        <w:rPr>
          <w:b/>
          <w:i/>
        </w:rPr>
      </w:pPr>
      <w:r w:rsidRPr="00B13598">
        <w:rPr>
          <w:b/>
          <w:i/>
        </w:rPr>
        <w:t xml:space="preserve">Destruction </w:t>
      </w:r>
      <w:r>
        <w:rPr>
          <w:b/>
          <w:i/>
        </w:rPr>
        <w:t xml:space="preserve">or other disposition </w:t>
      </w:r>
      <w:r w:rsidRPr="00B13598">
        <w:rPr>
          <w:b/>
          <w:i/>
        </w:rPr>
        <w:t xml:space="preserve">of </w:t>
      </w:r>
      <w:r>
        <w:rPr>
          <w:b/>
          <w:i/>
        </w:rPr>
        <w:t xml:space="preserve">offending </w:t>
      </w:r>
      <w:r w:rsidRPr="00B13598">
        <w:rPr>
          <w:b/>
          <w:i/>
        </w:rPr>
        <w:t>materials</w:t>
      </w:r>
      <w:r>
        <w:t xml:space="preserve"> </w:t>
      </w:r>
    </w:p>
    <w:p w14:paraId="566825A7" w14:textId="37D32ACF" w:rsidR="00B13598" w:rsidRPr="00B13598" w:rsidRDefault="00B13598" w:rsidP="00B13598">
      <w:pPr>
        <w:pStyle w:val="ListParagraph"/>
        <w:rPr>
          <w:b/>
          <w:i/>
        </w:rPr>
      </w:pPr>
      <w:r w:rsidRPr="00B13598">
        <w:rPr>
          <w:b/>
          <w:i/>
        </w:rPr>
        <w:t>Removal of offending mark from wares</w:t>
      </w:r>
    </w:p>
    <w:p w14:paraId="6D502CCA" w14:textId="3B1E108E" w:rsidR="00B13598" w:rsidRDefault="00B13598" w:rsidP="00B13598">
      <w:pPr>
        <w:pStyle w:val="ListParagraph"/>
        <w:rPr>
          <w:b/>
          <w:i/>
        </w:rPr>
      </w:pPr>
      <w:r w:rsidRPr="00B13598">
        <w:rPr>
          <w:b/>
          <w:i/>
        </w:rPr>
        <w:t>Concealment of mark on wares</w:t>
      </w:r>
    </w:p>
    <w:p w14:paraId="66B9C12A" w14:textId="77777777" w:rsidR="00B13598" w:rsidRPr="00D9060A" w:rsidRDefault="00B13598" w:rsidP="00B13598">
      <w:pPr>
        <w:rPr>
          <w:b/>
          <w:i/>
          <w:sz w:val="8"/>
          <w:szCs w:val="8"/>
        </w:rPr>
      </w:pPr>
    </w:p>
    <w:p w14:paraId="27965ECF" w14:textId="690F147F" w:rsidR="00D9060A" w:rsidRDefault="00B13598" w:rsidP="00D9060A">
      <w:r w:rsidRPr="00D9060A">
        <w:rPr>
          <w:color w:val="0500FF"/>
        </w:rPr>
        <w:t>s2</w:t>
      </w:r>
      <w:r>
        <w:t xml:space="preserve"> defines an “</w:t>
      </w:r>
      <w:r>
        <w:rPr>
          <w:b/>
        </w:rPr>
        <w:t>interested person</w:t>
      </w:r>
      <w:r>
        <w:t xml:space="preserve">” as someone who </w:t>
      </w:r>
      <w:r w:rsidR="00D9060A">
        <w:t xml:space="preserve">is affected or reasonably apprehends that he may be affected by any entry in the register, or by any act/omission contrary to the </w:t>
      </w:r>
      <w:r w:rsidR="00D9060A" w:rsidRPr="00D9060A">
        <w:rPr>
          <w:i/>
          <w:color w:val="0500FF"/>
        </w:rPr>
        <w:t>TA</w:t>
      </w:r>
      <w:r w:rsidR="00D9060A">
        <w:t>.</w:t>
      </w:r>
    </w:p>
    <w:p w14:paraId="02924BBE" w14:textId="77777777" w:rsidR="00D9060A" w:rsidRPr="00D9060A" w:rsidRDefault="00D9060A" w:rsidP="00D9060A">
      <w:pPr>
        <w:rPr>
          <w:sz w:val="8"/>
          <w:szCs w:val="8"/>
        </w:rPr>
      </w:pPr>
    </w:p>
    <w:p w14:paraId="41707850" w14:textId="3DB29415" w:rsidR="00D9060A" w:rsidRDefault="00D9060A" w:rsidP="00D9060A">
      <w:r>
        <w:t xml:space="preserve">From </w:t>
      </w:r>
      <w:r w:rsidRPr="00D9060A">
        <w:rPr>
          <w:color w:val="0500FF"/>
        </w:rPr>
        <w:t>s55</w:t>
      </w:r>
      <w:r>
        <w:t xml:space="preserve">, we know that the </w:t>
      </w:r>
      <w:r>
        <w:rPr>
          <w:b/>
        </w:rPr>
        <w:t>Federal Court</w:t>
      </w:r>
      <w:r>
        <w:t xml:space="preserve"> has the Jx for any proceeding, including remedies.</w:t>
      </w:r>
    </w:p>
    <w:p w14:paraId="13FF46AF" w14:textId="77777777" w:rsidR="00D9060A" w:rsidRPr="00D9060A" w:rsidRDefault="00D9060A" w:rsidP="00D9060A">
      <w:pPr>
        <w:rPr>
          <w:sz w:val="8"/>
          <w:szCs w:val="8"/>
        </w:rPr>
      </w:pPr>
    </w:p>
    <w:p w14:paraId="2262B669" w14:textId="28DAAE9A" w:rsidR="008B64DE" w:rsidRPr="00D9060A" w:rsidRDefault="00D9060A" w:rsidP="008B64DE">
      <w:r w:rsidRPr="00D9060A">
        <w:rPr>
          <w:color w:val="0500FF"/>
        </w:rPr>
        <w:t>s56</w:t>
      </w:r>
      <w:r>
        <w:t xml:space="preserve"> allows someone to </w:t>
      </w:r>
      <w:r w:rsidRPr="00D9060A">
        <w:rPr>
          <w:b/>
        </w:rPr>
        <w:t>appeal</w:t>
      </w:r>
      <w:r>
        <w:t xml:space="preserve"> any decision of the Registrar within 2mo of receiving notice—the court has discretion here.</w:t>
      </w:r>
    </w:p>
    <w:sectPr w:rsidR="008B64DE" w:rsidRPr="00D9060A" w:rsidSect="000161E0">
      <w:pgSz w:w="12240" w:h="15840"/>
      <w:pgMar w:top="1048" w:right="877" w:bottom="1440" w:left="87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52543" w14:textId="77777777" w:rsidR="00413FAD" w:rsidRDefault="00413FAD" w:rsidP="00CF5DC4">
      <w:r>
        <w:separator/>
      </w:r>
    </w:p>
  </w:endnote>
  <w:endnote w:type="continuationSeparator" w:id="0">
    <w:p w14:paraId="1CC03B40" w14:textId="77777777" w:rsidR="00413FAD" w:rsidRDefault="00413FAD" w:rsidP="00CF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5D7A4" w14:textId="77777777" w:rsidR="00413FAD" w:rsidRDefault="00413FAD" w:rsidP="00CF5DC4">
      <w:r>
        <w:separator/>
      </w:r>
    </w:p>
  </w:footnote>
  <w:footnote w:type="continuationSeparator" w:id="0">
    <w:p w14:paraId="3E8BE525" w14:textId="77777777" w:rsidR="00413FAD" w:rsidRDefault="00413FAD" w:rsidP="00CF5D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AFC"/>
    <w:multiLevelType w:val="hybridMultilevel"/>
    <w:tmpl w:val="BE4AB4FE"/>
    <w:lvl w:ilvl="0" w:tplc="336C30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C3A3C"/>
    <w:multiLevelType w:val="hybridMultilevel"/>
    <w:tmpl w:val="A87E6D8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C7D3EAA"/>
    <w:multiLevelType w:val="hybridMultilevel"/>
    <w:tmpl w:val="107236C0"/>
    <w:lvl w:ilvl="0" w:tplc="C8C6E8F8">
      <w:start w:val="1"/>
      <w:numFmt w:val="lowerLetter"/>
      <w:lvlText w:val="(%1)"/>
      <w:lvlJc w:val="left"/>
      <w:pPr>
        <w:ind w:left="786" w:hanging="360"/>
      </w:pPr>
      <w:rPr>
        <w:rFonts w:hint="default"/>
        <w:color w:val="05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DD4364D"/>
    <w:multiLevelType w:val="hybridMultilevel"/>
    <w:tmpl w:val="A80C8902"/>
    <w:lvl w:ilvl="0" w:tplc="4D8C5C3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B2CE2"/>
    <w:multiLevelType w:val="hybridMultilevel"/>
    <w:tmpl w:val="8A58BE9A"/>
    <w:lvl w:ilvl="0" w:tplc="69242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4472"/>
    <w:multiLevelType w:val="hybridMultilevel"/>
    <w:tmpl w:val="85186506"/>
    <w:lvl w:ilvl="0" w:tplc="E8886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16542"/>
    <w:multiLevelType w:val="hybridMultilevel"/>
    <w:tmpl w:val="2C7A95FA"/>
    <w:lvl w:ilvl="0" w:tplc="1D4ADEF4">
      <w:start w:val="1"/>
      <w:numFmt w:val="lowerLetter"/>
      <w:lvlText w:val="(%1)"/>
      <w:lvlJc w:val="left"/>
      <w:pPr>
        <w:ind w:left="786" w:hanging="360"/>
      </w:pPr>
      <w:rPr>
        <w:rFonts w:hint="default"/>
        <w:color w:val="05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1249B5"/>
    <w:multiLevelType w:val="hybridMultilevel"/>
    <w:tmpl w:val="E3BC5756"/>
    <w:lvl w:ilvl="0" w:tplc="CEFAE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C043A"/>
    <w:multiLevelType w:val="hybridMultilevel"/>
    <w:tmpl w:val="A600BB8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47854A6"/>
    <w:multiLevelType w:val="hybridMultilevel"/>
    <w:tmpl w:val="F5B26556"/>
    <w:lvl w:ilvl="0" w:tplc="014E7FA2">
      <w:start w:val="1"/>
      <w:numFmt w:val="bullet"/>
      <w:lvlText w:val=""/>
      <w:lvlJc w:val="left"/>
      <w:pPr>
        <w:ind w:left="720" w:hanging="360"/>
      </w:pPr>
      <w:rPr>
        <w:rFonts w:ascii="Symbol" w:hAnsi="Symbol" w:hint="default"/>
      </w:rPr>
    </w:lvl>
    <w:lvl w:ilvl="1" w:tplc="ABF8D7DA">
      <w:start w:val="1"/>
      <w:numFmt w:val="decimal"/>
      <w:lvlText w:val="%2."/>
      <w:lvlJc w:val="left"/>
      <w:pPr>
        <w:ind w:left="1440" w:hanging="360"/>
      </w:pPr>
      <w:rPr>
        <w:rFonts w:hint="default"/>
        <w:b/>
        <w:color w:val="auto"/>
      </w:rPr>
    </w:lvl>
    <w:lvl w:ilvl="2" w:tplc="70001CF2">
      <w:start w:val="1"/>
      <w:numFmt w:val="lowerRoman"/>
      <w:lvlText w:val="(%3)"/>
      <w:lvlJc w:val="left"/>
      <w:pPr>
        <w:ind w:left="2160" w:hanging="360"/>
      </w:pPr>
      <w:rPr>
        <w:rFonts w:hint="default"/>
        <w:b/>
        <w:color w:val="auto"/>
      </w:rPr>
    </w:lvl>
    <w:lvl w:ilvl="3" w:tplc="04090005">
      <w:start w:val="1"/>
      <w:numFmt w:val="bullet"/>
      <w:lvlText w:val=""/>
      <w:lvlJc w:val="left"/>
      <w:pPr>
        <w:ind w:left="2138" w:hanging="360"/>
      </w:pPr>
      <w:rPr>
        <w:rFonts w:ascii="Wingdings" w:hAnsi="Wingdings" w:hint="default"/>
      </w:rPr>
    </w:lvl>
    <w:lvl w:ilvl="4" w:tplc="0B88BB44">
      <w:start w:val="1"/>
      <w:numFmt w:val="lowerLetter"/>
      <w:lvlText w:val="(%5)"/>
      <w:lvlJc w:val="left"/>
      <w:pPr>
        <w:ind w:left="3600" w:hanging="360"/>
      </w:pPr>
      <w:rPr>
        <w:rFonts w:hint="default"/>
        <w:b w:val="0"/>
        <w:color w:val="0500FF"/>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F0A02"/>
    <w:multiLevelType w:val="hybridMultilevel"/>
    <w:tmpl w:val="348438D4"/>
    <w:lvl w:ilvl="0" w:tplc="64C68950">
      <w:start w:val="1"/>
      <w:numFmt w:val="lowerLetter"/>
      <w:lvlText w:val="(%1)"/>
      <w:lvlJc w:val="left"/>
      <w:pPr>
        <w:ind w:left="720" w:hanging="360"/>
      </w:pPr>
      <w:rPr>
        <w:rFonts w:hint="default"/>
        <w:color w:val="05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9E7BD8"/>
    <w:multiLevelType w:val="hybridMultilevel"/>
    <w:tmpl w:val="DEB8B262"/>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2">
    <w:nsid w:val="2C463A7A"/>
    <w:multiLevelType w:val="hybridMultilevel"/>
    <w:tmpl w:val="28BAE846"/>
    <w:lvl w:ilvl="0" w:tplc="04090005">
      <w:start w:val="1"/>
      <w:numFmt w:val="bullet"/>
      <w:lvlText w:val=""/>
      <w:lvlJc w:val="left"/>
      <w:pPr>
        <w:ind w:left="720" w:hanging="360"/>
      </w:pPr>
      <w:rPr>
        <w:rFonts w:ascii="Wingdings" w:hAnsi="Wingdings" w:hint="default"/>
      </w:rPr>
    </w:lvl>
    <w:lvl w:ilvl="1" w:tplc="E27AE2FA">
      <w:start w:val="1"/>
      <w:numFmt w:val="bullet"/>
      <w:lvlText w:val=""/>
      <w:lvlJc w:val="left"/>
      <w:pPr>
        <w:ind w:left="171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C7C9A"/>
    <w:multiLevelType w:val="hybridMultilevel"/>
    <w:tmpl w:val="AE2EAB12"/>
    <w:lvl w:ilvl="0" w:tplc="2F5A15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B5206"/>
    <w:multiLevelType w:val="hybridMultilevel"/>
    <w:tmpl w:val="C7C6A412"/>
    <w:lvl w:ilvl="0" w:tplc="B968477C">
      <w:start w:val="1"/>
      <w:numFmt w:val="decimal"/>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15">
    <w:nsid w:val="32EB0BB9"/>
    <w:multiLevelType w:val="hybridMultilevel"/>
    <w:tmpl w:val="070E24FE"/>
    <w:lvl w:ilvl="0" w:tplc="E27AE2FA">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A730567"/>
    <w:multiLevelType w:val="hybridMultilevel"/>
    <w:tmpl w:val="50820106"/>
    <w:lvl w:ilvl="0" w:tplc="835014C2">
      <w:start w:val="1"/>
      <w:numFmt w:val="lowerRoman"/>
      <w:lvlText w:val="(%1)"/>
      <w:lvlJc w:val="left"/>
      <w:pPr>
        <w:ind w:left="1996" w:hanging="720"/>
      </w:pPr>
      <w:rPr>
        <w:rFonts w:hint="default"/>
        <w:b w:val="0"/>
        <w:i w:val="0"/>
        <w:color w:val="0500FF"/>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A795A8F"/>
    <w:multiLevelType w:val="hybridMultilevel"/>
    <w:tmpl w:val="3A1ED904"/>
    <w:lvl w:ilvl="0" w:tplc="04090005">
      <w:start w:val="1"/>
      <w:numFmt w:val="bullet"/>
      <w:lvlText w:val=""/>
      <w:lvlJc w:val="left"/>
      <w:pPr>
        <w:ind w:left="1429" w:hanging="360"/>
      </w:pPr>
      <w:rPr>
        <w:rFonts w:ascii="Wingdings" w:hAnsi="Wingdings" w:hint="default"/>
      </w:rPr>
    </w:lvl>
    <w:lvl w:ilvl="1" w:tplc="E27AE2FA">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B390BB2"/>
    <w:multiLevelType w:val="hybridMultilevel"/>
    <w:tmpl w:val="2A0C8EBA"/>
    <w:lvl w:ilvl="0" w:tplc="014E7FA2">
      <w:start w:val="1"/>
      <w:numFmt w:val="bullet"/>
      <w:pStyle w:val="ListParagraph"/>
      <w:lvlText w:val=""/>
      <w:lvlJc w:val="left"/>
      <w:pPr>
        <w:ind w:left="720" w:hanging="360"/>
      </w:pPr>
      <w:rPr>
        <w:rFonts w:ascii="Symbol" w:hAnsi="Symbol" w:hint="default"/>
      </w:rPr>
    </w:lvl>
    <w:lvl w:ilvl="1" w:tplc="0658BB50">
      <w:start w:val="1"/>
      <w:numFmt w:val="bullet"/>
      <w:lvlText w:val="–"/>
      <w:lvlJc w:val="left"/>
      <w:pPr>
        <w:ind w:left="1440" w:hanging="360"/>
      </w:pPr>
      <w:rPr>
        <w:rFonts w:ascii="Arial" w:hAnsi="Arial" w:hint="default"/>
        <w:color w:val="auto"/>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3E4194"/>
    <w:multiLevelType w:val="hybridMultilevel"/>
    <w:tmpl w:val="A190B4F4"/>
    <w:lvl w:ilvl="0" w:tplc="89DE8624">
      <w:start w:val="1"/>
      <w:numFmt w:val="lowerLetter"/>
      <w:lvlText w:val="(%1)"/>
      <w:lvlJc w:val="left"/>
      <w:pPr>
        <w:ind w:left="720" w:hanging="360"/>
      </w:pPr>
      <w:rPr>
        <w:rFonts w:hint="default"/>
        <w:color w:val="05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23EC4"/>
    <w:multiLevelType w:val="hybridMultilevel"/>
    <w:tmpl w:val="1C925614"/>
    <w:lvl w:ilvl="0" w:tplc="99804B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D2C06"/>
    <w:multiLevelType w:val="hybridMultilevel"/>
    <w:tmpl w:val="4BDE0B28"/>
    <w:lvl w:ilvl="0" w:tplc="54862ECE">
      <w:start w:val="1"/>
      <w:numFmt w:val="lowerLetter"/>
      <w:lvlText w:val="(%1)"/>
      <w:lvlJc w:val="left"/>
      <w:pPr>
        <w:ind w:left="1069" w:hanging="360"/>
      </w:pPr>
      <w:rPr>
        <w:rFonts w:hint="default"/>
        <w:b w:val="0"/>
        <w:color w:val="0500FF"/>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CE04604"/>
    <w:multiLevelType w:val="hybridMultilevel"/>
    <w:tmpl w:val="BE9E2DB8"/>
    <w:lvl w:ilvl="0" w:tplc="3CCA5A1E">
      <w:start w:val="1"/>
      <w:numFmt w:val="lowerLetter"/>
      <w:lvlText w:val="(%1)"/>
      <w:lvlJc w:val="left"/>
      <w:pPr>
        <w:ind w:left="1069" w:hanging="360"/>
      </w:pPr>
      <w:rPr>
        <w:rFonts w:hint="default"/>
        <w:b w:val="0"/>
        <w:color w:val="0500FF"/>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68C34EA4"/>
    <w:multiLevelType w:val="hybridMultilevel"/>
    <w:tmpl w:val="BF3AA22E"/>
    <w:lvl w:ilvl="0" w:tplc="402A1440">
      <w:start w:val="1"/>
      <w:numFmt w:val="lowerLetter"/>
      <w:lvlText w:val="(%1)"/>
      <w:lvlJc w:val="left"/>
      <w:pPr>
        <w:ind w:left="720" w:hanging="360"/>
      </w:pPr>
      <w:rPr>
        <w:rFonts w:hint="default"/>
        <w:color w:val="05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0C009F"/>
    <w:multiLevelType w:val="hybridMultilevel"/>
    <w:tmpl w:val="7D74376A"/>
    <w:lvl w:ilvl="0" w:tplc="43744466">
      <w:start w:val="1"/>
      <w:numFmt w:val="lowerLetter"/>
      <w:lvlText w:val="(%1)"/>
      <w:lvlJc w:val="left"/>
      <w:pPr>
        <w:ind w:left="720" w:hanging="360"/>
      </w:pPr>
      <w:rPr>
        <w:rFonts w:hint="default"/>
        <w:b/>
        <w:color w:val="05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551458"/>
    <w:multiLevelType w:val="hybridMultilevel"/>
    <w:tmpl w:val="F9943B20"/>
    <w:lvl w:ilvl="0" w:tplc="A79A6AD8">
      <w:start w:val="1"/>
      <w:numFmt w:val="lowerLetter"/>
      <w:lvlText w:val="(%1)"/>
      <w:lvlJc w:val="left"/>
      <w:pPr>
        <w:ind w:left="1069" w:hanging="360"/>
      </w:pPr>
      <w:rPr>
        <w:rFonts w:hint="default"/>
        <w:b w:val="0"/>
        <w:i w:val="0"/>
        <w:color w:val="0500FF"/>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71A0499B"/>
    <w:multiLevelType w:val="hybridMultilevel"/>
    <w:tmpl w:val="D3F4EABE"/>
    <w:lvl w:ilvl="0" w:tplc="3BC2D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5F08CC"/>
    <w:multiLevelType w:val="hybridMultilevel"/>
    <w:tmpl w:val="958A39D4"/>
    <w:lvl w:ilvl="0" w:tplc="CE44BA52">
      <w:start w:val="1"/>
      <w:numFmt w:val="lowerLetter"/>
      <w:lvlText w:val="(%1)"/>
      <w:lvlJc w:val="left"/>
      <w:pPr>
        <w:ind w:left="644" w:hanging="360"/>
      </w:pPr>
      <w:rPr>
        <w:rFonts w:hint="default"/>
        <w:color w:val="0500FF"/>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8871D33"/>
    <w:multiLevelType w:val="hybridMultilevel"/>
    <w:tmpl w:val="B382137A"/>
    <w:lvl w:ilvl="0" w:tplc="B42C8036">
      <w:start w:val="2"/>
      <w:numFmt w:val="lowerLetter"/>
      <w:lvlText w:val="(%1)"/>
      <w:lvlJc w:val="left"/>
      <w:pPr>
        <w:ind w:left="144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FE47A0"/>
    <w:multiLevelType w:val="hybridMultilevel"/>
    <w:tmpl w:val="311C496E"/>
    <w:lvl w:ilvl="0" w:tplc="E27AE2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C52849"/>
    <w:multiLevelType w:val="hybridMultilevel"/>
    <w:tmpl w:val="C33A02E0"/>
    <w:lvl w:ilvl="0" w:tplc="58566C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7"/>
  </w:num>
  <w:num w:numId="4">
    <w:abstractNumId w:val="28"/>
  </w:num>
  <w:num w:numId="5">
    <w:abstractNumId w:val="30"/>
  </w:num>
  <w:num w:numId="6">
    <w:abstractNumId w:val="24"/>
  </w:num>
  <w:num w:numId="7">
    <w:abstractNumId w:val="14"/>
  </w:num>
  <w:num w:numId="8">
    <w:abstractNumId w:val="15"/>
  </w:num>
  <w:num w:numId="9">
    <w:abstractNumId w:val="10"/>
  </w:num>
  <w:num w:numId="10">
    <w:abstractNumId w:val="27"/>
  </w:num>
  <w:num w:numId="11">
    <w:abstractNumId w:val="23"/>
  </w:num>
  <w:num w:numId="12">
    <w:abstractNumId w:val="9"/>
  </w:num>
  <w:num w:numId="13">
    <w:abstractNumId w:val="11"/>
  </w:num>
  <w:num w:numId="14">
    <w:abstractNumId w:val="20"/>
  </w:num>
  <w:num w:numId="15">
    <w:abstractNumId w:val="22"/>
  </w:num>
  <w:num w:numId="16">
    <w:abstractNumId w:val="21"/>
  </w:num>
  <w:num w:numId="17">
    <w:abstractNumId w:val="25"/>
  </w:num>
  <w:num w:numId="18">
    <w:abstractNumId w:val="16"/>
  </w:num>
  <w:num w:numId="19">
    <w:abstractNumId w:val="5"/>
  </w:num>
  <w:num w:numId="20">
    <w:abstractNumId w:val="8"/>
  </w:num>
  <w:num w:numId="21">
    <w:abstractNumId w:val="19"/>
  </w:num>
  <w:num w:numId="22">
    <w:abstractNumId w:val="12"/>
  </w:num>
  <w:num w:numId="23">
    <w:abstractNumId w:val="2"/>
  </w:num>
  <w:num w:numId="24">
    <w:abstractNumId w:val="1"/>
  </w:num>
  <w:num w:numId="25">
    <w:abstractNumId w:val="17"/>
  </w:num>
  <w:num w:numId="26">
    <w:abstractNumId w:val="0"/>
  </w:num>
  <w:num w:numId="27">
    <w:abstractNumId w:val="29"/>
  </w:num>
  <w:num w:numId="28">
    <w:abstractNumId w:val="4"/>
  </w:num>
  <w:num w:numId="29">
    <w:abstractNumId w:val="3"/>
  </w:num>
  <w:num w:numId="30">
    <w:abstractNumId w:val="26"/>
  </w:num>
  <w:num w:numId="31">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E0"/>
    <w:rsid w:val="00000463"/>
    <w:rsid w:val="00001B65"/>
    <w:rsid w:val="000045AA"/>
    <w:rsid w:val="000056EF"/>
    <w:rsid w:val="000060F1"/>
    <w:rsid w:val="000123FF"/>
    <w:rsid w:val="00012EFF"/>
    <w:rsid w:val="000161E0"/>
    <w:rsid w:val="00017ACB"/>
    <w:rsid w:val="000226B0"/>
    <w:rsid w:val="000303CA"/>
    <w:rsid w:val="00030D41"/>
    <w:rsid w:val="00037B9A"/>
    <w:rsid w:val="00040D28"/>
    <w:rsid w:val="0004634E"/>
    <w:rsid w:val="0004727F"/>
    <w:rsid w:val="00047EDE"/>
    <w:rsid w:val="00062CA9"/>
    <w:rsid w:val="00063F89"/>
    <w:rsid w:val="00071FE9"/>
    <w:rsid w:val="00072F79"/>
    <w:rsid w:val="000730D9"/>
    <w:rsid w:val="00074D00"/>
    <w:rsid w:val="00085933"/>
    <w:rsid w:val="00094D73"/>
    <w:rsid w:val="00097313"/>
    <w:rsid w:val="000A0062"/>
    <w:rsid w:val="000A32C4"/>
    <w:rsid w:val="000B5920"/>
    <w:rsid w:val="000C0A06"/>
    <w:rsid w:val="000C12FA"/>
    <w:rsid w:val="000C21FD"/>
    <w:rsid w:val="000C4B65"/>
    <w:rsid w:val="000D04DE"/>
    <w:rsid w:val="000D0D1E"/>
    <w:rsid w:val="000D1968"/>
    <w:rsid w:val="000E5E59"/>
    <w:rsid w:val="000E618B"/>
    <w:rsid w:val="000F38D4"/>
    <w:rsid w:val="000F4DD1"/>
    <w:rsid w:val="00101C03"/>
    <w:rsid w:val="001021D1"/>
    <w:rsid w:val="00104846"/>
    <w:rsid w:val="00105212"/>
    <w:rsid w:val="001061A3"/>
    <w:rsid w:val="00106644"/>
    <w:rsid w:val="0010769C"/>
    <w:rsid w:val="00107BFB"/>
    <w:rsid w:val="0011123A"/>
    <w:rsid w:val="00111B76"/>
    <w:rsid w:val="001127C8"/>
    <w:rsid w:val="00113BE2"/>
    <w:rsid w:val="00114994"/>
    <w:rsid w:val="00120999"/>
    <w:rsid w:val="00121A7F"/>
    <w:rsid w:val="00125870"/>
    <w:rsid w:val="001275B3"/>
    <w:rsid w:val="001356D2"/>
    <w:rsid w:val="00142EB5"/>
    <w:rsid w:val="001458F3"/>
    <w:rsid w:val="00145D30"/>
    <w:rsid w:val="001464D2"/>
    <w:rsid w:val="0014713B"/>
    <w:rsid w:val="00154C7D"/>
    <w:rsid w:val="0016267E"/>
    <w:rsid w:val="00163AD0"/>
    <w:rsid w:val="001658C6"/>
    <w:rsid w:val="00166DD6"/>
    <w:rsid w:val="001671D0"/>
    <w:rsid w:val="0018052D"/>
    <w:rsid w:val="00184ACE"/>
    <w:rsid w:val="00195968"/>
    <w:rsid w:val="0019649D"/>
    <w:rsid w:val="001A0515"/>
    <w:rsid w:val="001A289B"/>
    <w:rsid w:val="001A4AC8"/>
    <w:rsid w:val="001A6524"/>
    <w:rsid w:val="001B2945"/>
    <w:rsid w:val="001C75BC"/>
    <w:rsid w:val="001D386C"/>
    <w:rsid w:val="001D4812"/>
    <w:rsid w:val="001D5B2F"/>
    <w:rsid w:val="001D65F1"/>
    <w:rsid w:val="001E3E71"/>
    <w:rsid w:val="001E6F0F"/>
    <w:rsid w:val="001F00FF"/>
    <w:rsid w:val="001F2C0E"/>
    <w:rsid w:val="002036E6"/>
    <w:rsid w:val="0020555B"/>
    <w:rsid w:val="00205B19"/>
    <w:rsid w:val="002117F9"/>
    <w:rsid w:val="00213348"/>
    <w:rsid w:val="00224CB7"/>
    <w:rsid w:val="00236151"/>
    <w:rsid w:val="0023629B"/>
    <w:rsid w:val="002417B1"/>
    <w:rsid w:val="00247941"/>
    <w:rsid w:val="002524CD"/>
    <w:rsid w:val="00254397"/>
    <w:rsid w:val="0026173C"/>
    <w:rsid w:val="00267CE9"/>
    <w:rsid w:val="00273E9F"/>
    <w:rsid w:val="00281D6B"/>
    <w:rsid w:val="00294993"/>
    <w:rsid w:val="00294FB8"/>
    <w:rsid w:val="00296472"/>
    <w:rsid w:val="00297CDC"/>
    <w:rsid w:val="002A5411"/>
    <w:rsid w:val="002A6E1D"/>
    <w:rsid w:val="002A7191"/>
    <w:rsid w:val="002A7F6E"/>
    <w:rsid w:val="002C3904"/>
    <w:rsid w:val="002C4678"/>
    <w:rsid w:val="002C7F63"/>
    <w:rsid w:val="002D4322"/>
    <w:rsid w:val="002D7F88"/>
    <w:rsid w:val="002E0582"/>
    <w:rsid w:val="002E1E17"/>
    <w:rsid w:val="002E7F82"/>
    <w:rsid w:val="002F0E52"/>
    <w:rsid w:val="002F4FFD"/>
    <w:rsid w:val="002F5BB7"/>
    <w:rsid w:val="00301461"/>
    <w:rsid w:val="00310D09"/>
    <w:rsid w:val="00312357"/>
    <w:rsid w:val="00313E23"/>
    <w:rsid w:val="003164C1"/>
    <w:rsid w:val="003166A8"/>
    <w:rsid w:val="00321B72"/>
    <w:rsid w:val="00322B4A"/>
    <w:rsid w:val="00330F38"/>
    <w:rsid w:val="00336DAC"/>
    <w:rsid w:val="00337644"/>
    <w:rsid w:val="00341A33"/>
    <w:rsid w:val="00351124"/>
    <w:rsid w:val="0035669E"/>
    <w:rsid w:val="00357798"/>
    <w:rsid w:val="00360A0D"/>
    <w:rsid w:val="00391297"/>
    <w:rsid w:val="00392CCF"/>
    <w:rsid w:val="003938B5"/>
    <w:rsid w:val="00395439"/>
    <w:rsid w:val="00397E75"/>
    <w:rsid w:val="003A4551"/>
    <w:rsid w:val="003A6CB7"/>
    <w:rsid w:val="003C490C"/>
    <w:rsid w:val="003D7BF2"/>
    <w:rsid w:val="003E06ED"/>
    <w:rsid w:val="003E1326"/>
    <w:rsid w:val="003E362E"/>
    <w:rsid w:val="003F1CAD"/>
    <w:rsid w:val="003F4818"/>
    <w:rsid w:val="003F7C76"/>
    <w:rsid w:val="004006D4"/>
    <w:rsid w:val="00410146"/>
    <w:rsid w:val="004115BE"/>
    <w:rsid w:val="00413FAD"/>
    <w:rsid w:val="00416B89"/>
    <w:rsid w:val="00425BD4"/>
    <w:rsid w:val="00432BCC"/>
    <w:rsid w:val="00433C19"/>
    <w:rsid w:val="00436F82"/>
    <w:rsid w:val="00443C94"/>
    <w:rsid w:val="00445DE0"/>
    <w:rsid w:val="00453957"/>
    <w:rsid w:val="004546D9"/>
    <w:rsid w:val="00456BC8"/>
    <w:rsid w:val="00460FB0"/>
    <w:rsid w:val="00463B1A"/>
    <w:rsid w:val="00463DC1"/>
    <w:rsid w:val="0047495D"/>
    <w:rsid w:val="00485F50"/>
    <w:rsid w:val="00490C03"/>
    <w:rsid w:val="00492595"/>
    <w:rsid w:val="004B1099"/>
    <w:rsid w:val="004C03EC"/>
    <w:rsid w:val="004D0D7E"/>
    <w:rsid w:val="004E195A"/>
    <w:rsid w:val="004E3179"/>
    <w:rsid w:val="004E565D"/>
    <w:rsid w:val="004F471F"/>
    <w:rsid w:val="004F70D7"/>
    <w:rsid w:val="004F744F"/>
    <w:rsid w:val="004F7ECB"/>
    <w:rsid w:val="005124C1"/>
    <w:rsid w:val="005168C4"/>
    <w:rsid w:val="005228C7"/>
    <w:rsid w:val="00523489"/>
    <w:rsid w:val="005252AB"/>
    <w:rsid w:val="0053065B"/>
    <w:rsid w:val="005333B7"/>
    <w:rsid w:val="005365DE"/>
    <w:rsid w:val="00545542"/>
    <w:rsid w:val="0054596D"/>
    <w:rsid w:val="0055311B"/>
    <w:rsid w:val="00560224"/>
    <w:rsid w:val="00570C81"/>
    <w:rsid w:val="00574C65"/>
    <w:rsid w:val="005812AA"/>
    <w:rsid w:val="0058137E"/>
    <w:rsid w:val="00584127"/>
    <w:rsid w:val="0058608A"/>
    <w:rsid w:val="005A1C05"/>
    <w:rsid w:val="005A781C"/>
    <w:rsid w:val="005B17A1"/>
    <w:rsid w:val="005C3FEB"/>
    <w:rsid w:val="005C773F"/>
    <w:rsid w:val="005D1427"/>
    <w:rsid w:val="005D42A9"/>
    <w:rsid w:val="005D43DA"/>
    <w:rsid w:val="005D45B0"/>
    <w:rsid w:val="005D515B"/>
    <w:rsid w:val="005E35A9"/>
    <w:rsid w:val="005E4928"/>
    <w:rsid w:val="005E6B68"/>
    <w:rsid w:val="005E792B"/>
    <w:rsid w:val="005F4450"/>
    <w:rsid w:val="006015FE"/>
    <w:rsid w:val="0060365B"/>
    <w:rsid w:val="00605343"/>
    <w:rsid w:val="00613B8D"/>
    <w:rsid w:val="00620ECF"/>
    <w:rsid w:val="00623BFF"/>
    <w:rsid w:val="00632AFD"/>
    <w:rsid w:val="00634D53"/>
    <w:rsid w:val="0063596A"/>
    <w:rsid w:val="00656C4C"/>
    <w:rsid w:val="00663396"/>
    <w:rsid w:val="006837B4"/>
    <w:rsid w:val="00685637"/>
    <w:rsid w:val="00690009"/>
    <w:rsid w:val="006920C7"/>
    <w:rsid w:val="0069345F"/>
    <w:rsid w:val="006A2481"/>
    <w:rsid w:val="006A2DB8"/>
    <w:rsid w:val="006A4B63"/>
    <w:rsid w:val="006B1CD0"/>
    <w:rsid w:val="006B6F0F"/>
    <w:rsid w:val="006C15F5"/>
    <w:rsid w:val="006C35F6"/>
    <w:rsid w:val="006C595E"/>
    <w:rsid w:val="006D0141"/>
    <w:rsid w:val="006D023A"/>
    <w:rsid w:val="006D0533"/>
    <w:rsid w:val="006D626A"/>
    <w:rsid w:val="006E5877"/>
    <w:rsid w:val="006F1968"/>
    <w:rsid w:val="006F5601"/>
    <w:rsid w:val="006F711D"/>
    <w:rsid w:val="00700617"/>
    <w:rsid w:val="00703D01"/>
    <w:rsid w:val="00712B87"/>
    <w:rsid w:val="007147AA"/>
    <w:rsid w:val="00714B76"/>
    <w:rsid w:val="00717462"/>
    <w:rsid w:val="007242C0"/>
    <w:rsid w:val="00724F8D"/>
    <w:rsid w:val="007272E6"/>
    <w:rsid w:val="00730A15"/>
    <w:rsid w:val="00733EEF"/>
    <w:rsid w:val="007347AD"/>
    <w:rsid w:val="00737C23"/>
    <w:rsid w:val="0074039A"/>
    <w:rsid w:val="00744E7C"/>
    <w:rsid w:val="007538D7"/>
    <w:rsid w:val="00774362"/>
    <w:rsid w:val="00775D7C"/>
    <w:rsid w:val="00776234"/>
    <w:rsid w:val="00780803"/>
    <w:rsid w:val="00781583"/>
    <w:rsid w:val="00786F6D"/>
    <w:rsid w:val="007A0130"/>
    <w:rsid w:val="007A1EA8"/>
    <w:rsid w:val="007A7CA1"/>
    <w:rsid w:val="007B2161"/>
    <w:rsid w:val="007C2507"/>
    <w:rsid w:val="007D3AED"/>
    <w:rsid w:val="007D43AD"/>
    <w:rsid w:val="007E0A5A"/>
    <w:rsid w:val="007E1E38"/>
    <w:rsid w:val="007E61E6"/>
    <w:rsid w:val="007F33D2"/>
    <w:rsid w:val="0080078E"/>
    <w:rsid w:val="00804936"/>
    <w:rsid w:val="00804A4C"/>
    <w:rsid w:val="0080506C"/>
    <w:rsid w:val="00825955"/>
    <w:rsid w:val="0082643C"/>
    <w:rsid w:val="008273C7"/>
    <w:rsid w:val="0082789D"/>
    <w:rsid w:val="00827C60"/>
    <w:rsid w:val="008315C8"/>
    <w:rsid w:val="008523E6"/>
    <w:rsid w:val="00854A48"/>
    <w:rsid w:val="0085599B"/>
    <w:rsid w:val="008627A8"/>
    <w:rsid w:val="00867743"/>
    <w:rsid w:val="008701C6"/>
    <w:rsid w:val="0087218C"/>
    <w:rsid w:val="00881671"/>
    <w:rsid w:val="008825F5"/>
    <w:rsid w:val="008940DC"/>
    <w:rsid w:val="008B1C95"/>
    <w:rsid w:val="008B31D5"/>
    <w:rsid w:val="008B5617"/>
    <w:rsid w:val="008B64DE"/>
    <w:rsid w:val="008B71E4"/>
    <w:rsid w:val="008C367B"/>
    <w:rsid w:val="008C4176"/>
    <w:rsid w:val="008C5A07"/>
    <w:rsid w:val="008D0C0F"/>
    <w:rsid w:val="008D4C6A"/>
    <w:rsid w:val="008D77A6"/>
    <w:rsid w:val="008E25CF"/>
    <w:rsid w:val="008E5A61"/>
    <w:rsid w:val="008F015B"/>
    <w:rsid w:val="00900507"/>
    <w:rsid w:val="00901FEB"/>
    <w:rsid w:val="00904461"/>
    <w:rsid w:val="0090500B"/>
    <w:rsid w:val="009106EC"/>
    <w:rsid w:val="00910E2F"/>
    <w:rsid w:val="00911A29"/>
    <w:rsid w:val="00911A56"/>
    <w:rsid w:val="00921F25"/>
    <w:rsid w:val="00926EE4"/>
    <w:rsid w:val="00927183"/>
    <w:rsid w:val="009329D9"/>
    <w:rsid w:val="00937713"/>
    <w:rsid w:val="0093781A"/>
    <w:rsid w:val="009420FD"/>
    <w:rsid w:val="00943C9A"/>
    <w:rsid w:val="00951647"/>
    <w:rsid w:val="0096078E"/>
    <w:rsid w:val="009618C0"/>
    <w:rsid w:val="00964AFE"/>
    <w:rsid w:val="00972AB7"/>
    <w:rsid w:val="009778AE"/>
    <w:rsid w:val="00982C14"/>
    <w:rsid w:val="009879D4"/>
    <w:rsid w:val="00987EC8"/>
    <w:rsid w:val="009A02AE"/>
    <w:rsid w:val="009A4325"/>
    <w:rsid w:val="009A5DE2"/>
    <w:rsid w:val="009A71EE"/>
    <w:rsid w:val="009B3E93"/>
    <w:rsid w:val="009C0C31"/>
    <w:rsid w:val="009C24B0"/>
    <w:rsid w:val="009C5029"/>
    <w:rsid w:val="009D0558"/>
    <w:rsid w:val="009D22B2"/>
    <w:rsid w:val="009D3222"/>
    <w:rsid w:val="009D4A88"/>
    <w:rsid w:val="009E0A9B"/>
    <w:rsid w:val="009F101F"/>
    <w:rsid w:val="009F2489"/>
    <w:rsid w:val="00A0223F"/>
    <w:rsid w:val="00A03824"/>
    <w:rsid w:val="00A1410E"/>
    <w:rsid w:val="00A15511"/>
    <w:rsid w:val="00A22FCD"/>
    <w:rsid w:val="00A30737"/>
    <w:rsid w:val="00A31E9F"/>
    <w:rsid w:val="00A43538"/>
    <w:rsid w:val="00A47850"/>
    <w:rsid w:val="00A50EEB"/>
    <w:rsid w:val="00A564A7"/>
    <w:rsid w:val="00A56E3F"/>
    <w:rsid w:val="00A67A41"/>
    <w:rsid w:val="00A67B22"/>
    <w:rsid w:val="00A71D3C"/>
    <w:rsid w:val="00A830B6"/>
    <w:rsid w:val="00A83563"/>
    <w:rsid w:val="00A8779E"/>
    <w:rsid w:val="00A9119C"/>
    <w:rsid w:val="00A93B60"/>
    <w:rsid w:val="00A94BBB"/>
    <w:rsid w:val="00A95591"/>
    <w:rsid w:val="00A95EF0"/>
    <w:rsid w:val="00AA181E"/>
    <w:rsid w:val="00AA5005"/>
    <w:rsid w:val="00AA59CF"/>
    <w:rsid w:val="00AA7736"/>
    <w:rsid w:val="00AB0AD8"/>
    <w:rsid w:val="00AB107D"/>
    <w:rsid w:val="00AC011F"/>
    <w:rsid w:val="00AC4239"/>
    <w:rsid w:val="00AD0DB7"/>
    <w:rsid w:val="00AD1E2C"/>
    <w:rsid w:val="00AD7D0A"/>
    <w:rsid w:val="00AE46F6"/>
    <w:rsid w:val="00AE5A83"/>
    <w:rsid w:val="00B01ADC"/>
    <w:rsid w:val="00B01EED"/>
    <w:rsid w:val="00B06DB4"/>
    <w:rsid w:val="00B133A4"/>
    <w:rsid w:val="00B13598"/>
    <w:rsid w:val="00B16052"/>
    <w:rsid w:val="00B21FB3"/>
    <w:rsid w:val="00B22668"/>
    <w:rsid w:val="00B273F2"/>
    <w:rsid w:val="00B37EDE"/>
    <w:rsid w:val="00B41443"/>
    <w:rsid w:val="00B43869"/>
    <w:rsid w:val="00B457D1"/>
    <w:rsid w:val="00B4598E"/>
    <w:rsid w:val="00B549F1"/>
    <w:rsid w:val="00B55AF4"/>
    <w:rsid w:val="00B570F4"/>
    <w:rsid w:val="00B607EF"/>
    <w:rsid w:val="00B652CE"/>
    <w:rsid w:val="00B676EB"/>
    <w:rsid w:val="00B817B7"/>
    <w:rsid w:val="00B84E0F"/>
    <w:rsid w:val="00B864B6"/>
    <w:rsid w:val="00B86FD1"/>
    <w:rsid w:val="00B875B9"/>
    <w:rsid w:val="00B9326E"/>
    <w:rsid w:val="00B93D63"/>
    <w:rsid w:val="00B9693C"/>
    <w:rsid w:val="00BA3604"/>
    <w:rsid w:val="00BA6D8E"/>
    <w:rsid w:val="00BB62D3"/>
    <w:rsid w:val="00BC0161"/>
    <w:rsid w:val="00BC1FF3"/>
    <w:rsid w:val="00BC299E"/>
    <w:rsid w:val="00BC31FE"/>
    <w:rsid w:val="00BC3B91"/>
    <w:rsid w:val="00BC42E3"/>
    <w:rsid w:val="00BC6663"/>
    <w:rsid w:val="00BC6D1F"/>
    <w:rsid w:val="00BC7DB8"/>
    <w:rsid w:val="00BD3F16"/>
    <w:rsid w:val="00BE139C"/>
    <w:rsid w:val="00BE3F18"/>
    <w:rsid w:val="00BE4CCF"/>
    <w:rsid w:val="00BF6A88"/>
    <w:rsid w:val="00BF70FD"/>
    <w:rsid w:val="00C038B6"/>
    <w:rsid w:val="00C12AED"/>
    <w:rsid w:val="00C140E9"/>
    <w:rsid w:val="00C15A46"/>
    <w:rsid w:val="00C1721E"/>
    <w:rsid w:val="00C20134"/>
    <w:rsid w:val="00C20508"/>
    <w:rsid w:val="00C2559F"/>
    <w:rsid w:val="00C27413"/>
    <w:rsid w:val="00C30B38"/>
    <w:rsid w:val="00C3405C"/>
    <w:rsid w:val="00C35F4B"/>
    <w:rsid w:val="00C360C5"/>
    <w:rsid w:val="00C371E8"/>
    <w:rsid w:val="00C37476"/>
    <w:rsid w:val="00C37C49"/>
    <w:rsid w:val="00C42177"/>
    <w:rsid w:val="00C45D6C"/>
    <w:rsid w:val="00C46D95"/>
    <w:rsid w:val="00C50B1A"/>
    <w:rsid w:val="00C604F8"/>
    <w:rsid w:val="00C73DAE"/>
    <w:rsid w:val="00C74EFD"/>
    <w:rsid w:val="00C7578A"/>
    <w:rsid w:val="00C75846"/>
    <w:rsid w:val="00C77D95"/>
    <w:rsid w:val="00C80322"/>
    <w:rsid w:val="00C80845"/>
    <w:rsid w:val="00C80FAC"/>
    <w:rsid w:val="00C84139"/>
    <w:rsid w:val="00C92F50"/>
    <w:rsid w:val="00CA0124"/>
    <w:rsid w:val="00CA3911"/>
    <w:rsid w:val="00CA679C"/>
    <w:rsid w:val="00CA68D3"/>
    <w:rsid w:val="00CA6D5A"/>
    <w:rsid w:val="00CC3DA6"/>
    <w:rsid w:val="00CC5000"/>
    <w:rsid w:val="00CD259C"/>
    <w:rsid w:val="00CD2B60"/>
    <w:rsid w:val="00CD4C3A"/>
    <w:rsid w:val="00CD64FA"/>
    <w:rsid w:val="00CD7FEE"/>
    <w:rsid w:val="00CE0654"/>
    <w:rsid w:val="00CE209B"/>
    <w:rsid w:val="00CF1997"/>
    <w:rsid w:val="00CF22C0"/>
    <w:rsid w:val="00CF2ED8"/>
    <w:rsid w:val="00CF5DC4"/>
    <w:rsid w:val="00D00052"/>
    <w:rsid w:val="00D03FE3"/>
    <w:rsid w:val="00D1335A"/>
    <w:rsid w:val="00D156DE"/>
    <w:rsid w:val="00D16B88"/>
    <w:rsid w:val="00D24AC5"/>
    <w:rsid w:val="00D25612"/>
    <w:rsid w:val="00D26A26"/>
    <w:rsid w:val="00D278DD"/>
    <w:rsid w:val="00D3425C"/>
    <w:rsid w:val="00D35AF9"/>
    <w:rsid w:val="00D35B8B"/>
    <w:rsid w:val="00D405FD"/>
    <w:rsid w:val="00D41CDA"/>
    <w:rsid w:val="00D425DE"/>
    <w:rsid w:val="00D45271"/>
    <w:rsid w:val="00D476AB"/>
    <w:rsid w:val="00D47A79"/>
    <w:rsid w:val="00D506EA"/>
    <w:rsid w:val="00D5543C"/>
    <w:rsid w:val="00D64FFF"/>
    <w:rsid w:val="00D72069"/>
    <w:rsid w:val="00D73315"/>
    <w:rsid w:val="00D74356"/>
    <w:rsid w:val="00D816AB"/>
    <w:rsid w:val="00D81883"/>
    <w:rsid w:val="00D90453"/>
    <w:rsid w:val="00D9060A"/>
    <w:rsid w:val="00D91D3A"/>
    <w:rsid w:val="00D9461D"/>
    <w:rsid w:val="00D9491B"/>
    <w:rsid w:val="00D96B23"/>
    <w:rsid w:val="00DA46D4"/>
    <w:rsid w:val="00DA5C00"/>
    <w:rsid w:val="00DA75EF"/>
    <w:rsid w:val="00DB1420"/>
    <w:rsid w:val="00DB15F1"/>
    <w:rsid w:val="00DB7584"/>
    <w:rsid w:val="00DC00B9"/>
    <w:rsid w:val="00DC4385"/>
    <w:rsid w:val="00DE0E6A"/>
    <w:rsid w:val="00DE0F82"/>
    <w:rsid w:val="00DE1BFB"/>
    <w:rsid w:val="00DF06F5"/>
    <w:rsid w:val="00DF5B97"/>
    <w:rsid w:val="00DF7DAC"/>
    <w:rsid w:val="00E014E2"/>
    <w:rsid w:val="00E0243C"/>
    <w:rsid w:val="00E027F2"/>
    <w:rsid w:val="00E07AC9"/>
    <w:rsid w:val="00E07FBE"/>
    <w:rsid w:val="00E136D7"/>
    <w:rsid w:val="00E13B36"/>
    <w:rsid w:val="00E164AE"/>
    <w:rsid w:val="00E229D8"/>
    <w:rsid w:val="00E268BA"/>
    <w:rsid w:val="00E325EA"/>
    <w:rsid w:val="00E35A28"/>
    <w:rsid w:val="00E3600F"/>
    <w:rsid w:val="00E42BB4"/>
    <w:rsid w:val="00E45E6F"/>
    <w:rsid w:val="00E573DA"/>
    <w:rsid w:val="00E57687"/>
    <w:rsid w:val="00E72757"/>
    <w:rsid w:val="00E81C17"/>
    <w:rsid w:val="00E84FA3"/>
    <w:rsid w:val="00E85F40"/>
    <w:rsid w:val="00E8634A"/>
    <w:rsid w:val="00E878F1"/>
    <w:rsid w:val="00E9080B"/>
    <w:rsid w:val="00E9440D"/>
    <w:rsid w:val="00E964E0"/>
    <w:rsid w:val="00EA084D"/>
    <w:rsid w:val="00EA1F30"/>
    <w:rsid w:val="00EA57D1"/>
    <w:rsid w:val="00EA59E9"/>
    <w:rsid w:val="00EA675D"/>
    <w:rsid w:val="00EB07D9"/>
    <w:rsid w:val="00EB0EA0"/>
    <w:rsid w:val="00EB1127"/>
    <w:rsid w:val="00EC1FC9"/>
    <w:rsid w:val="00EC3D76"/>
    <w:rsid w:val="00EC55B4"/>
    <w:rsid w:val="00EC6F20"/>
    <w:rsid w:val="00EC790B"/>
    <w:rsid w:val="00ED12D3"/>
    <w:rsid w:val="00ED4C68"/>
    <w:rsid w:val="00ED6F04"/>
    <w:rsid w:val="00ED7735"/>
    <w:rsid w:val="00F16C9C"/>
    <w:rsid w:val="00F21ECF"/>
    <w:rsid w:val="00F26715"/>
    <w:rsid w:val="00F278BD"/>
    <w:rsid w:val="00F31CBF"/>
    <w:rsid w:val="00F35690"/>
    <w:rsid w:val="00F36471"/>
    <w:rsid w:val="00F44D52"/>
    <w:rsid w:val="00F46617"/>
    <w:rsid w:val="00F46B2F"/>
    <w:rsid w:val="00F511EC"/>
    <w:rsid w:val="00F5147E"/>
    <w:rsid w:val="00F55320"/>
    <w:rsid w:val="00F574FB"/>
    <w:rsid w:val="00F61A34"/>
    <w:rsid w:val="00F63017"/>
    <w:rsid w:val="00F637AA"/>
    <w:rsid w:val="00F67DCF"/>
    <w:rsid w:val="00F708AA"/>
    <w:rsid w:val="00F71680"/>
    <w:rsid w:val="00F71890"/>
    <w:rsid w:val="00F7319D"/>
    <w:rsid w:val="00F82209"/>
    <w:rsid w:val="00F92779"/>
    <w:rsid w:val="00F92D9C"/>
    <w:rsid w:val="00F93B1E"/>
    <w:rsid w:val="00F96CDE"/>
    <w:rsid w:val="00FA2D3E"/>
    <w:rsid w:val="00FA5C62"/>
    <w:rsid w:val="00FA6ADD"/>
    <w:rsid w:val="00FA71C6"/>
    <w:rsid w:val="00FA756B"/>
    <w:rsid w:val="00FB09D9"/>
    <w:rsid w:val="00FB3D11"/>
    <w:rsid w:val="00FC33BC"/>
    <w:rsid w:val="00FD0537"/>
    <w:rsid w:val="00FD40A4"/>
    <w:rsid w:val="00FD7741"/>
    <w:rsid w:val="00FE363E"/>
    <w:rsid w:val="00FE387E"/>
    <w:rsid w:val="00FE3EC8"/>
    <w:rsid w:val="00FF02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9C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5EF0"/>
    <w:rPr>
      <w:rFonts w:ascii="Calibri Light" w:hAnsi="Calibri Light"/>
      <w:sz w:val="20"/>
      <w:szCs w:val="18"/>
      <w:lang w:val="en-CA"/>
    </w:rPr>
  </w:style>
  <w:style w:type="paragraph" w:styleId="Heading1">
    <w:name w:val="heading 1"/>
    <w:basedOn w:val="Normal"/>
    <w:next w:val="Normal"/>
    <w:link w:val="Heading1Char"/>
    <w:uiPriority w:val="9"/>
    <w:qFormat/>
    <w:rsid w:val="00A95EF0"/>
    <w:pPr>
      <w:pBdr>
        <w:top w:val="single" w:sz="4" w:space="1" w:color="auto"/>
        <w:bottom w:val="single" w:sz="4" w:space="1" w:color="auto"/>
      </w:pBdr>
      <w:shd w:val="clear" w:color="auto" w:fill="F9FFF9"/>
      <w:jc w:val="center"/>
      <w:outlineLvl w:val="0"/>
    </w:pPr>
    <w:rPr>
      <w:b/>
      <w:sz w:val="24"/>
    </w:rPr>
  </w:style>
  <w:style w:type="paragraph" w:styleId="Heading2">
    <w:name w:val="heading 2"/>
    <w:basedOn w:val="Normal"/>
    <w:next w:val="Normal"/>
    <w:link w:val="Heading2Char"/>
    <w:uiPriority w:val="9"/>
    <w:unhideWhenUsed/>
    <w:qFormat/>
    <w:rsid w:val="00623BFF"/>
    <w:pPr>
      <w:pBdr>
        <w:bottom w:val="single" w:sz="4" w:space="1" w:color="auto"/>
      </w:pBdr>
      <w:shd w:val="clear" w:color="auto" w:fill="F4F7FF"/>
      <w:outlineLvl w:val="1"/>
    </w:pPr>
    <w:rPr>
      <w:b/>
      <w:sz w:val="21"/>
      <w:szCs w:val="20"/>
    </w:rPr>
  </w:style>
  <w:style w:type="paragraph" w:styleId="Heading3">
    <w:name w:val="heading 3"/>
    <w:basedOn w:val="Normal"/>
    <w:next w:val="Normal"/>
    <w:link w:val="Heading3Char"/>
    <w:uiPriority w:val="9"/>
    <w:unhideWhenUsed/>
    <w:qFormat/>
    <w:rsid w:val="00F16C9C"/>
    <w:pPr>
      <w:shd w:val="clear" w:color="auto" w:fill="FFF6F8"/>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EF0"/>
    <w:rPr>
      <w:rFonts w:ascii="Calibri Light" w:hAnsi="Calibri Light"/>
      <w:b/>
      <w:szCs w:val="18"/>
      <w:shd w:val="clear" w:color="auto" w:fill="F9FFF9"/>
      <w:lang w:val="en-CA"/>
    </w:rPr>
  </w:style>
  <w:style w:type="paragraph" w:styleId="ListParagraph">
    <w:name w:val="List Paragraph"/>
    <w:basedOn w:val="Normal"/>
    <w:uiPriority w:val="34"/>
    <w:qFormat/>
    <w:rsid w:val="000161E0"/>
    <w:pPr>
      <w:numPr>
        <w:numId w:val="1"/>
      </w:numPr>
      <w:ind w:left="426" w:hanging="284"/>
      <w:contextualSpacing/>
    </w:pPr>
  </w:style>
  <w:style w:type="character" w:customStyle="1" w:styleId="Heading2Char">
    <w:name w:val="Heading 2 Char"/>
    <w:basedOn w:val="DefaultParagraphFont"/>
    <w:link w:val="Heading2"/>
    <w:uiPriority w:val="9"/>
    <w:rsid w:val="00623BFF"/>
    <w:rPr>
      <w:rFonts w:ascii="Calibri Light" w:hAnsi="Calibri Light"/>
      <w:b/>
      <w:sz w:val="21"/>
      <w:szCs w:val="20"/>
      <w:shd w:val="clear" w:color="auto" w:fill="F4F7FF"/>
      <w:lang w:val="en-CA"/>
    </w:rPr>
  </w:style>
  <w:style w:type="table" w:styleId="TableGrid">
    <w:name w:val="Table Grid"/>
    <w:basedOn w:val="TableNormal"/>
    <w:uiPriority w:val="59"/>
    <w:rsid w:val="00C75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F5DC4"/>
    <w:pPr>
      <w:tabs>
        <w:tab w:val="center" w:pos="4680"/>
        <w:tab w:val="right" w:pos="9360"/>
      </w:tabs>
    </w:pPr>
  </w:style>
  <w:style w:type="character" w:customStyle="1" w:styleId="HeaderChar">
    <w:name w:val="Header Char"/>
    <w:basedOn w:val="DefaultParagraphFont"/>
    <w:link w:val="Header"/>
    <w:uiPriority w:val="99"/>
    <w:rsid w:val="00CF5DC4"/>
    <w:rPr>
      <w:rFonts w:ascii="Calibri Light" w:hAnsi="Calibri Light"/>
      <w:sz w:val="20"/>
      <w:szCs w:val="18"/>
      <w:lang w:val="en-CA"/>
    </w:rPr>
  </w:style>
  <w:style w:type="paragraph" w:styleId="Footer">
    <w:name w:val="footer"/>
    <w:basedOn w:val="Normal"/>
    <w:link w:val="FooterChar"/>
    <w:uiPriority w:val="99"/>
    <w:unhideWhenUsed/>
    <w:rsid w:val="00CF5DC4"/>
    <w:pPr>
      <w:tabs>
        <w:tab w:val="center" w:pos="4680"/>
        <w:tab w:val="right" w:pos="9360"/>
      </w:tabs>
    </w:pPr>
  </w:style>
  <w:style w:type="character" w:customStyle="1" w:styleId="FooterChar">
    <w:name w:val="Footer Char"/>
    <w:basedOn w:val="DefaultParagraphFont"/>
    <w:link w:val="Footer"/>
    <w:uiPriority w:val="99"/>
    <w:rsid w:val="00CF5DC4"/>
    <w:rPr>
      <w:rFonts w:ascii="Calibri Light" w:hAnsi="Calibri Light"/>
      <w:sz w:val="20"/>
      <w:szCs w:val="18"/>
      <w:lang w:val="en-CA"/>
    </w:rPr>
  </w:style>
  <w:style w:type="paragraph" w:styleId="TOCHeading">
    <w:name w:val="TOC Heading"/>
    <w:basedOn w:val="Heading1"/>
    <w:next w:val="Normal"/>
    <w:uiPriority w:val="39"/>
    <w:unhideWhenUsed/>
    <w:qFormat/>
    <w:rsid w:val="00CF5DC4"/>
    <w:pPr>
      <w:keepNext/>
      <w:keepLines/>
      <w:pBdr>
        <w:top w:val="none" w:sz="0" w:space="0" w:color="auto"/>
        <w:bottom w:val="none" w:sz="0" w:space="0" w:color="auto"/>
      </w:pBdr>
      <w:shd w:val="clear" w:color="auto" w:fill="auto"/>
      <w:spacing w:before="480" w:line="276" w:lineRule="auto"/>
      <w:jc w:val="left"/>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CF5DC4"/>
    <w:pPr>
      <w:spacing w:before="120"/>
    </w:pPr>
    <w:rPr>
      <w:rFonts w:asciiTheme="minorHAnsi" w:hAnsiTheme="minorHAnsi"/>
      <w:b/>
      <w:bCs/>
      <w:sz w:val="24"/>
      <w:szCs w:val="24"/>
    </w:rPr>
  </w:style>
  <w:style w:type="paragraph" w:styleId="TOC2">
    <w:name w:val="toc 2"/>
    <w:basedOn w:val="Normal"/>
    <w:next w:val="Normal"/>
    <w:autoRedefine/>
    <w:uiPriority w:val="39"/>
    <w:unhideWhenUsed/>
    <w:rsid w:val="005B17A1"/>
    <w:pPr>
      <w:ind w:left="200"/>
    </w:pPr>
    <w:rPr>
      <w:rFonts w:asciiTheme="minorHAnsi" w:hAnsiTheme="minorHAnsi"/>
      <w:bCs/>
      <w:sz w:val="22"/>
      <w:szCs w:val="22"/>
    </w:rPr>
  </w:style>
  <w:style w:type="character" w:styleId="Hyperlink">
    <w:name w:val="Hyperlink"/>
    <w:basedOn w:val="DefaultParagraphFont"/>
    <w:uiPriority w:val="99"/>
    <w:unhideWhenUsed/>
    <w:rsid w:val="00CF5DC4"/>
    <w:rPr>
      <w:color w:val="0563C1" w:themeColor="hyperlink"/>
      <w:u w:val="single"/>
    </w:rPr>
  </w:style>
  <w:style w:type="paragraph" w:styleId="TOC3">
    <w:name w:val="toc 3"/>
    <w:basedOn w:val="Normal"/>
    <w:next w:val="Normal"/>
    <w:autoRedefine/>
    <w:uiPriority w:val="39"/>
    <w:unhideWhenUsed/>
    <w:rsid w:val="00CF5DC4"/>
    <w:pPr>
      <w:ind w:left="400"/>
    </w:pPr>
    <w:rPr>
      <w:rFonts w:asciiTheme="minorHAnsi" w:hAnsiTheme="minorHAnsi"/>
      <w:sz w:val="22"/>
      <w:szCs w:val="22"/>
    </w:rPr>
  </w:style>
  <w:style w:type="paragraph" w:styleId="TOC4">
    <w:name w:val="toc 4"/>
    <w:basedOn w:val="Normal"/>
    <w:next w:val="Normal"/>
    <w:autoRedefine/>
    <w:uiPriority w:val="39"/>
    <w:unhideWhenUsed/>
    <w:rsid w:val="00CF5DC4"/>
    <w:pPr>
      <w:ind w:left="600"/>
    </w:pPr>
    <w:rPr>
      <w:rFonts w:asciiTheme="minorHAnsi" w:hAnsiTheme="minorHAnsi"/>
      <w:szCs w:val="20"/>
    </w:rPr>
  </w:style>
  <w:style w:type="paragraph" w:styleId="TOC5">
    <w:name w:val="toc 5"/>
    <w:basedOn w:val="Normal"/>
    <w:next w:val="Normal"/>
    <w:autoRedefine/>
    <w:uiPriority w:val="39"/>
    <w:unhideWhenUsed/>
    <w:rsid w:val="00CF5DC4"/>
    <w:pPr>
      <w:ind w:left="800"/>
    </w:pPr>
    <w:rPr>
      <w:rFonts w:asciiTheme="minorHAnsi" w:hAnsiTheme="minorHAnsi"/>
      <w:szCs w:val="20"/>
    </w:rPr>
  </w:style>
  <w:style w:type="paragraph" w:styleId="TOC6">
    <w:name w:val="toc 6"/>
    <w:basedOn w:val="Normal"/>
    <w:next w:val="Normal"/>
    <w:autoRedefine/>
    <w:uiPriority w:val="39"/>
    <w:unhideWhenUsed/>
    <w:rsid w:val="00CF5DC4"/>
    <w:pPr>
      <w:ind w:left="1000"/>
    </w:pPr>
    <w:rPr>
      <w:rFonts w:asciiTheme="minorHAnsi" w:hAnsiTheme="minorHAnsi"/>
      <w:szCs w:val="20"/>
    </w:rPr>
  </w:style>
  <w:style w:type="paragraph" w:styleId="TOC7">
    <w:name w:val="toc 7"/>
    <w:basedOn w:val="Normal"/>
    <w:next w:val="Normal"/>
    <w:autoRedefine/>
    <w:uiPriority w:val="39"/>
    <w:unhideWhenUsed/>
    <w:rsid w:val="00CF5DC4"/>
    <w:pPr>
      <w:ind w:left="1200"/>
    </w:pPr>
    <w:rPr>
      <w:rFonts w:asciiTheme="minorHAnsi" w:hAnsiTheme="minorHAnsi"/>
      <w:szCs w:val="20"/>
    </w:rPr>
  </w:style>
  <w:style w:type="paragraph" w:styleId="TOC8">
    <w:name w:val="toc 8"/>
    <w:basedOn w:val="Normal"/>
    <w:next w:val="Normal"/>
    <w:autoRedefine/>
    <w:uiPriority w:val="39"/>
    <w:unhideWhenUsed/>
    <w:rsid w:val="00CF5DC4"/>
    <w:pPr>
      <w:ind w:left="1400"/>
    </w:pPr>
    <w:rPr>
      <w:rFonts w:asciiTheme="minorHAnsi" w:hAnsiTheme="minorHAnsi"/>
      <w:szCs w:val="20"/>
    </w:rPr>
  </w:style>
  <w:style w:type="paragraph" w:styleId="TOC9">
    <w:name w:val="toc 9"/>
    <w:basedOn w:val="Normal"/>
    <w:next w:val="Normal"/>
    <w:autoRedefine/>
    <w:uiPriority w:val="39"/>
    <w:unhideWhenUsed/>
    <w:rsid w:val="00CF5DC4"/>
    <w:pPr>
      <w:ind w:left="1600"/>
    </w:pPr>
    <w:rPr>
      <w:rFonts w:asciiTheme="minorHAnsi" w:hAnsiTheme="minorHAnsi"/>
      <w:szCs w:val="20"/>
    </w:rPr>
  </w:style>
  <w:style w:type="character" w:customStyle="1" w:styleId="Heading3Char">
    <w:name w:val="Heading 3 Char"/>
    <w:basedOn w:val="DefaultParagraphFont"/>
    <w:link w:val="Heading3"/>
    <w:uiPriority w:val="9"/>
    <w:rsid w:val="00F16C9C"/>
    <w:rPr>
      <w:rFonts w:ascii="Calibri Light" w:hAnsi="Calibri Light"/>
      <w:b/>
      <w:sz w:val="20"/>
      <w:szCs w:val="20"/>
      <w:shd w:val="clear" w:color="auto" w:fill="FFF6F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81931">
      <w:bodyDiv w:val="1"/>
      <w:marLeft w:val="0"/>
      <w:marRight w:val="0"/>
      <w:marTop w:val="0"/>
      <w:marBottom w:val="0"/>
      <w:divBdr>
        <w:top w:val="none" w:sz="0" w:space="0" w:color="auto"/>
        <w:left w:val="none" w:sz="0" w:space="0" w:color="auto"/>
        <w:bottom w:val="none" w:sz="0" w:space="0" w:color="auto"/>
        <w:right w:val="none" w:sz="0" w:space="0" w:color="auto"/>
      </w:divBdr>
    </w:div>
    <w:div w:id="623271013">
      <w:bodyDiv w:val="1"/>
      <w:marLeft w:val="0"/>
      <w:marRight w:val="0"/>
      <w:marTop w:val="0"/>
      <w:marBottom w:val="0"/>
      <w:divBdr>
        <w:top w:val="none" w:sz="0" w:space="0" w:color="auto"/>
        <w:left w:val="none" w:sz="0" w:space="0" w:color="auto"/>
        <w:bottom w:val="none" w:sz="0" w:space="0" w:color="auto"/>
        <w:right w:val="none" w:sz="0" w:space="0" w:color="auto"/>
      </w:divBdr>
    </w:div>
    <w:div w:id="773482273">
      <w:bodyDiv w:val="1"/>
      <w:marLeft w:val="0"/>
      <w:marRight w:val="0"/>
      <w:marTop w:val="0"/>
      <w:marBottom w:val="0"/>
      <w:divBdr>
        <w:top w:val="none" w:sz="0" w:space="0" w:color="auto"/>
        <w:left w:val="none" w:sz="0" w:space="0" w:color="auto"/>
        <w:bottom w:val="none" w:sz="0" w:space="0" w:color="auto"/>
        <w:right w:val="none" w:sz="0" w:space="0" w:color="auto"/>
      </w:divBdr>
    </w:div>
    <w:div w:id="868833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B7FCD5-24EA-D741-8914-DADD9492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14</Pages>
  <Words>9038</Words>
  <Characters>51517</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sarahh@pcoast.ca</dc:creator>
  <cp:keywords/>
  <dc:description/>
  <cp:lastModifiedBy>Sarah Hannigan</cp:lastModifiedBy>
  <cp:revision>175</cp:revision>
  <dcterms:created xsi:type="dcterms:W3CDTF">2017-04-21T16:46:00Z</dcterms:created>
  <dcterms:modified xsi:type="dcterms:W3CDTF">2017-11-21T02:30:00Z</dcterms:modified>
</cp:coreProperties>
</file>