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bookmarkStart w:id="0" w:name="_Toc227812841" w:displacedByCustomXml="next"/>
    <w:sdt>
      <w:sdtPr>
        <w:rPr>
          <w:rFonts w:eastAsiaTheme="minorHAnsi" w:cstheme="minorBidi"/>
          <w:b w:val="0"/>
          <w:bCs w:val="0"/>
          <w:color w:val="auto"/>
          <w:sz w:val="18"/>
          <w:szCs w:val="24"/>
          <w:lang w:val="en-GB" w:eastAsia="en-US"/>
        </w:rPr>
        <w:id w:val="223069077"/>
        <w:docPartObj>
          <w:docPartGallery w:val="Table of Contents"/>
          <w:docPartUnique/>
        </w:docPartObj>
      </w:sdtPr>
      <w:sdtContent>
        <w:p w:rsidR="00C04FE8" w:rsidRPr="000C3CD4" w:rsidRDefault="00C04FE8">
          <w:pPr>
            <w:pStyle w:val="TOCHeading"/>
            <w:rPr>
              <w:sz w:val="26"/>
            </w:rPr>
          </w:pPr>
          <w:r w:rsidRPr="000C3CD4">
            <w:rPr>
              <w:sz w:val="26"/>
            </w:rPr>
            <w:t>Table of Contents</w:t>
          </w:r>
        </w:p>
        <w:p w:rsidR="003A60FA" w:rsidRPr="000C3CD4" w:rsidRDefault="00010A55">
          <w:pPr>
            <w:pStyle w:val="TOC1"/>
            <w:tabs>
              <w:tab w:val="right" w:leader="dot" w:pos="8630"/>
            </w:tabs>
            <w:rPr>
              <w:rFonts w:eastAsiaTheme="minorEastAsia"/>
              <w:b w:val="0"/>
              <w:noProof/>
              <w:sz w:val="22"/>
              <w:lang w:val="en-US"/>
            </w:rPr>
          </w:pPr>
          <w:r w:rsidRPr="000C3CD4">
            <w:rPr>
              <w:sz w:val="22"/>
            </w:rPr>
            <w:fldChar w:fldCharType="begin"/>
          </w:r>
          <w:r w:rsidR="00C04FE8" w:rsidRPr="000C3CD4">
            <w:rPr>
              <w:sz w:val="22"/>
            </w:rPr>
            <w:instrText xml:space="preserve"> TOC \o "1-3" \h \z \u </w:instrText>
          </w:r>
          <w:r w:rsidRPr="000C3CD4">
            <w:rPr>
              <w:sz w:val="22"/>
            </w:rPr>
            <w:fldChar w:fldCharType="separate"/>
          </w:r>
          <w:r w:rsidR="003A60FA" w:rsidRPr="000C3CD4">
            <w:rPr>
              <w:noProof/>
              <w:sz w:val="22"/>
              <w:highlight w:val="yellow"/>
            </w:rPr>
            <w:t>CHAPTER V – REGISTRATION - OVERVIEW</w:t>
          </w:r>
          <w:r w:rsidR="003A60FA" w:rsidRPr="000C3CD4">
            <w:rPr>
              <w:noProof/>
              <w:sz w:val="22"/>
            </w:rPr>
            <w:tab/>
          </w:r>
          <w:r w:rsidR="003A60FA" w:rsidRPr="000C3CD4">
            <w:rPr>
              <w:noProof/>
              <w:sz w:val="22"/>
            </w:rPr>
            <w:fldChar w:fldCharType="begin"/>
          </w:r>
          <w:r w:rsidR="003A60FA" w:rsidRPr="000C3CD4">
            <w:rPr>
              <w:noProof/>
              <w:sz w:val="22"/>
            </w:rPr>
            <w:instrText xml:space="preserve"> PAGEREF _Toc259911004 \h </w:instrText>
          </w:r>
          <w:r w:rsidR="000C3CD4" w:rsidRPr="000C3CD4">
            <w:rPr>
              <w:noProof/>
              <w:sz w:val="22"/>
            </w:rPr>
          </w:r>
          <w:r w:rsidR="003A60FA" w:rsidRPr="000C3CD4">
            <w:rPr>
              <w:noProof/>
              <w:sz w:val="22"/>
            </w:rPr>
            <w:fldChar w:fldCharType="separate"/>
          </w:r>
          <w:r w:rsidR="003A60FA" w:rsidRPr="000C3CD4">
            <w:rPr>
              <w:noProof/>
              <w:sz w:val="22"/>
            </w:rPr>
            <w:t>4</w:t>
          </w:r>
          <w:r w:rsidR="003A60FA" w:rsidRPr="000C3CD4">
            <w:rPr>
              <w:noProof/>
              <w:sz w:val="22"/>
            </w:rPr>
            <w:fldChar w:fldCharType="end"/>
          </w:r>
        </w:p>
        <w:p w:rsidR="003A60FA" w:rsidRPr="000C3CD4" w:rsidRDefault="003A60FA">
          <w:pPr>
            <w:pStyle w:val="TOC2"/>
            <w:tabs>
              <w:tab w:val="right" w:leader="dot" w:pos="8630"/>
            </w:tabs>
            <w:rPr>
              <w:rFonts w:eastAsiaTheme="minorEastAsia"/>
              <w:b w:val="0"/>
              <w:noProof/>
              <w:szCs w:val="24"/>
              <w:lang w:val="en-US"/>
            </w:rPr>
          </w:pPr>
          <w:r w:rsidRPr="000C3CD4">
            <w:rPr>
              <w:noProof/>
              <w:sz w:val="20"/>
            </w:rPr>
            <w:t>C. THE ROLE OF THE REGISTRAR:</w:t>
          </w:r>
          <w:r w:rsidRPr="000C3CD4">
            <w:rPr>
              <w:noProof/>
              <w:sz w:val="20"/>
            </w:rPr>
            <w:tab/>
          </w:r>
          <w:r w:rsidRPr="000C3CD4">
            <w:rPr>
              <w:noProof/>
              <w:sz w:val="20"/>
            </w:rPr>
            <w:fldChar w:fldCharType="begin"/>
          </w:r>
          <w:r w:rsidRPr="000C3CD4">
            <w:rPr>
              <w:noProof/>
              <w:sz w:val="20"/>
            </w:rPr>
            <w:instrText xml:space="preserve"> PAGEREF _Toc259911005 \h </w:instrText>
          </w:r>
          <w:r w:rsidR="000C3CD4" w:rsidRPr="000C3CD4">
            <w:rPr>
              <w:noProof/>
              <w:sz w:val="20"/>
            </w:rPr>
          </w:r>
          <w:r w:rsidRPr="000C3CD4">
            <w:rPr>
              <w:noProof/>
              <w:sz w:val="20"/>
            </w:rPr>
            <w:fldChar w:fldCharType="separate"/>
          </w:r>
          <w:r w:rsidRPr="000C3CD4">
            <w:rPr>
              <w:noProof/>
              <w:sz w:val="20"/>
            </w:rPr>
            <w:t>4</w:t>
          </w:r>
          <w:r w:rsidRPr="000C3CD4">
            <w:rPr>
              <w:noProof/>
              <w:sz w:val="20"/>
            </w:rPr>
            <w:fldChar w:fldCharType="end"/>
          </w:r>
        </w:p>
        <w:p w:rsidR="003A60FA" w:rsidRPr="000C3CD4" w:rsidRDefault="003A60FA" w:rsidP="000C3CD4">
          <w:pPr>
            <w:pStyle w:val="TOC3"/>
            <w:rPr>
              <w:rFonts w:eastAsiaTheme="minorEastAsia"/>
              <w:sz w:val="22"/>
              <w:szCs w:val="24"/>
            </w:rPr>
          </w:pPr>
          <w:r w:rsidRPr="000C3CD4">
            <w:rPr>
              <w:sz w:val="22"/>
              <w:highlight w:val="yellow"/>
            </w:rPr>
            <w:t>RE: LAND REGISTRY ACT, RE EVANS APPLICATION</w:t>
          </w:r>
          <w:r w:rsidRPr="000C3CD4">
            <w:rPr>
              <w:sz w:val="22"/>
            </w:rPr>
            <w:t>: judicial role of registrar, need clear boundaries to register title</w:t>
          </w:r>
          <w:r w:rsidRPr="000C3CD4">
            <w:rPr>
              <w:sz w:val="22"/>
            </w:rPr>
            <w:tab/>
          </w:r>
          <w:r w:rsidRPr="000C3CD4">
            <w:rPr>
              <w:sz w:val="22"/>
            </w:rPr>
            <w:fldChar w:fldCharType="begin"/>
          </w:r>
          <w:r w:rsidRPr="000C3CD4">
            <w:rPr>
              <w:sz w:val="22"/>
            </w:rPr>
            <w:instrText xml:space="preserve"> PAGEREF _Toc259911006 \h </w:instrText>
          </w:r>
          <w:r w:rsidR="000C3CD4" w:rsidRPr="000C3CD4">
            <w:rPr>
              <w:sz w:val="22"/>
            </w:rPr>
          </w:r>
          <w:r w:rsidRPr="000C3CD4">
            <w:rPr>
              <w:sz w:val="22"/>
            </w:rPr>
            <w:fldChar w:fldCharType="separate"/>
          </w:r>
          <w:r w:rsidRPr="000C3CD4">
            <w:rPr>
              <w:sz w:val="22"/>
            </w:rPr>
            <w:t>4</w:t>
          </w:r>
          <w:r w:rsidRPr="000C3CD4">
            <w:rPr>
              <w:sz w:val="22"/>
            </w:rPr>
            <w:fldChar w:fldCharType="end"/>
          </w:r>
        </w:p>
        <w:p w:rsidR="003A60FA" w:rsidRPr="000C3CD4" w:rsidRDefault="003A60FA" w:rsidP="000C3CD4">
          <w:pPr>
            <w:pStyle w:val="TOC3"/>
            <w:rPr>
              <w:rFonts w:eastAsiaTheme="minorEastAsia"/>
              <w:sz w:val="22"/>
              <w:szCs w:val="24"/>
            </w:rPr>
          </w:pPr>
          <w:r w:rsidRPr="000C3CD4">
            <w:rPr>
              <w:sz w:val="22"/>
              <w:highlight w:val="yellow"/>
            </w:rPr>
            <w:t>RE LAND REGISTRY ACT AND SHAW</w:t>
          </w:r>
          <w:r w:rsidRPr="000C3CD4">
            <w:rPr>
              <w:sz w:val="22"/>
            </w:rPr>
            <w:t>: registrar will presume equitable conduct, unless “palpable blot on the face of title” [registrar not mere machine]</w:t>
          </w:r>
          <w:r w:rsidRPr="000C3CD4">
            <w:rPr>
              <w:sz w:val="22"/>
            </w:rPr>
            <w:tab/>
          </w:r>
          <w:r w:rsidRPr="000C3CD4">
            <w:rPr>
              <w:sz w:val="22"/>
            </w:rPr>
            <w:fldChar w:fldCharType="begin"/>
          </w:r>
          <w:r w:rsidRPr="000C3CD4">
            <w:rPr>
              <w:sz w:val="22"/>
            </w:rPr>
            <w:instrText xml:space="preserve"> PAGEREF _Toc259911007 \h </w:instrText>
          </w:r>
          <w:r w:rsidR="000C3CD4" w:rsidRPr="000C3CD4">
            <w:rPr>
              <w:sz w:val="22"/>
            </w:rPr>
          </w:r>
          <w:r w:rsidRPr="000C3CD4">
            <w:rPr>
              <w:sz w:val="22"/>
            </w:rPr>
            <w:fldChar w:fldCharType="separate"/>
          </w:r>
          <w:r w:rsidRPr="000C3CD4">
            <w:rPr>
              <w:sz w:val="22"/>
            </w:rPr>
            <w:t>4</w:t>
          </w:r>
          <w:r w:rsidRPr="000C3CD4">
            <w:rPr>
              <w:sz w:val="22"/>
            </w:rPr>
            <w:fldChar w:fldCharType="end"/>
          </w:r>
        </w:p>
        <w:p w:rsidR="003A60FA" w:rsidRPr="000C3CD4" w:rsidRDefault="003A60FA" w:rsidP="000C3CD4">
          <w:pPr>
            <w:pStyle w:val="TOC3"/>
            <w:rPr>
              <w:rFonts w:eastAsiaTheme="minorEastAsia"/>
              <w:sz w:val="22"/>
              <w:szCs w:val="24"/>
            </w:rPr>
          </w:pPr>
          <w:r w:rsidRPr="000C3CD4">
            <w:rPr>
              <w:sz w:val="22"/>
              <w:highlight w:val="yellow"/>
            </w:rPr>
            <w:t>HELLER V BRITISH COLUMBIA (REGISTRAR, VANCOUVER LAND REGISTRATION DISTRICT)</w:t>
          </w:r>
          <w:r w:rsidRPr="000C3CD4">
            <w:rPr>
              <w:sz w:val="22"/>
            </w:rPr>
            <w:t>: a registrar is not under a duty to enforce the right of a party through correction</w:t>
          </w:r>
          <w:r w:rsidRPr="000C3CD4">
            <w:rPr>
              <w:sz w:val="22"/>
            </w:rPr>
            <w:tab/>
          </w:r>
          <w:r w:rsidRPr="000C3CD4">
            <w:rPr>
              <w:sz w:val="22"/>
            </w:rPr>
            <w:fldChar w:fldCharType="begin"/>
          </w:r>
          <w:r w:rsidRPr="000C3CD4">
            <w:rPr>
              <w:sz w:val="22"/>
            </w:rPr>
            <w:instrText xml:space="preserve"> PAGEREF _Toc259911008 \h </w:instrText>
          </w:r>
          <w:r w:rsidR="000C3CD4" w:rsidRPr="000C3CD4">
            <w:rPr>
              <w:sz w:val="22"/>
            </w:rPr>
          </w:r>
          <w:r w:rsidRPr="000C3CD4">
            <w:rPr>
              <w:sz w:val="22"/>
            </w:rPr>
            <w:fldChar w:fldCharType="separate"/>
          </w:r>
          <w:r w:rsidRPr="000C3CD4">
            <w:rPr>
              <w:sz w:val="22"/>
            </w:rPr>
            <w:t>5</w:t>
          </w:r>
          <w:r w:rsidRPr="000C3CD4">
            <w:rPr>
              <w:sz w:val="22"/>
            </w:rPr>
            <w:fldChar w:fldCharType="end"/>
          </w:r>
        </w:p>
        <w:p w:rsidR="003A60FA" w:rsidRPr="000C3CD4" w:rsidRDefault="003A60FA">
          <w:pPr>
            <w:pStyle w:val="TOC2"/>
            <w:tabs>
              <w:tab w:val="left" w:pos="601"/>
              <w:tab w:val="right" w:leader="dot" w:pos="8630"/>
            </w:tabs>
            <w:rPr>
              <w:rFonts w:eastAsiaTheme="minorEastAsia"/>
              <w:b w:val="0"/>
              <w:noProof/>
              <w:szCs w:val="24"/>
              <w:lang w:val="en-US"/>
            </w:rPr>
          </w:pPr>
          <w:r w:rsidRPr="000C3CD4">
            <w:rPr>
              <w:noProof/>
              <w:sz w:val="20"/>
            </w:rPr>
            <w:t>1.</w:t>
          </w:r>
          <w:r w:rsidRPr="000C3CD4">
            <w:rPr>
              <w:rFonts w:eastAsiaTheme="minorEastAsia"/>
              <w:b w:val="0"/>
              <w:noProof/>
              <w:szCs w:val="24"/>
              <w:lang w:val="en-US"/>
            </w:rPr>
            <w:tab/>
          </w:r>
          <w:r w:rsidRPr="000C3CD4">
            <w:rPr>
              <w:noProof/>
              <w:sz w:val="20"/>
            </w:rPr>
            <w:t>The Assurance Fund</w:t>
          </w:r>
          <w:r w:rsidRPr="000C3CD4">
            <w:rPr>
              <w:noProof/>
              <w:sz w:val="20"/>
            </w:rPr>
            <w:tab/>
          </w:r>
          <w:r w:rsidRPr="000C3CD4">
            <w:rPr>
              <w:noProof/>
              <w:sz w:val="20"/>
            </w:rPr>
            <w:fldChar w:fldCharType="begin"/>
          </w:r>
          <w:r w:rsidRPr="000C3CD4">
            <w:rPr>
              <w:noProof/>
              <w:sz w:val="20"/>
            </w:rPr>
            <w:instrText xml:space="preserve"> PAGEREF _Toc259911009 \h </w:instrText>
          </w:r>
          <w:r w:rsidR="000C3CD4" w:rsidRPr="000C3CD4">
            <w:rPr>
              <w:noProof/>
              <w:sz w:val="20"/>
            </w:rPr>
          </w:r>
          <w:r w:rsidRPr="000C3CD4">
            <w:rPr>
              <w:noProof/>
              <w:sz w:val="20"/>
            </w:rPr>
            <w:fldChar w:fldCharType="separate"/>
          </w:r>
          <w:r w:rsidRPr="000C3CD4">
            <w:rPr>
              <w:noProof/>
              <w:sz w:val="20"/>
            </w:rPr>
            <w:t>5</w:t>
          </w:r>
          <w:r w:rsidRPr="000C3CD4">
            <w:rPr>
              <w:noProof/>
              <w:sz w:val="20"/>
            </w:rPr>
            <w:fldChar w:fldCharType="end"/>
          </w:r>
        </w:p>
        <w:p w:rsidR="003A60FA" w:rsidRPr="000C3CD4" w:rsidRDefault="003A60FA" w:rsidP="000C3CD4">
          <w:pPr>
            <w:pStyle w:val="TOC3"/>
            <w:rPr>
              <w:rFonts w:eastAsiaTheme="minorEastAsia"/>
              <w:sz w:val="22"/>
              <w:szCs w:val="24"/>
            </w:rPr>
          </w:pPr>
          <w:r w:rsidRPr="000C3CD4">
            <w:rPr>
              <w:sz w:val="22"/>
              <w:highlight w:val="yellow"/>
            </w:rPr>
            <w:t xml:space="preserve">McCAIG ET AL. V. REYS ET AL. </w:t>
          </w:r>
          <w:r w:rsidRPr="000C3CD4">
            <w:rPr>
              <w:sz w:val="22"/>
            </w:rPr>
            <w:t>1) loss 2) fraud 3) barred from rectification 4) by operation of statute (would have succeeded in CL). Where equities are equal the law prevails</w:t>
          </w:r>
          <w:r w:rsidRPr="000C3CD4">
            <w:rPr>
              <w:sz w:val="22"/>
            </w:rPr>
            <w:tab/>
          </w:r>
          <w:r w:rsidRPr="000C3CD4">
            <w:rPr>
              <w:sz w:val="22"/>
            </w:rPr>
            <w:fldChar w:fldCharType="begin"/>
          </w:r>
          <w:r w:rsidRPr="000C3CD4">
            <w:rPr>
              <w:sz w:val="22"/>
            </w:rPr>
            <w:instrText xml:space="preserve"> PAGEREF _Toc259911010 \h </w:instrText>
          </w:r>
          <w:r w:rsidR="000C3CD4" w:rsidRPr="000C3CD4">
            <w:rPr>
              <w:sz w:val="22"/>
            </w:rPr>
          </w:r>
          <w:r w:rsidRPr="000C3CD4">
            <w:rPr>
              <w:sz w:val="22"/>
            </w:rPr>
            <w:fldChar w:fldCharType="separate"/>
          </w:r>
          <w:r w:rsidRPr="000C3CD4">
            <w:rPr>
              <w:sz w:val="22"/>
            </w:rPr>
            <w:t>6</w:t>
          </w:r>
          <w:r w:rsidRPr="000C3CD4">
            <w:rPr>
              <w:sz w:val="22"/>
            </w:rPr>
            <w:fldChar w:fldCharType="end"/>
          </w:r>
        </w:p>
        <w:p w:rsidR="003A60FA" w:rsidRPr="000C3CD4" w:rsidRDefault="003A60FA" w:rsidP="000C3CD4">
          <w:pPr>
            <w:pStyle w:val="TOC3"/>
            <w:rPr>
              <w:rFonts w:eastAsiaTheme="minorEastAsia"/>
              <w:sz w:val="22"/>
              <w:szCs w:val="24"/>
            </w:rPr>
          </w:pPr>
          <w:r w:rsidRPr="000C3CD4">
            <w:rPr>
              <w:sz w:val="22"/>
              <w:highlight w:val="yellow"/>
            </w:rPr>
            <w:t>ROYAL BANK OF CANADA V. BRITISH COLUMBIA (ATTORNEY GENERAL)</w:t>
          </w:r>
          <w:r w:rsidRPr="000C3CD4">
            <w:rPr>
              <w:sz w:val="22"/>
            </w:rPr>
            <w:t xml:space="preserve"> no case can be founded solely on a procedural error on the part of the Registrar</w:t>
          </w:r>
          <w:r w:rsidRPr="000C3CD4">
            <w:rPr>
              <w:sz w:val="22"/>
            </w:rPr>
            <w:tab/>
          </w:r>
          <w:r w:rsidRPr="000C3CD4">
            <w:rPr>
              <w:sz w:val="22"/>
            </w:rPr>
            <w:fldChar w:fldCharType="begin"/>
          </w:r>
          <w:r w:rsidRPr="000C3CD4">
            <w:rPr>
              <w:sz w:val="22"/>
            </w:rPr>
            <w:instrText xml:space="preserve"> PAGEREF _Toc259911011 \h </w:instrText>
          </w:r>
          <w:r w:rsidR="000C3CD4" w:rsidRPr="000C3CD4">
            <w:rPr>
              <w:sz w:val="22"/>
            </w:rPr>
          </w:r>
          <w:r w:rsidRPr="000C3CD4">
            <w:rPr>
              <w:sz w:val="22"/>
            </w:rPr>
            <w:fldChar w:fldCharType="separate"/>
          </w:r>
          <w:r w:rsidRPr="000C3CD4">
            <w:rPr>
              <w:sz w:val="22"/>
            </w:rPr>
            <w:t>7</w:t>
          </w:r>
          <w:r w:rsidRPr="000C3CD4">
            <w:rPr>
              <w:sz w:val="22"/>
            </w:rPr>
            <w:fldChar w:fldCharType="end"/>
          </w:r>
        </w:p>
        <w:p w:rsidR="003A60FA" w:rsidRPr="000C3CD4" w:rsidRDefault="003A60FA" w:rsidP="000C3CD4">
          <w:pPr>
            <w:pStyle w:val="TOC3"/>
            <w:rPr>
              <w:rFonts w:eastAsiaTheme="minorEastAsia"/>
              <w:sz w:val="22"/>
              <w:szCs w:val="24"/>
            </w:rPr>
          </w:pPr>
          <w:r w:rsidRPr="000C3CD4">
            <w:rPr>
              <w:sz w:val="22"/>
              <w:highlight w:val="yellow"/>
            </w:rPr>
            <w:t>GORDON V HIPWELL</w:t>
          </w:r>
          <w:r w:rsidRPr="000C3CD4">
            <w:rPr>
              <w:sz w:val="22"/>
            </w:rPr>
            <w:tab/>
          </w:r>
          <w:r w:rsidRPr="000C3CD4">
            <w:rPr>
              <w:sz w:val="22"/>
            </w:rPr>
            <w:fldChar w:fldCharType="begin"/>
          </w:r>
          <w:r w:rsidRPr="000C3CD4">
            <w:rPr>
              <w:sz w:val="22"/>
            </w:rPr>
            <w:instrText xml:space="preserve"> PAGEREF _Toc259911012 \h </w:instrText>
          </w:r>
          <w:r w:rsidR="000C3CD4" w:rsidRPr="000C3CD4">
            <w:rPr>
              <w:sz w:val="22"/>
            </w:rPr>
          </w:r>
          <w:r w:rsidRPr="000C3CD4">
            <w:rPr>
              <w:sz w:val="22"/>
            </w:rPr>
            <w:fldChar w:fldCharType="separate"/>
          </w:r>
          <w:r w:rsidRPr="000C3CD4">
            <w:rPr>
              <w:sz w:val="22"/>
            </w:rPr>
            <w:t>8</w:t>
          </w:r>
          <w:r w:rsidRPr="000C3CD4">
            <w:rPr>
              <w:sz w:val="22"/>
            </w:rPr>
            <w:fldChar w:fldCharType="end"/>
          </w:r>
        </w:p>
        <w:p w:rsidR="003A60FA" w:rsidRPr="000C3CD4" w:rsidRDefault="003A60FA">
          <w:pPr>
            <w:pStyle w:val="TOC1"/>
            <w:tabs>
              <w:tab w:val="right" w:leader="dot" w:pos="8630"/>
            </w:tabs>
            <w:rPr>
              <w:rFonts w:eastAsiaTheme="minorEastAsia"/>
              <w:b w:val="0"/>
              <w:noProof/>
              <w:sz w:val="22"/>
              <w:lang w:val="en-US"/>
            </w:rPr>
          </w:pPr>
          <w:r w:rsidRPr="000C3CD4">
            <w:rPr>
              <w:noProof/>
              <w:sz w:val="22"/>
              <w:highlight w:val="yellow"/>
            </w:rPr>
            <w:t>CHAPTER VI: REGISTRATION OF TITLE</w:t>
          </w:r>
          <w:r w:rsidRPr="000C3CD4">
            <w:rPr>
              <w:noProof/>
              <w:sz w:val="22"/>
            </w:rPr>
            <w:tab/>
          </w:r>
          <w:r w:rsidRPr="000C3CD4">
            <w:rPr>
              <w:noProof/>
              <w:sz w:val="22"/>
            </w:rPr>
            <w:fldChar w:fldCharType="begin"/>
          </w:r>
          <w:r w:rsidRPr="000C3CD4">
            <w:rPr>
              <w:noProof/>
              <w:sz w:val="22"/>
            </w:rPr>
            <w:instrText xml:space="preserve"> PAGEREF _Toc259911013 \h </w:instrText>
          </w:r>
          <w:r w:rsidR="000C3CD4" w:rsidRPr="000C3CD4">
            <w:rPr>
              <w:noProof/>
              <w:sz w:val="22"/>
            </w:rPr>
          </w:r>
          <w:r w:rsidRPr="000C3CD4">
            <w:rPr>
              <w:noProof/>
              <w:sz w:val="22"/>
            </w:rPr>
            <w:fldChar w:fldCharType="separate"/>
          </w:r>
          <w:r w:rsidRPr="000C3CD4">
            <w:rPr>
              <w:noProof/>
              <w:sz w:val="22"/>
            </w:rPr>
            <w:t>8</w:t>
          </w:r>
          <w:r w:rsidRPr="000C3CD4">
            <w:rPr>
              <w:noProof/>
              <w:sz w:val="22"/>
            </w:rPr>
            <w:fldChar w:fldCharType="end"/>
          </w:r>
        </w:p>
        <w:p w:rsidR="003A60FA" w:rsidRPr="000C3CD4" w:rsidRDefault="003A60FA">
          <w:pPr>
            <w:pStyle w:val="TOC2"/>
            <w:tabs>
              <w:tab w:val="right" w:leader="dot" w:pos="8630"/>
            </w:tabs>
            <w:rPr>
              <w:rFonts w:eastAsiaTheme="minorEastAsia"/>
              <w:b w:val="0"/>
              <w:noProof/>
              <w:szCs w:val="24"/>
              <w:lang w:val="en-US"/>
            </w:rPr>
          </w:pPr>
          <w:r w:rsidRPr="000C3CD4">
            <w:rPr>
              <w:noProof/>
              <w:sz w:val="20"/>
            </w:rPr>
            <w:t>Effect of indefeasible title</w:t>
          </w:r>
          <w:r w:rsidRPr="000C3CD4">
            <w:rPr>
              <w:noProof/>
              <w:sz w:val="20"/>
            </w:rPr>
            <w:tab/>
          </w:r>
          <w:r w:rsidRPr="000C3CD4">
            <w:rPr>
              <w:noProof/>
              <w:sz w:val="20"/>
            </w:rPr>
            <w:fldChar w:fldCharType="begin"/>
          </w:r>
          <w:r w:rsidRPr="000C3CD4">
            <w:rPr>
              <w:noProof/>
              <w:sz w:val="20"/>
            </w:rPr>
            <w:instrText xml:space="preserve"> PAGEREF _Toc259911014 \h </w:instrText>
          </w:r>
          <w:r w:rsidR="000C3CD4" w:rsidRPr="000C3CD4">
            <w:rPr>
              <w:noProof/>
              <w:sz w:val="20"/>
            </w:rPr>
          </w:r>
          <w:r w:rsidRPr="000C3CD4">
            <w:rPr>
              <w:noProof/>
              <w:sz w:val="20"/>
            </w:rPr>
            <w:fldChar w:fldCharType="separate"/>
          </w:r>
          <w:r w:rsidRPr="000C3CD4">
            <w:rPr>
              <w:noProof/>
              <w:sz w:val="20"/>
            </w:rPr>
            <w:t>8</w:t>
          </w:r>
          <w:r w:rsidRPr="000C3CD4">
            <w:rPr>
              <w:noProof/>
              <w:sz w:val="20"/>
            </w:rPr>
            <w:fldChar w:fldCharType="end"/>
          </w:r>
        </w:p>
        <w:p w:rsidR="003A60FA" w:rsidRPr="000C3CD4" w:rsidRDefault="003A60FA">
          <w:pPr>
            <w:pStyle w:val="TOC2"/>
            <w:tabs>
              <w:tab w:val="right" w:leader="dot" w:pos="8630"/>
            </w:tabs>
            <w:rPr>
              <w:rFonts w:eastAsiaTheme="minorEastAsia"/>
              <w:b w:val="0"/>
              <w:noProof/>
              <w:szCs w:val="24"/>
              <w:lang w:val="en-US"/>
            </w:rPr>
          </w:pPr>
          <w:r w:rsidRPr="000C3CD4">
            <w:rPr>
              <w:noProof/>
              <w:sz w:val="20"/>
              <w:lang w:val="en-US"/>
            </w:rPr>
            <w:t>The General Principle of Indefeasibility</w:t>
          </w:r>
          <w:r w:rsidRPr="000C3CD4">
            <w:rPr>
              <w:noProof/>
              <w:sz w:val="20"/>
            </w:rPr>
            <w:tab/>
          </w:r>
          <w:r w:rsidRPr="000C3CD4">
            <w:rPr>
              <w:noProof/>
              <w:sz w:val="20"/>
            </w:rPr>
            <w:fldChar w:fldCharType="begin"/>
          </w:r>
          <w:r w:rsidRPr="000C3CD4">
            <w:rPr>
              <w:noProof/>
              <w:sz w:val="20"/>
            </w:rPr>
            <w:instrText xml:space="preserve"> PAGEREF _Toc259911015 \h </w:instrText>
          </w:r>
          <w:r w:rsidR="000C3CD4" w:rsidRPr="000C3CD4">
            <w:rPr>
              <w:noProof/>
              <w:sz w:val="20"/>
            </w:rPr>
          </w:r>
          <w:r w:rsidRPr="000C3CD4">
            <w:rPr>
              <w:noProof/>
              <w:sz w:val="20"/>
            </w:rPr>
            <w:fldChar w:fldCharType="separate"/>
          </w:r>
          <w:r w:rsidRPr="000C3CD4">
            <w:rPr>
              <w:noProof/>
              <w:sz w:val="20"/>
            </w:rPr>
            <w:t>9</w:t>
          </w:r>
          <w:r w:rsidRPr="000C3CD4">
            <w:rPr>
              <w:noProof/>
              <w:sz w:val="20"/>
            </w:rPr>
            <w:fldChar w:fldCharType="end"/>
          </w:r>
        </w:p>
        <w:p w:rsidR="003A60FA" w:rsidRPr="000C3CD4" w:rsidRDefault="003A60FA" w:rsidP="000C3CD4">
          <w:pPr>
            <w:pStyle w:val="TOC3"/>
            <w:rPr>
              <w:rFonts w:eastAsiaTheme="minorEastAsia"/>
              <w:sz w:val="22"/>
              <w:szCs w:val="24"/>
            </w:rPr>
          </w:pPr>
          <w:r w:rsidRPr="000C3CD4">
            <w:rPr>
              <w:sz w:val="22"/>
              <w:highlight w:val="yellow"/>
            </w:rPr>
            <w:t xml:space="preserve">CREELMAN V. HUDSON BAY INSURANCE CO </w:t>
          </w:r>
          <w:r w:rsidRPr="000C3CD4">
            <w:rPr>
              <w:sz w:val="22"/>
            </w:rPr>
            <w:t xml:space="preserve"> certificate of title provides indefeasibility</w:t>
          </w:r>
          <w:r w:rsidRPr="000C3CD4">
            <w:rPr>
              <w:sz w:val="22"/>
            </w:rPr>
            <w:tab/>
          </w:r>
          <w:r w:rsidRPr="000C3CD4">
            <w:rPr>
              <w:sz w:val="22"/>
            </w:rPr>
            <w:fldChar w:fldCharType="begin"/>
          </w:r>
          <w:r w:rsidRPr="000C3CD4">
            <w:rPr>
              <w:sz w:val="22"/>
            </w:rPr>
            <w:instrText xml:space="preserve"> PAGEREF _Toc259911016 \h </w:instrText>
          </w:r>
          <w:r w:rsidR="000C3CD4" w:rsidRPr="000C3CD4">
            <w:rPr>
              <w:sz w:val="22"/>
            </w:rPr>
          </w:r>
          <w:r w:rsidRPr="000C3CD4">
            <w:rPr>
              <w:sz w:val="22"/>
            </w:rPr>
            <w:fldChar w:fldCharType="separate"/>
          </w:r>
          <w:r w:rsidRPr="000C3CD4">
            <w:rPr>
              <w:sz w:val="22"/>
            </w:rPr>
            <w:t>9</w:t>
          </w:r>
          <w:r w:rsidRPr="000C3CD4">
            <w:rPr>
              <w:sz w:val="22"/>
            </w:rPr>
            <w:fldChar w:fldCharType="end"/>
          </w:r>
        </w:p>
        <w:p w:rsidR="003A60FA" w:rsidRPr="000C3CD4" w:rsidRDefault="003A60FA">
          <w:pPr>
            <w:pStyle w:val="TOC2"/>
            <w:tabs>
              <w:tab w:val="right" w:leader="dot" w:pos="8630"/>
            </w:tabs>
            <w:rPr>
              <w:rFonts w:eastAsiaTheme="minorEastAsia"/>
              <w:b w:val="0"/>
              <w:noProof/>
              <w:szCs w:val="24"/>
              <w:lang w:val="en-US"/>
            </w:rPr>
          </w:pPr>
          <w:r w:rsidRPr="000C3CD4">
            <w:rPr>
              <w:noProof/>
              <w:sz w:val="20"/>
            </w:rPr>
            <w:t>Indefeasibility and Adverse Possession</w:t>
          </w:r>
          <w:r w:rsidRPr="000C3CD4">
            <w:rPr>
              <w:noProof/>
              <w:sz w:val="20"/>
            </w:rPr>
            <w:tab/>
          </w:r>
          <w:r w:rsidRPr="000C3CD4">
            <w:rPr>
              <w:noProof/>
              <w:sz w:val="20"/>
            </w:rPr>
            <w:fldChar w:fldCharType="begin"/>
          </w:r>
          <w:r w:rsidRPr="000C3CD4">
            <w:rPr>
              <w:noProof/>
              <w:sz w:val="20"/>
            </w:rPr>
            <w:instrText xml:space="preserve"> PAGEREF _Toc259911017 \h </w:instrText>
          </w:r>
          <w:r w:rsidR="000C3CD4" w:rsidRPr="000C3CD4">
            <w:rPr>
              <w:noProof/>
              <w:sz w:val="20"/>
            </w:rPr>
          </w:r>
          <w:r w:rsidRPr="000C3CD4">
            <w:rPr>
              <w:noProof/>
              <w:sz w:val="20"/>
            </w:rPr>
            <w:fldChar w:fldCharType="separate"/>
          </w:r>
          <w:r w:rsidRPr="000C3CD4">
            <w:rPr>
              <w:noProof/>
              <w:sz w:val="20"/>
            </w:rPr>
            <w:t>9</w:t>
          </w:r>
          <w:r w:rsidRPr="000C3CD4">
            <w:rPr>
              <w:noProof/>
              <w:sz w:val="20"/>
            </w:rPr>
            <w:fldChar w:fldCharType="end"/>
          </w:r>
        </w:p>
        <w:p w:rsidR="003A60FA" w:rsidRPr="000C3CD4" w:rsidRDefault="003A60FA">
          <w:pPr>
            <w:pStyle w:val="TOC2"/>
            <w:tabs>
              <w:tab w:val="right" w:leader="dot" w:pos="8630"/>
            </w:tabs>
            <w:rPr>
              <w:rFonts w:eastAsiaTheme="minorEastAsia"/>
              <w:b w:val="0"/>
              <w:noProof/>
              <w:szCs w:val="24"/>
              <w:lang w:val="en-US"/>
            </w:rPr>
          </w:pPr>
          <w:r w:rsidRPr="000C3CD4">
            <w:rPr>
              <w:noProof/>
              <w:sz w:val="20"/>
            </w:rPr>
            <w:t>Statutory Exceptions to Indefeasibility</w:t>
          </w:r>
          <w:r w:rsidRPr="000C3CD4">
            <w:rPr>
              <w:noProof/>
              <w:sz w:val="20"/>
            </w:rPr>
            <w:tab/>
          </w:r>
          <w:r w:rsidRPr="000C3CD4">
            <w:rPr>
              <w:noProof/>
              <w:sz w:val="20"/>
            </w:rPr>
            <w:fldChar w:fldCharType="begin"/>
          </w:r>
          <w:r w:rsidRPr="000C3CD4">
            <w:rPr>
              <w:noProof/>
              <w:sz w:val="20"/>
            </w:rPr>
            <w:instrText xml:space="preserve"> PAGEREF _Toc259911018 \h </w:instrText>
          </w:r>
          <w:r w:rsidR="000C3CD4" w:rsidRPr="000C3CD4">
            <w:rPr>
              <w:noProof/>
              <w:sz w:val="20"/>
            </w:rPr>
          </w:r>
          <w:r w:rsidRPr="000C3CD4">
            <w:rPr>
              <w:noProof/>
              <w:sz w:val="20"/>
            </w:rPr>
            <w:fldChar w:fldCharType="separate"/>
          </w:r>
          <w:r w:rsidRPr="000C3CD4">
            <w:rPr>
              <w:noProof/>
              <w:sz w:val="20"/>
            </w:rPr>
            <w:t>10</w:t>
          </w:r>
          <w:r w:rsidRPr="000C3CD4">
            <w:rPr>
              <w:noProof/>
              <w:sz w:val="20"/>
            </w:rPr>
            <w:fldChar w:fldCharType="end"/>
          </w:r>
        </w:p>
        <w:p w:rsidR="003A60FA" w:rsidRPr="000C3CD4" w:rsidRDefault="003A60FA" w:rsidP="000C3CD4">
          <w:pPr>
            <w:pStyle w:val="TOC3"/>
            <w:rPr>
              <w:rFonts w:eastAsiaTheme="minorEastAsia"/>
              <w:sz w:val="24"/>
              <w:szCs w:val="24"/>
            </w:rPr>
          </w:pPr>
          <w:r w:rsidRPr="000C3CD4">
            <w:rPr>
              <w:sz w:val="22"/>
              <w:highlight w:val="yellow"/>
            </w:rPr>
            <w:t>CARR v RAYWARD</w:t>
          </w:r>
          <w:r w:rsidRPr="000C3CD4">
            <w:rPr>
              <w:sz w:val="22"/>
            </w:rPr>
            <w:t xml:space="preserve"> s23 provides a builders lien limits indefeasibility</w:t>
          </w:r>
          <w:r w:rsidRPr="000C3CD4">
            <w:rPr>
              <w:sz w:val="22"/>
            </w:rPr>
            <w:tab/>
          </w:r>
          <w:r w:rsidRPr="000C3CD4">
            <w:rPr>
              <w:sz w:val="22"/>
            </w:rPr>
            <w:fldChar w:fldCharType="begin"/>
          </w:r>
          <w:r w:rsidRPr="000C3CD4">
            <w:rPr>
              <w:sz w:val="22"/>
            </w:rPr>
            <w:instrText xml:space="preserve"> PAGEREF _Toc259911019 \h </w:instrText>
          </w:r>
          <w:r w:rsidR="000C3CD4" w:rsidRPr="000C3CD4">
            <w:rPr>
              <w:sz w:val="22"/>
            </w:rPr>
          </w:r>
          <w:r w:rsidRPr="000C3CD4">
            <w:rPr>
              <w:sz w:val="22"/>
            </w:rPr>
            <w:fldChar w:fldCharType="separate"/>
          </w:r>
          <w:r w:rsidRPr="000C3CD4">
            <w:rPr>
              <w:sz w:val="22"/>
            </w:rPr>
            <w:t>10</w:t>
          </w:r>
          <w:r w:rsidRPr="000C3CD4">
            <w:rPr>
              <w:sz w:val="22"/>
            </w:rPr>
            <w:fldChar w:fldCharType="end"/>
          </w:r>
        </w:p>
        <w:p w:rsidR="003A60FA" w:rsidRPr="000C3CD4" w:rsidRDefault="003A60FA" w:rsidP="000C3CD4">
          <w:pPr>
            <w:pStyle w:val="TOC3"/>
            <w:rPr>
              <w:rFonts w:eastAsiaTheme="minorEastAsia"/>
              <w:sz w:val="22"/>
              <w:szCs w:val="24"/>
            </w:rPr>
          </w:pPr>
          <w:r w:rsidRPr="000C3CD4">
            <w:rPr>
              <w:sz w:val="22"/>
              <w:highlight w:val="yellow"/>
            </w:rPr>
            <w:t>GILL v BUCHOLTZ</w:t>
          </w:r>
          <w:r w:rsidRPr="000C3CD4">
            <w:rPr>
              <w:sz w:val="22"/>
            </w:rPr>
            <w:t xml:space="preserve"> all BFPV interests lower than FS only give rise to </w:t>
          </w:r>
          <w:r w:rsidRPr="000C3CD4">
            <w:rPr>
              <w:i/>
              <w:sz w:val="22"/>
            </w:rPr>
            <w:t xml:space="preserve">rebuttable presumption of entitlement </w:t>
          </w:r>
          <w:r w:rsidRPr="000C3CD4">
            <w:rPr>
              <w:sz w:val="22"/>
            </w:rPr>
            <w:t>/ First West Credit Union note (void vs voidable)</w:t>
          </w:r>
          <w:r w:rsidRPr="000C3CD4">
            <w:rPr>
              <w:sz w:val="22"/>
            </w:rPr>
            <w:tab/>
          </w:r>
          <w:r w:rsidRPr="000C3CD4">
            <w:rPr>
              <w:sz w:val="22"/>
            </w:rPr>
            <w:fldChar w:fldCharType="begin"/>
          </w:r>
          <w:r w:rsidRPr="000C3CD4">
            <w:rPr>
              <w:sz w:val="22"/>
            </w:rPr>
            <w:instrText xml:space="preserve"> PAGEREF _Toc259911020 \h </w:instrText>
          </w:r>
          <w:r w:rsidR="000C3CD4" w:rsidRPr="000C3CD4">
            <w:rPr>
              <w:sz w:val="22"/>
            </w:rPr>
          </w:r>
          <w:r w:rsidRPr="000C3CD4">
            <w:rPr>
              <w:sz w:val="22"/>
            </w:rPr>
            <w:fldChar w:fldCharType="separate"/>
          </w:r>
          <w:r w:rsidRPr="000C3CD4">
            <w:rPr>
              <w:sz w:val="22"/>
            </w:rPr>
            <w:t>12</w:t>
          </w:r>
          <w:r w:rsidRPr="000C3CD4">
            <w:rPr>
              <w:sz w:val="22"/>
            </w:rPr>
            <w:fldChar w:fldCharType="end"/>
          </w:r>
        </w:p>
        <w:p w:rsidR="003A60FA" w:rsidRPr="000C3CD4" w:rsidRDefault="003A60FA">
          <w:pPr>
            <w:pStyle w:val="TOC2"/>
            <w:tabs>
              <w:tab w:val="right" w:leader="dot" w:pos="8630"/>
            </w:tabs>
            <w:rPr>
              <w:rFonts w:eastAsiaTheme="minorEastAsia"/>
              <w:b w:val="0"/>
              <w:noProof/>
              <w:szCs w:val="24"/>
              <w:lang w:val="en-US"/>
            </w:rPr>
          </w:pPr>
          <w:r w:rsidRPr="000C3CD4">
            <w:rPr>
              <w:noProof/>
              <w:sz w:val="20"/>
            </w:rPr>
            <w:t xml:space="preserve">Notice of Unregistered Interests – </w:t>
          </w:r>
          <w:r w:rsidRPr="000C3CD4">
            <w:rPr>
              <w:b w:val="0"/>
              <w:noProof/>
              <w:sz w:val="20"/>
            </w:rPr>
            <w:t>curtain principles abolishes equitable doctrine of notice (replaces with “notice+”)</w:t>
          </w:r>
          <w:r w:rsidRPr="000C3CD4">
            <w:rPr>
              <w:noProof/>
              <w:sz w:val="20"/>
            </w:rPr>
            <w:tab/>
          </w:r>
          <w:r w:rsidRPr="000C3CD4">
            <w:rPr>
              <w:noProof/>
              <w:sz w:val="20"/>
            </w:rPr>
            <w:fldChar w:fldCharType="begin"/>
          </w:r>
          <w:r w:rsidRPr="000C3CD4">
            <w:rPr>
              <w:noProof/>
              <w:sz w:val="20"/>
            </w:rPr>
            <w:instrText xml:space="preserve"> PAGEREF _Toc259911021 \h </w:instrText>
          </w:r>
          <w:r w:rsidR="000C3CD4" w:rsidRPr="000C3CD4">
            <w:rPr>
              <w:noProof/>
              <w:sz w:val="20"/>
            </w:rPr>
          </w:r>
          <w:r w:rsidRPr="000C3CD4">
            <w:rPr>
              <w:noProof/>
              <w:sz w:val="20"/>
            </w:rPr>
            <w:fldChar w:fldCharType="separate"/>
          </w:r>
          <w:r w:rsidRPr="000C3CD4">
            <w:rPr>
              <w:noProof/>
              <w:sz w:val="20"/>
            </w:rPr>
            <w:t>12</w:t>
          </w:r>
          <w:r w:rsidRPr="000C3CD4">
            <w:rPr>
              <w:noProof/>
              <w:sz w:val="20"/>
            </w:rPr>
            <w:fldChar w:fldCharType="end"/>
          </w:r>
        </w:p>
        <w:p w:rsidR="003A60FA" w:rsidRPr="000C3CD4" w:rsidRDefault="003A60FA" w:rsidP="000C3CD4">
          <w:pPr>
            <w:pStyle w:val="TOC3"/>
            <w:rPr>
              <w:rFonts w:eastAsiaTheme="minorEastAsia"/>
              <w:sz w:val="22"/>
              <w:szCs w:val="24"/>
            </w:rPr>
          </w:pPr>
          <w:r w:rsidRPr="000C3CD4">
            <w:rPr>
              <w:sz w:val="22"/>
              <w:highlight w:val="yellow"/>
            </w:rPr>
            <w:t>HUDSON’S BAY CO. V KEARNS AND ROWLING (1895)</w:t>
          </w:r>
          <w:r w:rsidRPr="000C3CD4">
            <w:rPr>
              <w:sz w:val="22"/>
            </w:rPr>
            <w:t xml:space="preserve"> fraud requires direct proof, BPFV is protected from any kind of notice, except express notice of unregistered interest before purchase and sale agreement, in which case something more than purchase is needed</w:t>
          </w:r>
          <w:r w:rsidRPr="000C3CD4">
            <w:rPr>
              <w:sz w:val="22"/>
            </w:rPr>
            <w:tab/>
          </w:r>
          <w:r w:rsidRPr="000C3CD4">
            <w:rPr>
              <w:sz w:val="22"/>
            </w:rPr>
            <w:fldChar w:fldCharType="begin"/>
          </w:r>
          <w:r w:rsidRPr="000C3CD4">
            <w:rPr>
              <w:sz w:val="22"/>
            </w:rPr>
            <w:instrText xml:space="preserve"> PAGEREF _Toc259911022 \h </w:instrText>
          </w:r>
          <w:r w:rsidR="000C3CD4" w:rsidRPr="000C3CD4">
            <w:rPr>
              <w:sz w:val="22"/>
            </w:rPr>
          </w:r>
          <w:r w:rsidRPr="000C3CD4">
            <w:rPr>
              <w:sz w:val="22"/>
            </w:rPr>
            <w:fldChar w:fldCharType="separate"/>
          </w:r>
          <w:r w:rsidRPr="000C3CD4">
            <w:rPr>
              <w:sz w:val="22"/>
            </w:rPr>
            <w:t>13</w:t>
          </w:r>
          <w:r w:rsidRPr="000C3CD4">
            <w:rPr>
              <w:sz w:val="22"/>
            </w:rPr>
            <w:fldChar w:fldCharType="end"/>
          </w:r>
        </w:p>
        <w:p w:rsidR="003A60FA" w:rsidRPr="000C3CD4" w:rsidRDefault="003A60FA" w:rsidP="000C3CD4">
          <w:pPr>
            <w:pStyle w:val="TOC3"/>
            <w:rPr>
              <w:rFonts w:eastAsiaTheme="minorEastAsia"/>
              <w:sz w:val="22"/>
              <w:szCs w:val="24"/>
            </w:rPr>
          </w:pPr>
          <w:r w:rsidRPr="000C3CD4">
            <w:rPr>
              <w:sz w:val="22"/>
              <w:highlight w:val="yellow"/>
            </w:rPr>
            <w:t>VANCOUVER CITY SAVINGS CREDIT UNION v SERVING FOR SUCCESS CONSULTING 2011 BCSC</w:t>
          </w:r>
          <w:r w:rsidRPr="000C3CD4">
            <w:rPr>
              <w:sz w:val="22"/>
            </w:rPr>
            <w:t xml:space="preserve"> something more (deliberate dishonesty, ulterior motive) than actual notice of unregistered interest is required to constitute equitable fraud</w:t>
          </w:r>
          <w:r w:rsidRPr="000C3CD4">
            <w:rPr>
              <w:sz w:val="22"/>
            </w:rPr>
            <w:tab/>
          </w:r>
          <w:r w:rsidRPr="000C3CD4">
            <w:rPr>
              <w:sz w:val="22"/>
            </w:rPr>
            <w:fldChar w:fldCharType="begin"/>
          </w:r>
          <w:r w:rsidRPr="000C3CD4">
            <w:rPr>
              <w:sz w:val="22"/>
            </w:rPr>
            <w:instrText xml:space="preserve"> PAGEREF _Toc259911023 \h </w:instrText>
          </w:r>
          <w:r w:rsidR="000C3CD4" w:rsidRPr="000C3CD4">
            <w:rPr>
              <w:sz w:val="22"/>
            </w:rPr>
          </w:r>
          <w:r w:rsidRPr="000C3CD4">
            <w:rPr>
              <w:sz w:val="22"/>
            </w:rPr>
            <w:fldChar w:fldCharType="separate"/>
          </w:r>
          <w:r w:rsidRPr="000C3CD4">
            <w:rPr>
              <w:sz w:val="22"/>
            </w:rPr>
            <w:t>14</w:t>
          </w:r>
          <w:r w:rsidRPr="000C3CD4">
            <w:rPr>
              <w:sz w:val="22"/>
            </w:rPr>
            <w:fldChar w:fldCharType="end"/>
          </w:r>
        </w:p>
        <w:p w:rsidR="003A60FA" w:rsidRPr="000C3CD4" w:rsidRDefault="003A60FA" w:rsidP="000C3CD4">
          <w:pPr>
            <w:pStyle w:val="TOC3"/>
            <w:rPr>
              <w:rFonts w:eastAsiaTheme="minorEastAsia"/>
              <w:sz w:val="22"/>
              <w:szCs w:val="24"/>
            </w:rPr>
          </w:pPr>
          <w:r w:rsidRPr="000C3CD4">
            <w:rPr>
              <w:sz w:val="22"/>
              <w:highlight w:val="yellow"/>
            </w:rPr>
            <w:t>GREVELING v GREVELING 1950 BCCA</w:t>
          </w:r>
          <w:r w:rsidRPr="000C3CD4">
            <w:rPr>
              <w:sz w:val="22"/>
            </w:rPr>
            <w:t xml:space="preserve"> – knowledge of agent (lawyer) is imputed to the principal unless the principal himself was a victim of fraud.</w:t>
          </w:r>
          <w:r w:rsidRPr="000C3CD4">
            <w:rPr>
              <w:sz w:val="22"/>
            </w:rPr>
            <w:tab/>
          </w:r>
          <w:r w:rsidRPr="000C3CD4">
            <w:rPr>
              <w:sz w:val="22"/>
            </w:rPr>
            <w:fldChar w:fldCharType="begin"/>
          </w:r>
          <w:r w:rsidRPr="000C3CD4">
            <w:rPr>
              <w:sz w:val="22"/>
            </w:rPr>
            <w:instrText xml:space="preserve"> PAGEREF _Toc259911024 \h </w:instrText>
          </w:r>
          <w:r w:rsidR="000C3CD4" w:rsidRPr="000C3CD4">
            <w:rPr>
              <w:sz w:val="22"/>
            </w:rPr>
          </w:r>
          <w:r w:rsidRPr="000C3CD4">
            <w:rPr>
              <w:sz w:val="22"/>
            </w:rPr>
            <w:fldChar w:fldCharType="separate"/>
          </w:r>
          <w:r w:rsidRPr="000C3CD4">
            <w:rPr>
              <w:sz w:val="22"/>
            </w:rPr>
            <w:t>14</w:t>
          </w:r>
          <w:r w:rsidRPr="000C3CD4">
            <w:rPr>
              <w:sz w:val="22"/>
            </w:rPr>
            <w:fldChar w:fldCharType="end"/>
          </w:r>
        </w:p>
        <w:p w:rsidR="003A60FA" w:rsidRPr="000C3CD4" w:rsidRDefault="003A60FA" w:rsidP="000C3CD4">
          <w:pPr>
            <w:pStyle w:val="TOC3"/>
            <w:rPr>
              <w:rFonts w:eastAsiaTheme="minorEastAsia"/>
              <w:sz w:val="22"/>
              <w:szCs w:val="24"/>
            </w:rPr>
          </w:pPr>
          <w:r w:rsidRPr="000C3CD4">
            <w:rPr>
              <w:sz w:val="22"/>
              <w:highlight w:val="yellow"/>
            </w:rPr>
            <w:t>RE SAVILLE ROW PROPERTIES LTD (1969) BCSC</w:t>
          </w:r>
          <w:r w:rsidRPr="000C3CD4">
            <w:rPr>
              <w:sz w:val="22"/>
            </w:rPr>
            <w:t xml:space="preserve"> – the onus is on the party alleging fraud to prove fraud. Law will presume against fraud.</w:t>
          </w:r>
          <w:r w:rsidRPr="000C3CD4">
            <w:rPr>
              <w:sz w:val="22"/>
            </w:rPr>
            <w:tab/>
          </w:r>
          <w:r w:rsidRPr="000C3CD4">
            <w:rPr>
              <w:sz w:val="22"/>
            </w:rPr>
            <w:fldChar w:fldCharType="begin"/>
          </w:r>
          <w:r w:rsidRPr="000C3CD4">
            <w:rPr>
              <w:sz w:val="22"/>
            </w:rPr>
            <w:instrText xml:space="preserve"> PAGEREF _Toc259911025 \h </w:instrText>
          </w:r>
          <w:r w:rsidR="000C3CD4" w:rsidRPr="000C3CD4">
            <w:rPr>
              <w:sz w:val="22"/>
            </w:rPr>
          </w:r>
          <w:r w:rsidRPr="000C3CD4">
            <w:rPr>
              <w:sz w:val="22"/>
            </w:rPr>
            <w:fldChar w:fldCharType="separate"/>
          </w:r>
          <w:r w:rsidRPr="000C3CD4">
            <w:rPr>
              <w:sz w:val="22"/>
            </w:rPr>
            <w:t>15</w:t>
          </w:r>
          <w:r w:rsidRPr="000C3CD4">
            <w:rPr>
              <w:sz w:val="22"/>
            </w:rPr>
            <w:fldChar w:fldCharType="end"/>
          </w:r>
        </w:p>
        <w:p w:rsidR="003A60FA" w:rsidRPr="000C3CD4" w:rsidRDefault="003A60FA">
          <w:pPr>
            <w:pStyle w:val="TOC2"/>
            <w:tabs>
              <w:tab w:val="right" w:leader="dot" w:pos="8630"/>
            </w:tabs>
            <w:rPr>
              <w:rFonts w:eastAsiaTheme="minorEastAsia"/>
              <w:b w:val="0"/>
              <w:noProof/>
              <w:szCs w:val="24"/>
              <w:lang w:val="en-US"/>
            </w:rPr>
          </w:pPr>
          <w:r w:rsidRPr="000C3CD4">
            <w:rPr>
              <w:noProof/>
              <w:sz w:val="20"/>
              <w:lang w:val="en-US"/>
            </w:rPr>
            <w:t>“In Personam” Claims”</w:t>
          </w:r>
          <w:r w:rsidRPr="000C3CD4">
            <w:rPr>
              <w:noProof/>
              <w:sz w:val="20"/>
            </w:rPr>
            <w:tab/>
          </w:r>
          <w:r w:rsidRPr="000C3CD4">
            <w:rPr>
              <w:noProof/>
              <w:sz w:val="20"/>
            </w:rPr>
            <w:fldChar w:fldCharType="begin"/>
          </w:r>
          <w:r w:rsidRPr="000C3CD4">
            <w:rPr>
              <w:noProof/>
              <w:sz w:val="20"/>
            </w:rPr>
            <w:instrText xml:space="preserve"> PAGEREF _Toc259911026 \h </w:instrText>
          </w:r>
          <w:r w:rsidR="000C3CD4" w:rsidRPr="000C3CD4">
            <w:rPr>
              <w:noProof/>
              <w:sz w:val="20"/>
            </w:rPr>
          </w:r>
          <w:r w:rsidRPr="000C3CD4">
            <w:rPr>
              <w:noProof/>
              <w:sz w:val="20"/>
            </w:rPr>
            <w:fldChar w:fldCharType="separate"/>
          </w:r>
          <w:r w:rsidRPr="000C3CD4">
            <w:rPr>
              <w:noProof/>
              <w:sz w:val="20"/>
            </w:rPr>
            <w:t>16</w:t>
          </w:r>
          <w:r w:rsidRPr="000C3CD4">
            <w:rPr>
              <w:noProof/>
              <w:sz w:val="20"/>
            </w:rPr>
            <w:fldChar w:fldCharType="end"/>
          </w:r>
        </w:p>
        <w:p w:rsidR="003A60FA" w:rsidRPr="000C3CD4" w:rsidRDefault="003A60FA" w:rsidP="000C3CD4">
          <w:pPr>
            <w:pStyle w:val="TOC3"/>
            <w:rPr>
              <w:rFonts w:eastAsiaTheme="minorEastAsia"/>
              <w:sz w:val="22"/>
              <w:szCs w:val="24"/>
            </w:rPr>
          </w:pPr>
          <w:r w:rsidRPr="000C3CD4">
            <w:rPr>
              <w:sz w:val="22"/>
              <w:highlight w:val="yellow"/>
            </w:rPr>
            <w:t>PACIFIC SAVINGS AND MORTGAGE CORP. v. CAN-CORP DEVELOPMENTS [1982]</w:t>
          </w:r>
          <w:r w:rsidRPr="000C3CD4">
            <w:rPr>
              <w:sz w:val="22"/>
            </w:rPr>
            <w:t xml:space="preserve"> a registered owner might be attacked by a person claiming an interest in the lands described in the title.</w:t>
          </w:r>
          <w:r w:rsidRPr="000C3CD4">
            <w:rPr>
              <w:sz w:val="22"/>
            </w:rPr>
            <w:tab/>
          </w:r>
          <w:r w:rsidRPr="000C3CD4">
            <w:rPr>
              <w:sz w:val="22"/>
            </w:rPr>
            <w:fldChar w:fldCharType="begin"/>
          </w:r>
          <w:r w:rsidRPr="000C3CD4">
            <w:rPr>
              <w:sz w:val="22"/>
            </w:rPr>
            <w:instrText xml:space="preserve"> PAGEREF _Toc259911027 \h </w:instrText>
          </w:r>
          <w:r w:rsidR="000C3CD4" w:rsidRPr="000C3CD4">
            <w:rPr>
              <w:sz w:val="22"/>
            </w:rPr>
          </w:r>
          <w:r w:rsidRPr="000C3CD4">
            <w:rPr>
              <w:sz w:val="22"/>
            </w:rPr>
            <w:fldChar w:fldCharType="separate"/>
          </w:r>
          <w:r w:rsidRPr="000C3CD4">
            <w:rPr>
              <w:sz w:val="22"/>
            </w:rPr>
            <w:t>16</w:t>
          </w:r>
          <w:r w:rsidRPr="000C3CD4">
            <w:rPr>
              <w:sz w:val="22"/>
            </w:rPr>
            <w:fldChar w:fldCharType="end"/>
          </w:r>
        </w:p>
        <w:p w:rsidR="003A60FA" w:rsidRPr="000C3CD4" w:rsidRDefault="003A60FA" w:rsidP="000C3CD4">
          <w:pPr>
            <w:pStyle w:val="TOC3"/>
            <w:rPr>
              <w:rFonts w:eastAsiaTheme="minorEastAsia"/>
              <w:sz w:val="22"/>
              <w:szCs w:val="24"/>
            </w:rPr>
          </w:pPr>
          <w:r w:rsidRPr="000C3CD4">
            <w:rPr>
              <w:sz w:val="22"/>
              <w:highlight w:val="yellow"/>
            </w:rPr>
            <w:t>McRAE v McRAE ESTATE</w:t>
          </w:r>
          <w:r w:rsidRPr="000C3CD4">
            <w:rPr>
              <w:sz w:val="22"/>
            </w:rPr>
            <w:t>: a person is presumed to have full knowledge of everything registered in the title including “in trust”.</w:t>
          </w:r>
          <w:r w:rsidRPr="000C3CD4">
            <w:rPr>
              <w:sz w:val="22"/>
            </w:rPr>
            <w:tab/>
          </w:r>
          <w:r w:rsidRPr="000C3CD4">
            <w:rPr>
              <w:sz w:val="22"/>
            </w:rPr>
            <w:fldChar w:fldCharType="begin"/>
          </w:r>
          <w:r w:rsidRPr="000C3CD4">
            <w:rPr>
              <w:sz w:val="22"/>
            </w:rPr>
            <w:instrText xml:space="preserve"> PAGEREF _Toc259911028 \h </w:instrText>
          </w:r>
          <w:r w:rsidR="000C3CD4" w:rsidRPr="000C3CD4">
            <w:rPr>
              <w:sz w:val="22"/>
            </w:rPr>
          </w:r>
          <w:r w:rsidRPr="000C3CD4">
            <w:rPr>
              <w:sz w:val="22"/>
            </w:rPr>
            <w:fldChar w:fldCharType="separate"/>
          </w:r>
          <w:r w:rsidRPr="000C3CD4">
            <w:rPr>
              <w:sz w:val="22"/>
            </w:rPr>
            <w:t>16</w:t>
          </w:r>
          <w:r w:rsidRPr="000C3CD4">
            <w:rPr>
              <w:sz w:val="22"/>
            </w:rPr>
            <w:fldChar w:fldCharType="end"/>
          </w:r>
        </w:p>
        <w:p w:rsidR="003A60FA" w:rsidRPr="000C3CD4" w:rsidRDefault="003A60FA">
          <w:pPr>
            <w:pStyle w:val="TOC2"/>
            <w:tabs>
              <w:tab w:val="right" w:leader="dot" w:pos="8630"/>
            </w:tabs>
            <w:rPr>
              <w:rFonts w:eastAsiaTheme="minorEastAsia"/>
              <w:b w:val="0"/>
              <w:noProof/>
              <w:szCs w:val="24"/>
              <w:lang w:val="en-US"/>
            </w:rPr>
          </w:pPr>
          <w:r w:rsidRPr="000C3CD4">
            <w:rPr>
              <w:noProof/>
              <w:sz w:val="20"/>
              <w:lang w:val="en-US"/>
            </w:rPr>
            <w:t>B. REGISTRATION: CHARGES</w:t>
          </w:r>
          <w:r w:rsidRPr="000C3CD4">
            <w:rPr>
              <w:noProof/>
              <w:sz w:val="20"/>
            </w:rPr>
            <w:tab/>
          </w:r>
          <w:r w:rsidRPr="000C3CD4">
            <w:rPr>
              <w:noProof/>
              <w:sz w:val="20"/>
            </w:rPr>
            <w:fldChar w:fldCharType="begin"/>
          </w:r>
          <w:r w:rsidRPr="000C3CD4">
            <w:rPr>
              <w:noProof/>
              <w:sz w:val="20"/>
            </w:rPr>
            <w:instrText xml:space="preserve"> PAGEREF _Toc259911029 \h </w:instrText>
          </w:r>
          <w:r w:rsidR="000C3CD4" w:rsidRPr="000C3CD4">
            <w:rPr>
              <w:noProof/>
              <w:sz w:val="20"/>
            </w:rPr>
          </w:r>
          <w:r w:rsidRPr="000C3CD4">
            <w:rPr>
              <w:noProof/>
              <w:sz w:val="20"/>
            </w:rPr>
            <w:fldChar w:fldCharType="separate"/>
          </w:r>
          <w:r w:rsidRPr="000C3CD4">
            <w:rPr>
              <w:noProof/>
              <w:sz w:val="20"/>
            </w:rPr>
            <w:t>17</w:t>
          </w:r>
          <w:r w:rsidRPr="000C3CD4">
            <w:rPr>
              <w:noProof/>
              <w:sz w:val="20"/>
            </w:rPr>
            <w:fldChar w:fldCharType="end"/>
          </w:r>
        </w:p>
        <w:p w:rsidR="003A60FA" w:rsidRPr="000C3CD4" w:rsidRDefault="003A60FA" w:rsidP="000C3CD4">
          <w:pPr>
            <w:pStyle w:val="TOC3"/>
            <w:rPr>
              <w:rFonts w:eastAsiaTheme="minorEastAsia"/>
              <w:sz w:val="22"/>
              <w:szCs w:val="24"/>
            </w:rPr>
          </w:pPr>
          <w:r w:rsidRPr="000C3CD4">
            <w:rPr>
              <w:sz w:val="22"/>
              <w:highlight w:val="yellow"/>
            </w:rPr>
            <w:t>DUKART v SURREY (DISTRICT)</w:t>
          </w:r>
          <w:r w:rsidRPr="000C3CD4">
            <w:rPr>
              <w:sz w:val="22"/>
            </w:rPr>
            <w:t>: middle interpretation: interest in a trust document is considered registered</w:t>
          </w:r>
          <w:r w:rsidRPr="000C3CD4">
            <w:rPr>
              <w:sz w:val="22"/>
            </w:rPr>
            <w:tab/>
          </w:r>
          <w:r w:rsidRPr="000C3CD4">
            <w:rPr>
              <w:sz w:val="22"/>
            </w:rPr>
            <w:fldChar w:fldCharType="begin"/>
          </w:r>
          <w:r w:rsidRPr="000C3CD4">
            <w:rPr>
              <w:sz w:val="22"/>
            </w:rPr>
            <w:instrText xml:space="preserve"> PAGEREF _Toc259911030 \h </w:instrText>
          </w:r>
          <w:r w:rsidR="000C3CD4" w:rsidRPr="000C3CD4">
            <w:rPr>
              <w:sz w:val="22"/>
            </w:rPr>
          </w:r>
          <w:r w:rsidRPr="000C3CD4">
            <w:rPr>
              <w:sz w:val="22"/>
            </w:rPr>
            <w:fldChar w:fldCharType="separate"/>
          </w:r>
          <w:r w:rsidRPr="000C3CD4">
            <w:rPr>
              <w:sz w:val="22"/>
            </w:rPr>
            <w:t>17</w:t>
          </w:r>
          <w:r w:rsidRPr="000C3CD4">
            <w:rPr>
              <w:sz w:val="22"/>
            </w:rPr>
            <w:fldChar w:fldCharType="end"/>
          </w:r>
        </w:p>
        <w:p w:rsidR="003A60FA" w:rsidRPr="000C3CD4" w:rsidRDefault="003A60FA">
          <w:pPr>
            <w:pStyle w:val="TOC2"/>
            <w:tabs>
              <w:tab w:val="right" w:leader="dot" w:pos="8630"/>
            </w:tabs>
            <w:rPr>
              <w:rFonts w:eastAsiaTheme="minorEastAsia"/>
              <w:b w:val="0"/>
              <w:noProof/>
              <w:szCs w:val="24"/>
              <w:lang w:val="en-US"/>
            </w:rPr>
          </w:pPr>
          <w:r w:rsidRPr="000C3CD4">
            <w:rPr>
              <w:noProof/>
              <w:sz w:val="20"/>
              <w:lang w:val="en-US"/>
            </w:rPr>
            <w:t>2. Indefeasibility? [</w:t>
          </w:r>
          <w:r w:rsidRPr="000C3CD4">
            <w:rPr>
              <w:b w:val="0"/>
              <w:noProof/>
              <w:sz w:val="20"/>
              <w:lang w:val="en-US"/>
            </w:rPr>
            <w:t>rebuttable presumption of entitlement, registration not indefeasible or conclusive]</w:t>
          </w:r>
          <w:r w:rsidRPr="000C3CD4">
            <w:rPr>
              <w:noProof/>
              <w:sz w:val="20"/>
            </w:rPr>
            <w:tab/>
          </w:r>
          <w:r w:rsidRPr="000C3CD4">
            <w:rPr>
              <w:noProof/>
              <w:sz w:val="20"/>
            </w:rPr>
            <w:fldChar w:fldCharType="begin"/>
          </w:r>
          <w:r w:rsidRPr="000C3CD4">
            <w:rPr>
              <w:noProof/>
              <w:sz w:val="20"/>
            </w:rPr>
            <w:instrText xml:space="preserve"> PAGEREF _Toc259911031 \h </w:instrText>
          </w:r>
          <w:r w:rsidR="000C3CD4" w:rsidRPr="000C3CD4">
            <w:rPr>
              <w:noProof/>
              <w:sz w:val="20"/>
            </w:rPr>
          </w:r>
          <w:r w:rsidRPr="000C3CD4">
            <w:rPr>
              <w:noProof/>
              <w:sz w:val="20"/>
            </w:rPr>
            <w:fldChar w:fldCharType="separate"/>
          </w:r>
          <w:r w:rsidRPr="000C3CD4">
            <w:rPr>
              <w:noProof/>
              <w:sz w:val="20"/>
            </w:rPr>
            <w:t>18</w:t>
          </w:r>
          <w:r w:rsidRPr="000C3CD4">
            <w:rPr>
              <w:noProof/>
              <w:sz w:val="20"/>
            </w:rPr>
            <w:fldChar w:fldCharType="end"/>
          </w:r>
        </w:p>
        <w:p w:rsidR="003A60FA" w:rsidRPr="000C3CD4" w:rsidRDefault="003A60FA" w:rsidP="000C3CD4">
          <w:pPr>
            <w:pStyle w:val="TOC3"/>
            <w:rPr>
              <w:rFonts w:eastAsiaTheme="minorEastAsia"/>
              <w:sz w:val="22"/>
              <w:szCs w:val="24"/>
            </w:rPr>
          </w:pPr>
          <w:r w:rsidRPr="000C3CD4">
            <w:rPr>
              <w:sz w:val="22"/>
              <w:highlight w:val="yellow"/>
            </w:rPr>
            <w:t>CRÉDIT FONCIER FRANCO-CANADIEN v BENNET (1963)</w:t>
          </w:r>
          <w:r w:rsidRPr="000C3CD4">
            <w:rPr>
              <w:sz w:val="22"/>
            </w:rPr>
            <w:t>: the registration of a charge creates only a rebuttable presumption of entitlement, forged transfer are void</w:t>
          </w:r>
          <w:r w:rsidRPr="000C3CD4">
            <w:rPr>
              <w:sz w:val="22"/>
            </w:rPr>
            <w:tab/>
          </w:r>
          <w:r w:rsidRPr="000C3CD4">
            <w:rPr>
              <w:sz w:val="22"/>
            </w:rPr>
            <w:fldChar w:fldCharType="begin"/>
          </w:r>
          <w:r w:rsidRPr="000C3CD4">
            <w:rPr>
              <w:sz w:val="22"/>
            </w:rPr>
            <w:instrText xml:space="preserve"> PAGEREF _Toc259911032 \h </w:instrText>
          </w:r>
          <w:r w:rsidR="000C3CD4" w:rsidRPr="000C3CD4">
            <w:rPr>
              <w:sz w:val="22"/>
            </w:rPr>
          </w:r>
          <w:r w:rsidRPr="000C3CD4">
            <w:rPr>
              <w:sz w:val="22"/>
            </w:rPr>
            <w:fldChar w:fldCharType="separate"/>
          </w:r>
          <w:r w:rsidRPr="000C3CD4">
            <w:rPr>
              <w:sz w:val="22"/>
            </w:rPr>
            <w:t>18</w:t>
          </w:r>
          <w:r w:rsidRPr="000C3CD4">
            <w:rPr>
              <w:sz w:val="22"/>
            </w:rPr>
            <w:fldChar w:fldCharType="end"/>
          </w:r>
        </w:p>
        <w:p w:rsidR="003A60FA" w:rsidRPr="000C3CD4" w:rsidRDefault="003A60FA" w:rsidP="000C3CD4">
          <w:pPr>
            <w:pStyle w:val="TOC3"/>
            <w:rPr>
              <w:rFonts w:eastAsiaTheme="minorEastAsia"/>
              <w:sz w:val="22"/>
              <w:szCs w:val="24"/>
            </w:rPr>
          </w:pPr>
          <w:r w:rsidRPr="000C3CD4">
            <w:rPr>
              <w:sz w:val="22"/>
              <w:highlight w:val="yellow"/>
            </w:rPr>
            <w:t>CANADIAN COMMERCIAL BANK v ISLAND REALTY INVESTMENS LTD (1988)</w:t>
          </w:r>
          <w:r w:rsidRPr="000C3CD4">
            <w:rPr>
              <w:sz w:val="22"/>
            </w:rPr>
            <w:t>: bona fide purchasers for value of charges are presumed to be entitled to their interests</w:t>
          </w:r>
          <w:r w:rsidRPr="000C3CD4">
            <w:rPr>
              <w:sz w:val="22"/>
            </w:rPr>
            <w:tab/>
          </w:r>
          <w:r w:rsidRPr="000C3CD4">
            <w:rPr>
              <w:sz w:val="22"/>
            </w:rPr>
            <w:fldChar w:fldCharType="begin"/>
          </w:r>
          <w:r w:rsidRPr="000C3CD4">
            <w:rPr>
              <w:sz w:val="22"/>
            </w:rPr>
            <w:instrText xml:space="preserve"> PAGEREF _Toc259911033 \h </w:instrText>
          </w:r>
          <w:r w:rsidR="000C3CD4" w:rsidRPr="000C3CD4">
            <w:rPr>
              <w:sz w:val="22"/>
            </w:rPr>
          </w:r>
          <w:r w:rsidRPr="000C3CD4">
            <w:rPr>
              <w:sz w:val="22"/>
            </w:rPr>
            <w:fldChar w:fldCharType="separate"/>
          </w:r>
          <w:r w:rsidRPr="000C3CD4">
            <w:rPr>
              <w:sz w:val="22"/>
            </w:rPr>
            <w:t>19</w:t>
          </w:r>
          <w:r w:rsidRPr="000C3CD4">
            <w:rPr>
              <w:sz w:val="22"/>
            </w:rPr>
            <w:fldChar w:fldCharType="end"/>
          </w:r>
        </w:p>
        <w:p w:rsidR="003A60FA" w:rsidRPr="000C3CD4" w:rsidRDefault="003A60FA">
          <w:pPr>
            <w:pStyle w:val="TOC1"/>
            <w:tabs>
              <w:tab w:val="right" w:leader="dot" w:pos="8630"/>
            </w:tabs>
            <w:rPr>
              <w:rFonts w:eastAsiaTheme="minorEastAsia"/>
              <w:b w:val="0"/>
              <w:noProof/>
              <w:sz w:val="22"/>
              <w:lang w:val="en-US"/>
            </w:rPr>
          </w:pPr>
          <w:r w:rsidRPr="000C3CD4">
            <w:rPr>
              <w:noProof/>
              <w:sz w:val="22"/>
              <w:highlight w:val="yellow"/>
              <w:lang w:val="en-US"/>
            </w:rPr>
            <w:t>CHAPTER VII – FAILURE TO REGISTER</w:t>
          </w:r>
          <w:r w:rsidRPr="000C3CD4">
            <w:rPr>
              <w:noProof/>
              <w:sz w:val="22"/>
            </w:rPr>
            <w:tab/>
          </w:r>
          <w:r w:rsidRPr="000C3CD4">
            <w:rPr>
              <w:noProof/>
              <w:sz w:val="22"/>
            </w:rPr>
            <w:fldChar w:fldCharType="begin"/>
          </w:r>
          <w:r w:rsidRPr="000C3CD4">
            <w:rPr>
              <w:noProof/>
              <w:sz w:val="22"/>
            </w:rPr>
            <w:instrText xml:space="preserve"> PAGEREF _Toc259911034 \h </w:instrText>
          </w:r>
          <w:r w:rsidR="000C3CD4" w:rsidRPr="000C3CD4">
            <w:rPr>
              <w:noProof/>
              <w:sz w:val="22"/>
            </w:rPr>
          </w:r>
          <w:r w:rsidRPr="000C3CD4">
            <w:rPr>
              <w:noProof/>
              <w:sz w:val="22"/>
            </w:rPr>
            <w:fldChar w:fldCharType="separate"/>
          </w:r>
          <w:r w:rsidRPr="000C3CD4">
            <w:rPr>
              <w:noProof/>
              <w:sz w:val="22"/>
            </w:rPr>
            <w:t>20</w:t>
          </w:r>
          <w:r w:rsidRPr="000C3CD4">
            <w:rPr>
              <w:noProof/>
              <w:sz w:val="22"/>
            </w:rPr>
            <w:fldChar w:fldCharType="end"/>
          </w:r>
        </w:p>
        <w:p w:rsidR="003A60FA" w:rsidRPr="000C3CD4" w:rsidRDefault="003A60FA">
          <w:pPr>
            <w:pStyle w:val="TOC2"/>
            <w:tabs>
              <w:tab w:val="right" w:leader="dot" w:pos="8630"/>
            </w:tabs>
            <w:rPr>
              <w:rFonts w:eastAsiaTheme="minorEastAsia"/>
              <w:b w:val="0"/>
              <w:noProof/>
              <w:szCs w:val="24"/>
              <w:lang w:val="en-US"/>
            </w:rPr>
          </w:pPr>
          <w:r w:rsidRPr="000C3CD4">
            <w:rPr>
              <w:noProof/>
              <w:sz w:val="20"/>
              <w:lang w:val="en-US"/>
            </w:rPr>
            <w:t>The General Principle (</w:t>
          </w:r>
          <w:r w:rsidRPr="000C3CD4">
            <w:rPr>
              <w:b w:val="0"/>
              <w:noProof/>
              <w:sz w:val="20"/>
              <w:lang w:val="en-US"/>
            </w:rPr>
            <w:t>in personam v in rem)</w:t>
          </w:r>
          <w:r w:rsidRPr="000C3CD4">
            <w:rPr>
              <w:noProof/>
              <w:sz w:val="20"/>
            </w:rPr>
            <w:tab/>
          </w:r>
          <w:r w:rsidRPr="000C3CD4">
            <w:rPr>
              <w:noProof/>
              <w:sz w:val="20"/>
            </w:rPr>
            <w:fldChar w:fldCharType="begin"/>
          </w:r>
          <w:r w:rsidRPr="000C3CD4">
            <w:rPr>
              <w:noProof/>
              <w:sz w:val="20"/>
            </w:rPr>
            <w:instrText xml:space="preserve"> PAGEREF _Toc259911035 \h </w:instrText>
          </w:r>
          <w:r w:rsidR="000C3CD4" w:rsidRPr="000C3CD4">
            <w:rPr>
              <w:noProof/>
              <w:sz w:val="20"/>
            </w:rPr>
          </w:r>
          <w:r w:rsidRPr="000C3CD4">
            <w:rPr>
              <w:noProof/>
              <w:sz w:val="20"/>
            </w:rPr>
            <w:fldChar w:fldCharType="separate"/>
          </w:r>
          <w:r w:rsidRPr="000C3CD4">
            <w:rPr>
              <w:noProof/>
              <w:sz w:val="20"/>
            </w:rPr>
            <w:t>20</w:t>
          </w:r>
          <w:r w:rsidRPr="000C3CD4">
            <w:rPr>
              <w:noProof/>
              <w:sz w:val="20"/>
            </w:rPr>
            <w:fldChar w:fldCharType="end"/>
          </w:r>
        </w:p>
        <w:p w:rsidR="003A60FA" w:rsidRPr="000C3CD4" w:rsidRDefault="003A60FA" w:rsidP="000C3CD4">
          <w:pPr>
            <w:pStyle w:val="TOC3"/>
            <w:rPr>
              <w:rFonts w:eastAsiaTheme="minorEastAsia"/>
              <w:sz w:val="22"/>
              <w:szCs w:val="24"/>
            </w:rPr>
          </w:pPr>
          <w:r w:rsidRPr="000C3CD4">
            <w:rPr>
              <w:sz w:val="22"/>
              <w:highlight w:val="yellow"/>
            </w:rPr>
            <w:t>SORENSON v YOUNG [1920]</w:t>
          </w:r>
          <w:r w:rsidRPr="000C3CD4">
            <w:rPr>
              <w:sz w:val="22"/>
            </w:rPr>
            <w:t>: bona fide purchasers for value are protected upon registration from being subject to unregistered interests (unless notice+)</w:t>
          </w:r>
          <w:r w:rsidRPr="000C3CD4">
            <w:rPr>
              <w:sz w:val="22"/>
            </w:rPr>
            <w:tab/>
          </w:r>
          <w:r w:rsidRPr="000C3CD4">
            <w:rPr>
              <w:sz w:val="22"/>
            </w:rPr>
            <w:fldChar w:fldCharType="begin"/>
          </w:r>
          <w:r w:rsidRPr="000C3CD4">
            <w:rPr>
              <w:sz w:val="22"/>
            </w:rPr>
            <w:instrText xml:space="preserve"> PAGEREF _Toc259911036 \h </w:instrText>
          </w:r>
          <w:r w:rsidR="000C3CD4" w:rsidRPr="000C3CD4">
            <w:rPr>
              <w:sz w:val="22"/>
            </w:rPr>
          </w:r>
          <w:r w:rsidRPr="000C3CD4">
            <w:rPr>
              <w:sz w:val="22"/>
            </w:rPr>
            <w:fldChar w:fldCharType="separate"/>
          </w:r>
          <w:r w:rsidRPr="000C3CD4">
            <w:rPr>
              <w:sz w:val="22"/>
            </w:rPr>
            <w:t>20</w:t>
          </w:r>
          <w:r w:rsidRPr="000C3CD4">
            <w:rPr>
              <w:sz w:val="22"/>
            </w:rPr>
            <w:fldChar w:fldCharType="end"/>
          </w:r>
        </w:p>
        <w:p w:rsidR="003A60FA" w:rsidRPr="000C3CD4" w:rsidRDefault="003A60FA">
          <w:pPr>
            <w:pStyle w:val="TOC2"/>
            <w:tabs>
              <w:tab w:val="right" w:leader="dot" w:pos="8630"/>
            </w:tabs>
            <w:rPr>
              <w:rFonts w:eastAsiaTheme="minorEastAsia"/>
              <w:b w:val="0"/>
              <w:noProof/>
              <w:szCs w:val="24"/>
              <w:lang w:val="en-US"/>
            </w:rPr>
          </w:pPr>
          <w:r w:rsidRPr="000C3CD4">
            <w:rPr>
              <w:noProof/>
              <w:sz w:val="20"/>
              <w:lang w:val="en-US"/>
            </w:rPr>
            <w:t xml:space="preserve">“EXCEPT AGAINST THE PERSON MAKING IT” – </w:t>
          </w:r>
          <w:r w:rsidRPr="000C3CD4">
            <w:rPr>
              <w:b w:val="0"/>
              <w:noProof/>
              <w:sz w:val="20"/>
              <w:lang w:val="en-US"/>
            </w:rPr>
            <w:t>in personam obligations not enforceable against innocent third parties</w:t>
          </w:r>
          <w:r w:rsidRPr="000C3CD4">
            <w:rPr>
              <w:noProof/>
              <w:sz w:val="20"/>
            </w:rPr>
            <w:tab/>
          </w:r>
          <w:r w:rsidRPr="000C3CD4">
            <w:rPr>
              <w:noProof/>
              <w:sz w:val="20"/>
            </w:rPr>
            <w:fldChar w:fldCharType="begin"/>
          </w:r>
          <w:r w:rsidRPr="000C3CD4">
            <w:rPr>
              <w:noProof/>
              <w:sz w:val="20"/>
            </w:rPr>
            <w:instrText xml:space="preserve"> PAGEREF _Toc259911037 \h </w:instrText>
          </w:r>
          <w:r w:rsidR="000C3CD4" w:rsidRPr="000C3CD4">
            <w:rPr>
              <w:noProof/>
              <w:sz w:val="20"/>
            </w:rPr>
          </w:r>
          <w:r w:rsidRPr="000C3CD4">
            <w:rPr>
              <w:noProof/>
              <w:sz w:val="20"/>
            </w:rPr>
            <w:fldChar w:fldCharType="separate"/>
          </w:r>
          <w:r w:rsidRPr="000C3CD4">
            <w:rPr>
              <w:noProof/>
              <w:sz w:val="20"/>
            </w:rPr>
            <w:t>21</w:t>
          </w:r>
          <w:r w:rsidRPr="000C3CD4">
            <w:rPr>
              <w:noProof/>
              <w:sz w:val="20"/>
            </w:rPr>
            <w:fldChar w:fldCharType="end"/>
          </w:r>
        </w:p>
        <w:p w:rsidR="003A60FA" w:rsidRPr="000C3CD4" w:rsidRDefault="003A60FA">
          <w:pPr>
            <w:pStyle w:val="TOC2"/>
            <w:tabs>
              <w:tab w:val="right" w:leader="dot" w:pos="8630"/>
            </w:tabs>
            <w:rPr>
              <w:rFonts w:eastAsiaTheme="minorEastAsia"/>
              <w:b w:val="0"/>
              <w:noProof/>
              <w:szCs w:val="24"/>
              <w:lang w:val="en-US"/>
            </w:rPr>
          </w:pPr>
          <w:r w:rsidRPr="000C3CD4">
            <w:rPr>
              <w:noProof/>
              <w:sz w:val="20"/>
              <w:lang w:val="en-US"/>
            </w:rPr>
            <w:t xml:space="preserve">Judgements – </w:t>
          </w:r>
          <w:r w:rsidRPr="000C3CD4">
            <w:rPr>
              <w:b w:val="0"/>
              <w:noProof/>
              <w:sz w:val="20"/>
              <w:lang w:val="en-US"/>
            </w:rPr>
            <w:t xml:space="preserve">judgments are “subject to the equities” [rank after prior unregistered interests], subject to </w:t>
          </w:r>
          <w:r w:rsidRPr="000C3CD4">
            <w:rPr>
              <w:b w:val="0"/>
              <w:i/>
              <w:noProof/>
              <w:sz w:val="20"/>
              <w:lang w:val="en-US"/>
            </w:rPr>
            <w:t>nemo dat</w:t>
          </w:r>
          <w:r w:rsidRPr="000C3CD4">
            <w:rPr>
              <w:noProof/>
              <w:sz w:val="20"/>
            </w:rPr>
            <w:tab/>
          </w:r>
          <w:r w:rsidRPr="000C3CD4">
            <w:rPr>
              <w:noProof/>
              <w:sz w:val="20"/>
            </w:rPr>
            <w:fldChar w:fldCharType="begin"/>
          </w:r>
          <w:r w:rsidRPr="000C3CD4">
            <w:rPr>
              <w:noProof/>
              <w:sz w:val="20"/>
            </w:rPr>
            <w:instrText xml:space="preserve"> PAGEREF _Toc259911038 \h </w:instrText>
          </w:r>
          <w:r w:rsidR="000C3CD4" w:rsidRPr="000C3CD4">
            <w:rPr>
              <w:noProof/>
              <w:sz w:val="20"/>
            </w:rPr>
          </w:r>
          <w:r w:rsidRPr="000C3CD4">
            <w:rPr>
              <w:noProof/>
              <w:sz w:val="20"/>
            </w:rPr>
            <w:fldChar w:fldCharType="separate"/>
          </w:r>
          <w:r w:rsidRPr="000C3CD4">
            <w:rPr>
              <w:noProof/>
              <w:sz w:val="20"/>
            </w:rPr>
            <w:t>21</w:t>
          </w:r>
          <w:r w:rsidRPr="000C3CD4">
            <w:rPr>
              <w:noProof/>
              <w:sz w:val="20"/>
            </w:rPr>
            <w:fldChar w:fldCharType="end"/>
          </w:r>
        </w:p>
        <w:p w:rsidR="003A60FA" w:rsidRPr="000C3CD4" w:rsidRDefault="003A60FA" w:rsidP="000C3CD4">
          <w:pPr>
            <w:pStyle w:val="TOC3"/>
            <w:rPr>
              <w:rFonts w:eastAsiaTheme="minorEastAsia"/>
              <w:sz w:val="22"/>
              <w:szCs w:val="24"/>
            </w:rPr>
          </w:pPr>
          <w:r w:rsidRPr="000C3CD4">
            <w:rPr>
              <w:sz w:val="22"/>
              <w:highlight w:val="yellow"/>
            </w:rPr>
            <w:t>YEULET v MATTHEWS [1982]</w:t>
          </w:r>
          <w:r w:rsidRPr="000C3CD4">
            <w:rPr>
              <w:sz w:val="22"/>
            </w:rPr>
            <w:t>: judgment creditors are subject to the equities [prior unregistered interests]</w:t>
          </w:r>
          <w:r w:rsidRPr="000C3CD4">
            <w:rPr>
              <w:sz w:val="22"/>
            </w:rPr>
            <w:tab/>
          </w:r>
          <w:r w:rsidRPr="000C3CD4">
            <w:rPr>
              <w:sz w:val="22"/>
            </w:rPr>
            <w:fldChar w:fldCharType="begin"/>
          </w:r>
          <w:r w:rsidRPr="000C3CD4">
            <w:rPr>
              <w:sz w:val="22"/>
            </w:rPr>
            <w:instrText xml:space="preserve"> PAGEREF _Toc259911039 \h </w:instrText>
          </w:r>
          <w:r w:rsidR="000C3CD4" w:rsidRPr="000C3CD4">
            <w:rPr>
              <w:sz w:val="22"/>
            </w:rPr>
          </w:r>
          <w:r w:rsidRPr="000C3CD4">
            <w:rPr>
              <w:sz w:val="22"/>
            </w:rPr>
            <w:fldChar w:fldCharType="separate"/>
          </w:r>
          <w:r w:rsidRPr="000C3CD4">
            <w:rPr>
              <w:sz w:val="22"/>
            </w:rPr>
            <w:t>22</w:t>
          </w:r>
          <w:r w:rsidRPr="000C3CD4">
            <w:rPr>
              <w:sz w:val="22"/>
            </w:rPr>
            <w:fldChar w:fldCharType="end"/>
          </w:r>
        </w:p>
        <w:p w:rsidR="003A60FA" w:rsidRPr="000C3CD4" w:rsidRDefault="003A60FA">
          <w:pPr>
            <w:pStyle w:val="TOC2"/>
            <w:tabs>
              <w:tab w:val="right" w:leader="dot" w:pos="8630"/>
            </w:tabs>
            <w:rPr>
              <w:rFonts w:eastAsiaTheme="minorEastAsia"/>
              <w:b w:val="0"/>
              <w:noProof/>
              <w:szCs w:val="24"/>
              <w:lang w:val="en-US"/>
            </w:rPr>
          </w:pPr>
          <w:r w:rsidRPr="000C3CD4">
            <w:rPr>
              <w:noProof/>
              <w:color w:val="1F497D" w:themeColor="text2"/>
              <w:sz w:val="20"/>
              <w:lang w:val="en-US"/>
            </w:rPr>
            <w:t>Court Order Enforcement Act</w:t>
          </w:r>
          <w:r w:rsidRPr="000C3CD4">
            <w:rPr>
              <w:noProof/>
              <w:sz w:val="20"/>
              <w:lang w:val="en-US"/>
            </w:rPr>
            <w:t xml:space="preserve"> – codification of Yeulet.</w:t>
          </w:r>
          <w:r w:rsidRPr="000C3CD4">
            <w:rPr>
              <w:noProof/>
              <w:sz w:val="20"/>
            </w:rPr>
            <w:tab/>
          </w:r>
          <w:r w:rsidRPr="000C3CD4">
            <w:rPr>
              <w:noProof/>
              <w:sz w:val="20"/>
            </w:rPr>
            <w:fldChar w:fldCharType="begin"/>
          </w:r>
          <w:r w:rsidRPr="000C3CD4">
            <w:rPr>
              <w:noProof/>
              <w:sz w:val="20"/>
            </w:rPr>
            <w:instrText xml:space="preserve"> PAGEREF _Toc259911040 \h </w:instrText>
          </w:r>
          <w:r w:rsidR="000C3CD4" w:rsidRPr="000C3CD4">
            <w:rPr>
              <w:noProof/>
              <w:sz w:val="20"/>
            </w:rPr>
          </w:r>
          <w:r w:rsidRPr="000C3CD4">
            <w:rPr>
              <w:noProof/>
              <w:sz w:val="20"/>
            </w:rPr>
            <w:fldChar w:fldCharType="separate"/>
          </w:r>
          <w:r w:rsidRPr="000C3CD4">
            <w:rPr>
              <w:noProof/>
              <w:sz w:val="20"/>
            </w:rPr>
            <w:t>22</w:t>
          </w:r>
          <w:r w:rsidRPr="000C3CD4">
            <w:rPr>
              <w:noProof/>
              <w:sz w:val="20"/>
            </w:rPr>
            <w:fldChar w:fldCharType="end"/>
          </w:r>
        </w:p>
        <w:p w:rsidR="003A60FA" w:rsidRPr="000C3CD4" w:rsidRDefault="003A60FA">
          <w:pPr>
            <w:pStyle w:val="TOC2"/>
            <w:tabs>
              <w:tab w:val="right" w:leader="dot" w:pos="8630"/>
            </w:tabs>
            <w:rPr>
              <w:rFonts w:eastAsiaTheme="minorEastAsia"/>
              <w:b w:val="0"/>
              <w:noProof/>
              <w:szCs w:val="24"/>
              <w:lang w:val="en-US"/>
            </w:rPr>
          </w:pPr>
          <w:r w:rsidRPr="000C3CD4">
            <w:rPr>
              <w:noProof/>
              <w:sz w:val="20"/>
              <w:lang w:val="en-US"/>
            </w:rPr>
            <w:t xml:space="preserve">Other Agreements – </w:t>
          </w:r>
          <w:r w:rsidRPr="000C3CD4">
            <w:rPr>
              <w:b w:val="0"/>
              <w:noProof/>
              <w:sz w:val="20"/>
              <w:lang w:val="en-US"/>
            </w:rPr>
            <w:t>in personam rights can be given through contract</w:t>
          </w:r>
          <w:r w:rsidRPr="000C3CD4">
            <w:rPr>
              <w:noProof/>
              <w:sz w:val="20"/>
              <w:lang w:val="en-US"/>
            </w:rPr>
            <w:t>.</w:t>
          </w:r>
          <w:r w:rsidRPr="000C3CD4">
            <w:rPr>
              <w:noProof/>
              <w:sz w:val="20"/>
            </w:rPr>
            <w:tab/>
          </w:r>
          <w:r w:rsidRPr="000C3CD4">
            <w:rPr>
              <w:noProof/>
              <w:sz w:val="20"/>
            </w:rPr>
            <w:fldChar w:fldCharType="begin"/>
          </w:r>
          <w:r w:rsidRPr="000C3CD4">
            <w:rPr>
              <w:noProof/>
              <w:sz w:val="20"/>
            </w:rPr>
            <w:instrText xml:space="preserve"> PAGEREF _Toc259911041 \h </w:instrText>
          </w:r>
          <w:r w:rsidR="000C3CD4" w:rsidRPr="000C3CD4">
            <w:rPr>
              <w:noProof/>
              <w:sz w:val="20"/>
            </w:rPr>
          </w:r>
          <w:r w:rsidRPr="000C3CD4">
            <w:rPr>
              <w:noProof/>
              <w:sz w:val="20"/>
            </w:rPr>
            <w:fldChar w:fldCharType="separate"/>
          </w:r>
          <w:r w:rsidRPr="000C3CD4">
            <w:rPr>
              <w:noProof/>
              <w:sz w:val="20"/>
            </w:rPr>
            <w:t>22</w:t>
          </w:r>
          <w:r w:rsidRPr="000C3CD4">
            <w:rPr>
              <w:noProof/>
              <w:sz w:val="20"/>
            </w:rPr>
            <w:fldChar w:fldCharType="end"/>
          </w:r>
        </w:p>
        <w:p w:rsidR="003A60FA" w:rsidRPr="000C3CD4" w:rsidRDefault="003A60FA" w:rsidP="000C3CD4">
          <w:pPr>
            <w:pStyle w:val="TOC3"/>
            <w:rPr>
              <w:rFonts w:eastAsiaTheme="minorEastAsia"/>
              <w:sz w:val="22"/>
              <w:szCs w:val="24"/>
            </w:rPr>
          </w:pPr>
          <w:r w:rsidRPr="000C3CD4">
            <w:rPr>
              <w:sz w:val="22"/>
              <w:highlight w:val="yellow"/>
            </w:rPr>
            <w:t>L &amp; C LUMBER CO. LTD v LUNGDREN [1942]</w:t>
          </w:r>
          <w:r w:rsidRPr="000C3CD4">
            <w:rPr>
              <w:sz w:val="22"/>
            </w:rPr>
            <w:t xml:space="preserve"> – unregistered interests are transferable to third parties to original agreement</w:t>
          </w:r>
          <w:r w:rsidRPr="000C3CD4">
            <w:rPr>
              <w:sz w:val="22"/>
            </w:rPr>
            <w:tab/>
          </w:r>
          <w:r w:rsidRPr="000C3CD4">
            <w:rPr>
              <w:sz w:val="22"/>
            </w:rPr>
            <w:fldChar w:fldCharType="begin"/>
          </w:r>
          <w:r w:rsidRPr="000C3CD4">
            <w:rPr>
              <w:sz w:val="22"/>
            </w:rPr>
            <w:instrText xml:space="preserve"> PAGEREF _Toc259911042 \h </w:instrText>
          </w:r>
          <w:r w:rsidR="000C3CD4" w:rsidRPr="000C3CD4">
            <w:rPr>
              <w:sz w:val="22"/>
            </w:rPr>
          </w:r>
          <w:r w:rsidRPr="000C3CD4">
            <w:rPr>
              <w:sz w:val="22"/>
            </w:rPr>
            <w:fldChar w:fldCharType="separate"/>
          </w:r>
          <w:r w:rsidRPr="000C3CD4">
            <w:rPr>
              <w:sz w:val="22"/>
            </w:rPr>
            <w:t>23</w:t>
          </w:r>
          <w:r w:rsidRPr="000C3CD4">
            <w:rPr>
              <w:sz w:val="22"/>
            </w:rPr>
            <w:fldChar w:fldCharType="end"/>
          </w:r>
        </w:p>
        <w:p w:rsidR="003A60FA" w:rsidRPr="000C3CD4" w:rsidRDefault="003A60FA" w:rsidP="000C3CD4">
          <w:pPr>
            <w:pStyle w:val="TOC3"/>
            <w:rPr>
              <w:rFonts w:eastAsiaTheme="minorEastAsia"/>
              <w:sz w:val="22"/>
              <w:szCs w:val="24"/>
            </w:rPr>
          </w:pPr>
          <w:r w:rsidRPr="000C3CD4">
            <w:rPr>
              <w:sz w:val="22"/>
              <w:highlight w:val="yellow"/>
            </w:rPr>
            <w:t>CARLSON v DUNCAN 1931</w:t>
          </w:r>
          <w:r w:rsidRPr="000C3CD4">
            <w:rPr>
              <w:sz w:val="22"/>
            </w:rPr>
            <w:t>:</w:t>
          </w:r>
          <w:r w:rsidRPr="000C3CD4">
            <w:rPr>
              <w:sz w:val="22"/>
            </w:rPr>
            <w:tab/>
          </w:r>
          <w:r w:rsidRPr="000C3CD4">
            <w:rPr>
              <w:sz w:val="22"/>
            </w:rPr>
            <w:fldChar w:fldCharType="begin"/>
          </w:r>
          <w:r w:rsidRPr="000C3CD4">
            <w:rPr>
              <w:sz w:val="22"/>
            </w:rPr>
            <w:instrText xml:space="preserve"> PAGEREF _Toc259911043 \h </w:instrText>
          </w:r>
          <w:r w:rsidR="000C3CD4" w:rsidRPr="000C3CD4">
            <w:rPr>
              <w:sz w:val="22"/>
            </w:rPr>
          </w:r>
          <w:r w:rsidRPr="000C3CD4">
            <w:rPr>
              <w:sz w:val="22"/>
            </w:rPr>
            <w:fldChar w:fldCharType="separate"/>
          </w:r>
          <w:r w:rsidRPr="000C3CD4">
            <w:rPr>
              <w:sz w:val="22"/>
            </w:rPr>
            <w:t>23</w:t>
          </w:r>
          <w:r w:rsidRPr="000C3CD4">
            <w:rPr>
              <w:sz w:val="22"/>
            </w:rPr>
            <w:fldChar w:fldCharType="end"/>
          </w:r>
        </w:p>
        <w:p w:rsidR="003A60FA" w:rsidRPr="000C3CD4" w:rsidRDefault="003A60FA">
          <w:pPr>
            <w:pStyle w:val="TOC2"/>
            <w:tabs>
              <w:tab w:val="right" w:leader="dot" w:pos="8630"/>
            </w:tabs>
            <w:rPr>
              <w:rFonts w:eastAsiaTheme="minorEastAsia"/>
              <w:b w:val="0"/>
              <w:noProof/>
              <w:szCs w:val="24"/>
              <w:lang w:val="en-US"/>
            </w:rPr>
          </w:pPr>
          <w:r w:rsidRPr="000C3CD4">
            <w:rPr>
              <w:noProof/>
              <w:sz w:val="20"/>
              <w:lang w:val="en-US"/>
            </w:rPr>
            <w:t>“Prohibited Transaction”</w:t>
          </w:r>
          <w:r w:rsidRPr="000C3CD4">
            <w:rPr>
              <w:noProof/>
              <w:sz w:val="20"/>
            </w:rPr>
            <w:tab/>
          </w:r>
          <w:r w:rsidRPr="000C3CD4">
            <w:rPr>
              <w:noProof/>
              <w:sz w:val="20"/>
            </w:rPr>
            <w:fldChar w:fldCharType="begin"/>
          </w:r>
          <w:r w:rsidRPr="000C3CD4">
            <w:rPr>
              <w:noProof/>
              <w:sz w:val="20"/>
            </w:rPr>
            <w:instrText xml:space="preserve"> PAGEREF _Toc259911044 \h </w:instrText>
          </w:r>
          <w:r w:rsidR="000C3CD4" w:rsidRPr="000C3CD4">
            <w:rPr>
              <w:noProof/>
              <w:sz w:val="20"/>
            </w:rPr>
          </w:r>
          <w:r w:rsidRPr="000C3CD4">
            <w:rPr>
              <w:noProof/>
              <w:sz w:val="20"/>
            </w:rPr>
            <w:fldChar w:fldCharType="separate"/>
          </w:r>
          <w:r w:rsidRPr="000C3CD4">
            <w:rPr>
              <w:noProof/>
              <w:sz w:val="20"/>
            </w:rPr>
            <w:t>24</w:t>
          </w:r>
          <w:r w:rsidRPr="000C3CD4">
            <w:rPr>
              <w:noProof/>
              <w:sz w:val="20"/>
            </w:rPr>
            <w:fldChar w:fldCharType="end"/>
          </w:r>
        </w:p>
        <w:p w:rsidR="003A60FA" w:rsidRPr="000C3CD4" w:rsidRDefault="003A60FA" w:rsidP="000C3CD4">
          <w:pPr>
            <w:pStyle w:val="TOC3"/>
            <w:rPr>
              <w:rFonts w:eastAsiaTheme="minorEastAsia"/>
              <w:sz w:val="22"/>
              <w:szCs w:val="24"/>
            </w:rPr>
          </w:pPr>
          <w:r w:rsidRPr="000C3CD4">
            <w:rPr>
              <w:sz w:val="22"/>
              <w:highlight w:val="yellow"/>
            </w:rPr>
            <w:t>INTERNATIONAL PAPER INDUSTRIES v TOP LINE INDUSTRIES INC 1996</w:t>
          </w:r>
          <w:r w:rsidRPr="000C3CD4">
            <w:rPr>
              <w:sz w:val="22"/>
            </w:rPr>
            <w:t xml:space="preserve">: incorrectly concludes that failure to subdivide was so contrary to public policy as to render a lease unenforceable </w:t>
          </w:r>
          <w:r w:rsidRPr="000C3CD4">
            <w:rPr>
              <w:i/>
              <w:sz w:val="22"/>
            </w:rPr>
            <w:t>in personam</w:t>
          </w:r>
          <w:r w:rsidRPr="000C3CD4">
            <w:rPr>
              <w:sz w:val="22"/>
            </w:rPr>
            <w:t xml:space="preserve"> against the landlord</w:t>
          </w:r>
          <w:r w:rsidRPr="000C3CD4">
            <w:rPr>
              <w:sz w:val="22"/>
            </w:rPr>
            <w:tab/>
          </w:r>
          <w:r w:rsidRPr="000C3CD4">
            <w:rPr>
              <w:sz w:val="22"/>
            </w:rPr>
            <w:fldChar w:fldCharType="begin"/>
          </w:r>
          <w:r w:rsidRPr="000C3CD4">
            <w:rPr>
              <w:sz w:val="22"/>
            </w:rPr>
            <w:instrText xml:space="preserve"> PAGEREF _Toc259911045 \h </w:instrText>
          </w:r>
          <w:r w:rsidR="000C3CD4" w:rsidRPr="000C3CD4">
            <w:rPr>
              <w:sz w:val="22"/>
            </w:rPr>
          </w:r>
          <w:r w:rsidRPr="000C3CD4">
            <w:rPr>
              <w:sz w:val="22"/>
            </w:rPr>
            <w:fldChar w:fldCharType="separate"/>
          </w:r>
          <w:r w:rsidRPr="000C3CD4">
            <w:rPr>
              <w:sz w:val="22"/>
            </w:rPr>
            <w:t>24</w:t>
          </w:r>
          <w:r w:rsidRPr="000C3CD4">
            <w:rPr>
              <w:sz w:val="22"/>
            </w:rPr>
            <w:fldChar w:fldCharType="end"/>
          </w:r>
        </w:p>
        <w:p w:rsidR="003A60FA" w:rsidRPr="000C3CD4" w:rsidRDefault="003A60FA">
          <w:pPr>
            <w:pStyle w:val="TOC1"/>
            <w:tabs>
              <w:tab w:val="right" w:leader="dot" w:pos="8630"/>
            </w:tabs>
            <w:rPr>
              <w:rFonts w:eastAsiaTheme="minorEastAsia"/>
              <w:b w:val="0"/>
              <w:noProof/>
              <w:sz w:val="22"/>
              <w:lang w:val="en-US"/>
            </w:rPr>
          </w:pPr>
          <w:r w:rsidRPr="000C3CD4">
            <w:rPr>
              <w:noProof/>
              <w:sz w:val="22"/>
              <w:highlight w:val="yellow"/>
            </w:rPr>
            <w:t>CHAPTER VIII — APPLICATIONS TO REGISTER</w:t>
          </w:r>
          <w:r w:rsidRPr="000C3CD4">
            <w:rPr>
              <w:noProof/>
              <w:sz w:val="22"/>
            </w:rPr>
            <w:tab/>
          </w:r>
          <w:r w:rsidRPr="000C3CD4">
            <w:rPr>
              <w:noProof/>
              <w:sz w:val="22"/>
            </w:rPr>
            <w:fldChar w:fldCharType="begin"/>
          </w:r>
          <w:r w:rsidRPr="000C3CD4">
            <w:rPr>
              <w:noProof/>
              <w:sz w:val="22"/>
            </w:rPr>
            <w:instrText xml:space="preserve"> PAGEREF _Toc259911046 \h </w:instrText>
          </w:r>
          <w:r w:rsidR="000C3CD4" w:rsidRPr="000C3CD4">
            <w:rPr>
              <w:noProof/>
              <w:sz w:val="22"/>
            </w:rPr>
          </w:r>
          <w:r w:rsidRPr="000C3CD4">
            <w:rPr>
              <w:noProof/>
              <w:sz w:val="22"/>
            </w:rPr>
            <w:fldChar w:fldCharType="separate"/>
          </w:r>
          <w:r w:rsidRPr="000C3CD4">
            <w:rPr>
              <w:noProof/>
              <w:sz w:val="22"/>
            </w:rPr>
            <w:t>25</w:t>
          </w:r>
          <w:r w:rsidRPr="000C3CD4">
            <w:rPr>
              <w:noProof/>
              <w:sz w:val="22"/>
            </w:rPr>
            <w:fldChar w:fldCharType="end"/>
          </w:r>
        </w:p>
        <w:p w:rsidR="003A60FA" w:rsidRPr="000C3CD4" w:rsidRDefault="003A60FA" w:rsidP="000C3CD4">
          <w:pPr>
            <w:pStyle w:val="TOC3"/>
            <w:rPr>
              <w:rFonts w:eastAsiaTheme="minorEastAsia"/>
              <w:sz w:val="22"/>
              <w:szCs w:val="24"/>
            </w:rPr>
          </w:pPr>
          <w:r w:rsidRPr="000C3CD4">
            <w:rPr>
              <w:sz w:val="22"/>
              <w:highlight w:val="yellow"/>
            </w:rPr>
            <w:t>PECK v SUN LIFE ASSURANCE CO.</w:t>
          </w:r>
          <w:r w:rsidRPr="000C3CD4">
            <w:rPr>
              <w:sz w:val="22"/>
            </w:rPr>
            <w:t>: if a CPL is lodged after a BFPV registers his agreement (or agrees simpliciter) but before the completion of the transfer and the subsequent application to register, then that BFPV is protected but must pay the balance to the party who wins the claim disclosed in the CPL.</w:t>
          </w:r>
          <w:r w:rsidRPr="000C3CD4">
            <w:rPr>
              <w:sz w:val="22"/>
            </w:rPr>
            <w:tab/>
          </w:r>
          <w:r w:rsidRPr="000C3CD4">
            <w:rPr>
              <w:sz w:val="22"/>
            </w:rPr>
            <w:fldChar w:fldCharType="begin"/>
          </w:r>
          <w:r w:rsidRPr="000C3CD4">
            <w:rPr>
              <w:sz w:val="22"/>
            </w:rPr>
            <w:instrText xml:space="preserve"> PAGEREF _Toc259911047 \h </w:instrText>
          </w:r>
          <w:r w:rsidR="000C3CD4" w:rsidRPr="000C3CD4">
            <w:rPr>
              <w:sz w:val="22"/>
            </w:rPr>
          </w:r>
          <w:r w:rsidRPr="000C3CD4">
            <w:rPr>
              <w:sz w:val="22"/>
            </w:rPr>
            <w:fldChar w:fldCharType="separate"/>
          </w:r>
          <w:r w:rsidRPr="000C3CD4">
            <w:rPr>
              <w:sz w:val="22"/>
            </w:rPr>
            <w:t>26</w:t>
          </w:r>
          <w:r w:rsidRPr="000C3CD4">
            <w:rPr>
              <w:sz w:val="22"/>
            </w:rPr>
            <w:fldChar w:fldCharType="end"/>
          </w:r>
        </w:p>
        <w:p w:rsidR="003A60FA" w:rsidRPr="000C3CD4" w:rsidRDefault="003A60FA" w:rsidP="000C3CD4">
          <w:pPr>
            <w:pStyle w:val="TOC3"/>
            <w:rPr>
              <w:rFonts w:eastAsiaTheme="minorEastAsia"/>
              <w:sz w:val="22"/>
              <w:szCs w:val="24"/>
            </w:rPr>
          </w:pPr>
          <w:r w:rsidRPr="000C3CD4">
            <w:rPr>
              <w:sz w:val="22"/>
              <w:highlight w:val="yellow"/>
            </w:rPr>
            <w:t>RUDLAND v ROMILLY</w:t>
          </w:r>
          <w:r w:rsidRPr="000C3CD4">
            <w:rPr>
              <w:sz w:val="22"/>
            </w:rPr>
            <w:t xml:space="preserve"> the delays inevitable in a busy land registry office cannot effect the title of an honest buyer. In the absence of fraud a clear right to registration is the same as registration (4 conditions)</w:t>
          </w:r>
          <w:r w:rsidRPr="000C3CD4">
            <w:rPr>
              <w:sz w:val="22"/>
            </w:rPr>
            <w:tab/>
          </w:r>
          <w:r w:rsidRPr="000C3CD4">
            <w:rPr>
              <w:sz w:val="22"/>
            </w:rPr>
            <w:fldChar w:fldCharType="begin"/>
          </w:r>
          <w:r w:rsidRPr="000C3CD4">
            <w:rPr>
              <w:sz w:val="22"/>
            </w:rPr>
            <w:instrText xml:space="preserve"> PAGEREF _Toc259911048 \h </w:instrText>
          </w:r>
          <w:r w:rsidR="000C3CD4" w:rsidRPr="000C3CD4">
            <w:rPr>
              <w:sz w:val="22"/>
            </w:rPr>
          </w:r>
          <w:r w:rsidRPr="000C3CD4">
            <w:rPr>
              <w:sz w:val="22"/>
            </w:rPr>
            <w:fldChar w:fldCharType="separate"/>
          </w:r>
          <w:r w:rsidRPr="000C3CD4">
            <w:rPr>
              <w:sz w:val="22"/>
            </w:rPr>
            <w:t>27</w:t>
          </w:r>
          <w:r w:rsidRPr="000C3CD4">
            <w:rPr>
              <w:sz w:val="22"/>
            </w:rPr>
            <w:fldChar w:fldCharType="end"/>
          </w:r>
        </w:p>
        <w:p w:rsidR="003A60FA" w:rsidRPr="000C3CD4" w:rsidRDefault="003A60FA" w:rsidP="000C3CD4">
          <w:pPr>
            <w:pStyle w:val="TOC3"/>
            <w:rPr>
              <w:rFonts w:eastAsiaTheme="minorEastAsia"/>
              <w:sz w:val="22"/>
              <w:szCs w:val="24"/>
            </w:rPr>
          </w:pPr>
          <w:r w:rsidRPr="000C3CD4">
            <w:rPr>
              <w:sz w:val="22"/>
              <w:highlight w:val="yellow"/>
            </w:rPr>
            <w:t>CANADA PERMANENT MORTGAGE CORPORATION v BRITISH COLUMBIA (REGISTRAR OF TITLES)</w:t>
          </w:r>
          <w:r w:rsidRPr="000C3CD4">
            <w:rPr>
              <w:sz w:val="22"/>
            </w:rPr>
            <w:t>: charge holder does not have to wait for certificate of title to be issued to R.O. to register charge (overturned by section 155, 198 LTA)</w:t>
          </w:r>
          <w:r w:rsidRPr="000C3CD4">
            <w:rPr>
              <w:sz w:val="22"/>
            </w:rPr>
            <w:tab/>
          </w:r>
          <w:r w:rsidRPr="000C3CD4">
            <w:rPr>
              <w:sz w:val="22"/>
            </w:rPr>
            <w:fldChar w:fldCharType="begin"/>
          </w:r>
          <w:r w:rsidRPr="000C3CD4">
            <w:rPr>
              <w:sz w:val="22"/>
            </w:rPr>
            <w:instrText xml:space="preserve"> PAGEREF _Toc259911049 \h </w:instrText>
          </w:r>
          <w:r w:rsidR="000C3CD4" w:rsidRPr="000C3CD4">
            <w:rPr>
              <w:sz w:val="22"/>
            </w:rPr>
          </w:r>
          <w:r w:rsidRPr="000C3CD4">
            <w:rPr>
              <w:sz w:val="22"/>
            </w:rPr>
            <w:fldChar w:fldCharType="separate"/>
          </w:r>
          <w:r w:rsidRPr="000C3CD4">
            <w:rPr>
              <w:sz w:val="22"/>
            </w:rPr>
            <w:t>27</w:t>
          </w:r>
          <w:r w:rsidRPr="000C3CD4">
            <w:rPr>
              <w:sz w:val="22"/>
            </w:rPr>
            <w:fldChar w:fldCharType="end"/>
          </w:r>
        </w:p>
        <w:p w:rsidR="003A60FA" w:rsidRPr="000C3CD4" w:rsidRDefault="003A60FA" w:rsidP="000C3CD4">
          <w:pPr>
            <w:pStyle w:val="TOC3"/>
            <w:rPr>
              <w:rFonts w:eastAsiaTheme="minorEastAsia"/>
              <w:sz w:val="22"/>
              <w:szCs w:val="24"/>
            </w:rPr>
          </w:pPr>
          <w:r w:rsidRPr="000C3CD4">
            <w:rPr>
              <w:sz w:val="22"/>
              <w:highlight w:val="yellow"/>
            </w:rPr>
            <w:t>BRESKVAR v WALL</w:t>
          </w:r>
          <w:r w:rsidRPr="000C3CD4">
            <w:rPr>
              <w:sz w:val="22"/>
            </w:rPr>
            <w:t xml:space="preserve"> where the equities are equal, first in time prevails, a caveat only grants a caveator an equitable interest in property (in personam against party involved in dispute)</w:t>
          </w:r>
          <w:r w:rsidRPr="000C3CD4">
            <w:rPr>
              <w:sz w:val="22"/>
            </w:rPr>
            <w:tab/>
          </w:r>
          <w:r w:rsidRPr="000C3CD4">
            <w:rPr>
              <w:sz w:val="22"/>
            </w:rPr>
            <w:fldChar w:fldCharType="begin"/>
          </w:r>
          <w:r w:rsidRPr="000C3CD4">
            <w:rPr>
              <w:sz w:val="22"/>
            </w:rPr>
            <w:instrText xml:space="preserve"> PAGEREF _Toc259911050 \h </w:instrText>
          </w:r>
          <w:r w:rsidR="000C3CD4" w:rsidRPr="000C3CD4">
            <w:rPr>
              <w:sz w:val="22"/>
            </w:rPr>
          </w:r>
          <w:r w:rsidRPr="000C3CD4">
            <w:rPr>
              <w:sz w:val="22"/>
            </w:rPr>
            <w:fldChar w:fldCharType="separate"/>
          </w:r>
          <w:r w:rsidRPr="000C3CD4">
            <w:rPr>
              <w:sz w:val="22"/>
            </w:rPr>
            <w:t>28</w:t>
          </w:r>
          <w:r w:rsidRPr="000C3CD4">
            <w:rPr>
              <w:sz w:val="22"/>
            </w:rPr>
            <w:fldChar w:fldCharType="end"/>
          </w:r>
        </w:p>
        <w:p w:rsidR="003A60FA" w:rsidRPr="000C3CD4" w:rsidRDefault="003A60FA">
          <w:pPr>
            <w:pStyle w:val="TOC1"/>
            <w:tabs>
              <w:tab w:val="right" w:leader="dot" w:pos="8630"/>
            </w:tabs>
            <w:rPr>
              <w:rFonts w:eastAsiaTheme="minorEastAsia"/>
              <w:b w:val="0"/>
              <w:noProof/>
              <w:sz w:val="22"/>
              <w:lang w:val="en-US"/>
            </w:rPr>
          </w:pPr>
          <w:r w:rsidRPr="000C3CD4">
            <w:rPr>
              <w:noProof/>
              <w:sz w:val="22"/>
              <w:highlight w:val="yellow"/>
              <w:lang w:val="en-US"/>
            </w:rPr>
            <w:t>CHAPTER IX: THE FEE SIMPLE</w:t>
          </w:r>
          <w:r w:rsidRPr="000C3CD4">
            <w:rPr>
              <w:noProof/>
              <w:sz w:val="22"/>
            </w:rPr>
            <w:tab/>
          </w:r>
          <w:r w:rsidRPr="000C3CD4">
            <w:rPr>
              <w:noProof/>
              <w:sz w:val="22"/>
            </w:rPr>
            <w:fldChar w:fldCharType="begin"/>
          </w:r>
          <w:r w:rsidRPr="000C3CD4">
            <w:rPr>
              <w:noProof/>
              <w:sz w:val="22"/>
            </w:rPr>
            <w:instrText xml:space="preserve"> PAGEREF _Toc259911051 \h </w:instrText>
          </w:r>
          <w:r w:rsidR="000C3CD4" w:rsidRPr="000C3CD4">
            <w:rPr>
              <w:noProof/>
              <w:sz w:val="22"/>
            </w:rPr>
          </w:r>
          <w:r w:rsidRPr="000C3CD4">
            <w:rPr>
              <w:noProof/>
              <w:sz w:val="22"/>
            </w:rPr>
            <w:fldChar w:fldCharType="separate"/>
          </w:r>
          <w:r w:rsidRPr="000C3CD4">
            <w:rPr>
              <w:noProof/>
              <w:sz w:val="22"/>
            </w:rPr>
            <w:t>29</w:t>
          </w:r>
          <w:r w:rsidRPr="000C3CD4">
            <w:rPr>
              <w:noProof/>
              <w:sz w:val="22"/>
            </w:rPr>
            <w:fldChar w:fldCharType="end"/>
          </w:r>
        </w:p>
        <w:p w:rsidR="003A60FA" w:rsidRPr="000C3CD4" w:rsidRDefault="003A60FA">
          <w:pPr>
            <w:pStyle w:val="TOC2"/>
            <w:tabs>
              <w:tab w:val="right" w:leader="dot" w:pos="8630"/>
            </w:tabs>
            <w:rPr>
              <w:rFonts w:eastAsiaTheme="minorEastAsia"/>
              <w:b w:val="0"/>
              <w:noProof/>
              <w:szCs w:val="24"/>
              <w:lang w:val="en-US"/>
            </w:rPr>
          </w:pPr>
          <w:r w:rsidRPr="000C3CD4">
            <w:rPr>
              <w:noProof/>
              <w:sz w:val="20"/>
              <w:lang w:val="en-US"/>
            </w:rPr>
            <w:t>CREATION</w:t>
          </w:r>
          <w:r w:rsidRPr="000C3CD4">
            <w:rPr>
              <w:noProof/>
              <w:sz w:val="20"/>
            </w:rPr>
            <w:tab/>
          </w:r>
          <w:r w:rsidRPr="000C3CD4">
            <w:rPr>
              <w:noProof/>
              <w:sz w:val="20"/>
            </w:rPr>
            <w:fldChar w:fldCharType="begin"/>
          </w:r>
          <w:r w:rsidRPr="000C3CD4">
            <w:rPr>
              <w:noProof/>
              <w:sz w:val="20"/>
            </w:rPr>
            <w:instrText xml:space="preserve"> PAGEREF _Toc259911052 \h </w:instrText>
          </w:r>
          <w:r w:rsidR="000C3CD4" w:rsidRPr="000C3CD4">
            <w:rPr>
              <w:noProof/>
              <w:sz w:val="20"/>
            </w:rPr>
          </w:r>
          <w:r w:rsidRPr="000C3CD4">
            <w:rPr>
              <w:noProof/>
              <w:sz w:val="20"/>
            </w:rPr>
            <w:fldChar w:fldCharType="separate"/>
          </w:r>
          <w:r w:rsidRPr="000C3CD4">
            <w:rPr>
              <w:noProof/>
              <w:sz w:val="20"/>
            </w:rPr>
            <w:t>29</w:t>
          </w:r>
          <w:r w:rsidRPr="000C3CD4">
            <w:rPr>
              <w:noProof/>
              <w:sz w:val="20"/>
            </w:rPr>
            <w:fldChar w:fldCharType="end"/>
          </w:r>
        </w:p>
        <w:p w:rsidR="003A60FA" w:rsidRPr="000C3CD4" w:rsidRDefault="003A60FA">
          <w:pPr>
            <w:pStyle w:val="TOC2"/>
            <w:tabs>
              <w:tab w:val="right" w:leader="dot" w:pos="8630"/>
            </w:tabs>
            <w:rPr>
              <w:rFonts w:eastAsiaTheme="minorEastAsia"/>
              <w:b w:val="0"/>
              <w:noProof/>
              <w:szCs w:val="24"/>
              <w:lang w:val="en-US"/>
            </w:rPr>
          </w:pPr>
          <w:r w:rsidRPr="000C3CD4">
            <w:rPr>
              <w:noProof/>
              <w:sz w:val="20"/>
              <w:lang w:val="en-US"/>
            </w:rPr>
            <w:t xml:space="preserve">Common Law – </w:t>
          </w:r>
          <w:r w:rsidRPr="000C3CD4">
            <w:rPr>
              <w:b w:val="0"/>
              <w:noProof/>
              <w:sz w:val="20"/>
              <w:lang w:val="en-US"/>
            </w:rPr>
            <w:t>presumed life estate, needed “to B and his heirs”</w:t>
          </w:r>
          <w:r w:rsidRPr="000C3CD4">
            <w:rPr>
              <w:noProof/>
              <w:sz w:val="20"/>
            </w:rPr>
            <w:tab/>
          </w:r>
          <w:r w:rsidRPr="000C3CD4">
            <w:rPr>
              <w:noProof/>
              <w:sz w:val="20"/>
            </w:rPr>
            <w:fldChar w:fldCharType="begin"/>
          </w:r>
          <w:r w:rsidRPr="000C3CD4">
            <w:rPr>
              <w:noProof/>
              <w:sz w:val="20"/>
            </w:rPr>
            <w:instrText xml:space="preserve"> PAGEREF _Toc259911053 \h </w:instrText>
          </w:r>
          <w:r w:rsidR="000C3CD4" w:rsidRPr="000C3CD4">
            <w:rPr>
              <w:noProof/>
              <w:sz w:val="20"/>
            </w:rPr>
          </w:r>
          <w:r w:rsidRPr="000C3CD4">
            <w:rPr>
              <w:noProof/>
              <w:sz w:val="20"/>
            </w:rPr>
            <w:fldChar w:fldCharType="separate"/>
          </w:r>
          <w:r w:rsidRPr="000C3CD4">
            <w:rPr>
              <w:noProof/>
              <w:sz w:val="20"/>
            </w:rPr>
            <w:t>29</w:t>
          </w:r>
          <w:r w:rsidRPr="000C3CD4">
            <w:rPr>
              <w:noProof/>
              <w:sz w:val="20"/>
            </w:rPr>
            <w:fldChar w:fldCharType="end"/>
          </w:r>
        </w:p>
        <w:p w:rsidR="003A60FA" w:rsidRPr="000C3CD4" w:rsidRDefault="003A60FA">
          <w:pPr>
            <w:pStyle w:val="TOC2"/>
            <w:tabs>
              <w:tab w:val="right" w:leader="dot" w:pos="8630"/>
            </w:tabs>
            <w:rPr>
              <w:rFonts w:eastAsiaTheme="minorEastAsia"/>
              <w:b w:val="0"/>
              <w:noProof/>
              <w:szCs w:val="24"/>
              <w:lang w:val="en-US"/>
            </w:rPr>
          </w:pPr>
          <w:r w:rsidRPr="000C3CD4">
            <w:rPr>
              <w:noProof/>
              <w:sz w:val="20"/>
              <w:lang w:val="en-US"/>
            </w:rPr>
            <w:t xml:space="preserve">Statute: </w:t>
          </w:r>
          <w:r w:rsidRPr="000C3CD4">
            <w:rPr>
              <w:b w:val="0"/>
              <w:noProof/>
              <w:sz w:val="20"/>
              <w:lang w:val="en-US"/>
            </w:rPr>
            <w:t>presumes fee simple/highest estate possessed [</w:t>
          </w:r>
          <w:r w:rsidRPr="000C3CD4">
            <w:rPr>
              <w:b w:val="0"/>
              <w:noProof/>
              <w:color w:val="1F497D" w:themeColor="text2"/>
              <w:sz w:val="20"/>
              <w:lang w:val="en-US"/>
            </w:rPr>
            <w:t>PLA 19.1, 19.2, LTA 186. 4-8, WESA 41(3)</w:t>
          </w:r>
          <w:r w:rsidRPr="000C3CD4">
            <w:rPr>
              <w:b w:val="0"/>
              <w:noProof/>
              <w:sz w:val="20"/>
              <w:lang w:val="en-US"/>
            </w:rPr>
            <w:t>]</w:t>
          </w:r>
          <w:r w:rsidRPr="000C3CD4">
            <w:rPr>
              <w:noProof/>
              <w:sz w:val="20"/>
            </w:rPr>
            <w:tab/>
          </w:r>
          <w:r w:rsidRPr="000C3CD4">
            <w:rPr>
              <w:noProof/>
              <w:sz w:val="20"/>
            </w:rPr>
            <w:fldChar w:fldCharType="begin"/>
          </w:r>
          <w:r w:rsidRPr="000C3CD4">
            <w:rPr>
              <w:noProof/>
              <w:sz w:val="20"/>
            </w:rPr>
            <w:instrText xml:space="preserve"> PAGEREF _Toc259911054 \h </w:instrText>
          </w:r>
          <w:r w:rsidR="000C3CD4" w:rsidRPr="000C3CD4">
            <w:rPr>
              <w:noProof/>
              <w:sz w:val="20"/>
            </w:rPr>
          </w:r>
          <w:r w:rsidRPr="000C3CD4">
            <w:rPr>
              <w:noProof/>
              <w:sz w:val="20"/>
            </w:rPr>
            <w:fldChar w:fldCharType="separate"/>
          </w:r>
          <w:r w:rsidRPr="000C3CD4">
            <w:rPr>
              <w:noProof/>
              <w:sz w:val="20"/>
            </w:rPr>
            <w:t>29</w:t>
          </w:r>
          <w:r w:rsidRPr="000C3CD4">
            <w:rPr>
              <w:noProof/>
              <w:sz w:val="20"/>
            </w:rPr>
            <w:fldChar w:fldCharType="end"/>
          </w:r>
        </w:p>
        <w:p w:rsidR="003A60FA" w:rsidRPr="000C3CD4" w:rsidRDefault="003A60FA" w:rsidP="000C3CD4">
          <w:pPr>
            <w:pStyle w:val="TOC3"/>
            <w:rPr>
              <w:rFonts w:eastAsiaTheme="minorEastAsia"/>
              <w:sz w:val="22"/>
              <w:szCs w:val="24"/>
            </w:rPr>
          </w:pPr>
          <w:r w:rsidRPr="000C3CD4">
            <w:rPr>
              <w:sz w:val="22"/>
              <w:highlight w:val="yellow"/>
            </w:rPr>
            <w:t>TOTTRUP v OTTEWELL ESTATE</w:t>
          </w:r>
          <w:r w:rsidRPr="000C3CD4">
            <w:rPr>
              <w:sz w:val="22"/>
            </w:rPr>
            <w:t xml:space="preserve"> – will is an ambulatory document, equity will not allow the gift to fail</w:t>
          </w:r>
          <w:r w:rsidRPr="000C3CD4">
            <w:rPr>
              <w:sz w:val="22"/>
            </w:rPr>
            <w:tab/>
          </w:r>
          <w:r w:rsidRPr="000C3CD4">
            <w:rPr>
              <w:sz w:val="22"/>
            </w:rPr>
            <w:fldChar w:fldCharType="begin"/>
          </w:r>
          <w:r w:rsidRPr="000C3CD4">
            <w:rPr>
              <w:sz w:val="22"/>
            </w:rPr>
            <w:instrText xml:space="preserve"> PAGEREF _Toc259911055 \h </w:instrText>
          </w:r>
          <w:r w:rsidR="000C3CD4" w:rsidRPr="000C3CD4">
            <w:rPr>
              <w:sz w:val="22"/>
            </w:rPr>
          </w:r>
          <w:r w:rsidRPr="000C3CD4">
            <w:rPr>
              <w:sz w:val="22"/>
            </w:rPr>
            <w:fldChar w:fldCharType="separate"/>
          </w:r>
          <w:r w:rsidRPr="000C3CD4">
            <w:rPr>
              <w:sz w:val="22"/>
            </w:rPr>
            <w:t>30</w:t>
          </w:r>
          <w:r w:rsidRPr="000C3CD4">
            <w:rPr>
              <w:sz w:val="22"/>
            </w:rPr>
            <w:fldChar w:fldCharType="end"/>
          </w:r>
        </w:p>
        <w:p w:rsidR="003A60FA" w:rsidRPr="000C3CD4" w:rsidRDefault="003A60FA">
          <w:pPr>
            <w:pStyle w:val="TOC2"/>
            <w:tabs>
              <w:tab w:val="right" w:leader="dot" w:pos="8630"/>
            </w:tabs>
            <w:rPr>
              <w:rFonts w:eastAsiaTheme="minorEastAsia"/>
              <w:b w:val="0"/>
              <w:noProof/>
              <w:szCs w:val="24"/>
              <w:lang w:val="en-US"/>
            </w:rPr>
          </w:pPr>
          <w:r w:rsidRPr="000C3CD4">
            <w:rPr>
              <w:noProof/>
              <w:sz w:val="20"/>
              <w:lang w:val="en-US"/>
            </w:rPr>
            <w:t xml:space="preserve">Problems of Interpretation – Repugnancy </w:t>
          </w:r>
          <w:r w:rsidRPr="000C3CD4">
            <w:rPr>
              <w:b w:val="0"/>
              <w:noProof/>
              <w:sz w:val="20"/>
              <w:lang w:val="en-US"/>
            </w:rPr>
            <w:t xml:space="preserve">[3 possibilities </w:t>
          </w:r>
          <w:r w:rsidRPr="000C3CD4">
            <w:rPr>
              <w:b w:val="0"/>
              <w:i/>
              <w:noProof/>
              <w:sz w:val="20"/>
              <w:lang w:val="en-US"/>
            </w:rPr>
            <w:t>Re: Walker</w:t>
          </w:r>
          <w:r w:rsidRPr="000C3CD4">
            <w:rPr>
              <w:b w:val="0"/>
              <w:noProof/>
              <w:sz w:val="20"/>
              <w:lang w:val="en-US"/>
            </w:rPr>
            <w:t>]</w:t>
          </w:r>
          <w:r w:rsidRPr="000C3CD4">
            <w:rPr>
              <w:noProof/>
              <w:sz w:val="20"/>
            </w:rPr>
            <w:tab/>
          </w:r>
          <w:r w:rsidRPr="000C3CD4">
            <w:rPr>
              <w:noProof/>
              <w:sz w:val="20"/>
            </w:rPr>
            <w:fldChar w:fldCharType="begin"/>
          </w:r>
          <w:r w:rsidRPr="000C3CD4">
            <w:rPr>
              <w:noProof/>
              <w:sz w:val="20"/>
            </w:rPr>
            <w:instrText xml:space="preserve"> PAGEREF _Toc259911056 \h </w:instrText>
          </w:r>
          <w:r w:rsidR="000C3CD4" w:rsidRPr="000C3CD4">
            <w:rPr>
              <w:noProof/>
              <w:sz w:val="20"/>
            </w:rPr>
          </w:r>
          <w:r w:rsidRPr="000C3CD4">
            <w:rPr>
              <w:noProof/>
              <w:sz w:val="20"/>
            </w:rPr>
            <w:fldChar w:fldCharType="separate"/>
          </w:r>
          <w:r w:rsidRPr="000C3CD4">
            <w:rPr>
              <w:noProof/>
              <w:sz w:val="20"/>
            </w:rPr>
            <w:t>31</w:t>
          </w:r>
          <w:r w:rsidRPr="000C3CD4">
            <w:rPr>
              <w:noProof/>
              <w:sz w:val="20"/>
            </w:rPr>
            <w:fldChar w:fldCharType="end"/>
          </w:r>
        </w:p>
        <w:p w:rsidR="003A60FA" w:rsidRPr="000C3CD4" w:rsidRDefault="003A60FA" w:rsidP="000C3CD4">
          <w:pPr>
            <w:pStyle w:val="TOC3"/>
            <w:rPr>
              <w:rFonts w:eastAsiaTheme="minorEastAsia"/>
              <w:sz w:val="22"/>
              <w:szCs w:val="24"/>
            </w:rPr>
          </w:pPr>
          <w:r w:rsidRPr="000C3CD4">
            <w:rPr>
              <w:sz w:val="22"/>
              <w:highlight w:val="yellow"/>
            </w:rPr>
            <w:t>RE WALKER</w:t>
          </w:r>
          <w:r w:rsidRPr="000C3CD4">
            <w:rPr>
              <w:sz w:val="22"/>
            </w:rPr>
            <w:t>: each will should be constructed on its own terms, and should not be compared to previously decided wills, if the language of the will conflicts then the will must be constructed by the court, equity will complete a gift.</w:t>
          </w:r>
          <w:r w:rsidRPr="000C3CD4">
            <w:rPr>
              <w:sz w:val="22"/>
            </w:rPr>
            <w:tab/>
          </w:r>
          <w:r w:rsidRPr="000C3CD4">
            <w:rPr>
              <w:sz w:val="22"/>
            </w:rPr>
            <w:fldChar w:fldCharType="begin"/>
          </w:r>
          <w:r w:rsidRPr="000C3CD4">
            <w:rPr>
              <w:sz w:val="22"/>
            </w:rPr>
            <w:instrText xml:space="preserve"> PAGEREF _Toc259911057 \h </w:instrText>
          </w:r>
          <w:r w:rsidR="000C3CD4" w:rsidRPr="000C3CD4">
            <w:rPr>
              <w:sz w:val="22"/>
            </w:rPr>
          </w:r>
          <w:r w:rsidRPr="000C3CD4">
            <w:rPr>
              <w:sz w:val="22"/>
            </w:rPr>
            <w:fldChar w:fldCharType="separate"/>
          </w:r>
          <w:r w:rsidRPr="000C3CD4">
            <w:rPr>
              <w:sz w:val="22"/>
            </w:rPr>
            <w:t>31</w:t>
          </w:r>
          <w:r w:rsidRPr="000C3CD4">
            <w:rPr>
              <w:sz w:val="22"/>
            </w:rPr>
            <w:fldChar w:fldCharType="end"/>
          </w:r>
        </w:p>
        <w:p w:rsidR="003A60FA" w:rsidRPr="000C3CD4" w:rsidRDefault="003A60FA" w:rsidP="000C3CD4">
          <w:pPr>
            <w:pStyle w:val="TOC3"/>
            <w:rPr>
              <w:rFonts w:eastAsiaTheme="minorEastAsia"/>
              <w:sz w:val="22"/>
              <w:szCs w:val="24"/>
            </w:rPr>
          </w:pPr>
          <w:r w:rsidRPr="000C3CD4">
            <w:rPr>
              <w:sz w:val="22"/>
              <w:highlight w:val="yellow"/>
            </w:rPr>
            <w:t>RE SHAMAS</w:t>
          </w:r>
          <w:r w:rsidRPr="000C3CD4">
            <w:rPr>
              <w:sz w:val="22"/>
            </w:rPr>
            <w:t xml:space="preserve"> – rules of construction should give way to an attempt to construe each will according to the circumstances of that particular will, will should be looked at as a whole and in context the meaning of which should be determined by construction of the willmaker’s intention.</w:t>
          </w:r>
          <w:r w:rsidRPr="000C3CD4">
            <w:rPr>
              <w:sz w:val="22"/>
            </w:rPr>
            <w:tab/>
          </w:r>
          <w:r w:rsidRPr="000C3CD4">
            <w:rPr>
              <w:sz w:val="22"/>
            </w:rPr>
            <w:fldChar w:fldCharType="begin"/>
          </w:r>
          <w:r w:rsidRPr="000C3CD4">
            <w:rPr>
              <w:sz w:val="22"/>
            </w:rPr>
            <w:instrText xml:space="preserve"> PAGEREF _Toc259911058 \h </w:instrText>
          </w:r>
          <w:r w:rsidR="000C3CD4" w:rsidRPr="000C3CD4">
            <w:rPr>
              <w:sz w:val="22"/>
            </w:rPr>
          </w:r>
          <w:r w:rsidRPr="000C3CD4">
            <w:rPr>
              <w:sz w:val="22"/>
            </w:rPr>
            <w:fldChar w:fldCharType="separate"/>
          </w:r>
          <w:r w:rsidRPr="000C3CD4">
            <w:rPr>
              <w:sz w:val="22"/>
            </w:rPr>
            <w:t>31</w:t>
          </w:r>
          <w:r w:rsidRPr="000C3CD4">
            <w:rPr>
              <w:sz w:val="22"/>
            </w:rPr>
            <w:fldChar w:fldCharType="end"/>
          </w:r>
        </w:p>
        <w:p w:rsidR="003A60FA" w:rsidRPr="000C3CD4" w:rsidRDefault="003A60FA" w:rsidP="000C3CD4">
          <w:pPr>
            <w:pStyle w:val="TOC3"/>
            <w:rPr>
              <w:rFonts w:eastAsiaTheme="minorEastAsia"/>
              <w:sz w:val="22"/>
              <w:szCs w:val="24"/>
            </w:rPr>
          </w:pPr>
          <w:r w:rsidRPr="000C3CD4">
            <w:rPr>
              <w:sz w:val="22"/>
              <w:highlight w:val="yellow"/>
            </w:rPr>
            <w:t>CIELEIN v TRESSIDER</w:t>
          </w:r>
          <w:r w:rsidRPr="000C3CD4">
            <w:rPr>
              <w:sz w:val="22"/>
            </w:rPr>
            <w:t>: testators use words that carry meaning to legal profession, but not to testator, so you have to look at these expressions from the testator’s armchair.</w:t>
          </w:r>
          <w:r w:rsidRPr="000C3CD4">
            <w:rPr>
              <w:sz w:val="22"/>
            </w:rPr>
            <w:tab/>
          </w:r>
          <w:r w:rsidRPr="000C3CD4">
            <w:rPr>
              <w:sz w:val="22"/>
            </w:rPr>
            <w:fldChar w:fldCharType="begin"/>
          </w:r>
          <w:r w:rsidRPr="000C3CD4">
            <w:rPr>
              <w:sz w:val="22"/>
            </w:rPr>
            <w:instrText xml:space="preserve"> PAGEREF _Toc259911059 \h </w:instrText>
          </w:r>
          <w:r w:rsidR="000C3CD4" w:rsidRPr="000C3CD4">
            <w:rPr>
              <w:sz w:val="22"/>
            </w:rPr>
          </w:r>
          <w:r w:rsidRPr="000C3CD4">
            <w:rPr>
              <w:sz w:val="22"/>
            </w:rPr>
            <w:fldChar w:fldCharType="separate"/>
          </w:r>
          <w:r w:rsidRPr="000C3CD4">
            <w:rPr>
              <w:sz w:val="22"/>
            </w:rPr>
            <w:t>32</w:t>
          </w:r>
          <w:r w:rsidRPr="000C3CD4">
            <w:rPr>
              <w:sz w:val="22"/>
            </w:rPr>
            <w:fldChar w:fldCharType="end"/>
          </w:r>
        </w:p>
        <w:p w:rsidR="003A60FA" w:rsidRPr="000C3CD4" w:rsidRDefault="003A60FA">
          <w:pPr>
            <w:pStyle w:val="TOC2"/>
            <w:tabs>
              <w:tab w:val="right" w:leader="dot" w:pos="8630"/>
            </w:tabs>
            <w:rPr>
              <w:rFonts w:eastAsiaTheme="minorEastAsia"/>
              <w:b w:val="0"/>
              <w:noProof/>
              <w:szCs w:val="24"/>
              <w:lang w:val="en-US"/>
            </w:rPr>
          </w:pPr>
          <w:r w:rsidRPr="000C3CD4">
            <w:rPr>
              <w:noProof/>
              <w:sz w:val="20"/>
              <w:lang w:val="en-US"/>
            </w:rPr>
            <w:t>WORDS FORMERLY CREATING A FEE TAIL</w:t>
          </w:r>
          <w:r w:rsidRPr="000C3CD4">
            <w:rPr>
              <w:noProof/>
              <w:sz w:val="20"/>
            </w:rPr>
            <w:tab/>
          </w:r>
          <w:r w:rsidRPr="000C3CD4">
            <w:rPr>
              <w:noProof/>
              <w:sz w:val="20"/>
            </w:rPr>
            <w:fldChar w:fldCharType="begin"/>
          </w:r>
          <w:r w:rsidRPr="000C3CD4">
            <w:rPr>
              <w:noProof/>
              <w:sz w:val="20"/>
            </w:rPr>
            <w:instrText xml:space="preserve"> PAGEREF _Toc259911060 \h </w:instrText>
          </w:r>
          <w:r w:rsidR="000C3CD4" w:rsidRPr="000C3CD4">
            <w:rPr>
              <w:noProof/>
              <w:sz w:val="20"/>
            </w:rPr>
          </w:r>
          <w:r w:rsidRPr="000C3CD4">
            <w:rPr>
              <w:noProof/>
              <w:sz w:val="20"/>
            </w:rPr>
            <w:fldChar w:fldCharType="separate"/>
          </w:r>
          <w:r w:rsidRPr="000C3CD4">
            <w:rPr>
              <w:noProof/>
              <w:sz w:val="20"/>
            </w:rPr>
            <w:t>32</w:t>
          </w:r>
          <w:r w:rsidRPr="000C3CD4">
            <w:rPr>
              <w:noProof/>
              <w:sz w:val="20"/>
            </w:rPr>
            <w:fldChar w:fldCharType="end"/>
          </w:r>
        </w:p>
        <w:p w:rsidR="003A60FA" w:rsidRPr="000C3CD4" w:rsidRDefault="003A60FA">
          <w:pPr>
            <w:pStyle w:val="TOC2"/>
            <w:tabs>
              <w:tab w:val="right" w:leader="dot" w:pos="8630"/>
            </w:tabs>
            <w:rPr>
              <w:rFonts w:eastAsiaTheme="minorEastAsia"/>
              <w:b w:val="0"/>
              <w:noProof/>
              <w:szCs w:val="24"/>
              <w:lang w:val="en-US"/>
            </w:rPr>
          </w:pPr>
          <w:r w:rsidRPr="000C3CD4">
            <w:rPr>
              <w:noProof/>
              <w:sz w:val="20"/>
              <w:lang w:val="en-US"/>
            </w:rPr>
            <w:t xml:space="preserve">3.         The Rule in </w:t>
          </w:r>
          <w:r w:rsidRPr="000C3CD4">
            <w:rPr>
              <w:i/>
              <w:noProof/>
              <w:color w:val="1F497D" w:themeColor="text2"/>
              <w:sz w:val="20"/>
              <w:lang w:val="en-US"/>
            </w:rPr>
            <w:t>Wild’s Case</w:t>
          </w:r>
          <w:r w:rsidRPr="000C3CD4">
            <w:rPr>
              <w:noProof/>
              <w:color w:val="1F497D" w:themeColor="text2"/>
              <w:sz w:val="20"/>
              <w:lang w:val="en-US"/>
            </w:rPr>
            <w:t xml:space="preserve"> </w:t>
          </w:r>
          <w:r w:rsidRPr="000C3CD4">
            <w:rPr>
              <w:b w:val="0"/>
              <w:noProof/>
              <w:color w:val="800000"/>
              <w:sz w:val="20"/>
              <w:lang w:val="en-US"/>
            </w:rPr>
            <w:t>[when will says “to B and his children”]</w:t>
          </w:r>
          <w:r w:rsidRPr="000C3CD4">
            <w:rPr>
              <w:noProof/>
              <w:sz w:val="20"/>
            </w:rPr>
            <w:tab/>
          </w:r>
          <w:r w:rsidRPr="000C3CD4">
            <w:rPr>
              <w:noProof/>
              <w:sz w:val="20"/>
            </w:rPr>
            <w:fldChar w:fldCharType="begin"/>
          </w:r>
          <w:r w:rsidRPr="000C3CD4">
            <w:rPr>
              <w:noProof/>
              <w:sz w:val="20"/>
            </w:rPr>
            <w:instrText xml:space="preserve"> PAGEREF _Toc259911061 \h </w:instrText>
          </w:r>
          <w:r w:rsidR="000C3CD4" w:rsidRPr="000C3CD4">
            <w:rPr>
              <w:noProof/>
              <w:sz w:val="20"/>
            </w:rPr>
          </w:r>
          <w:r w:rsidRPr="000C3CD4">
            <w:rPr>
              <w:noProof/>
              <w:sz w:val="20"/>
            </w:rPr>
            <w:fldChar w:fldCharType="separate"/>
          </w:r>
          <w:r w:rsidRPr="000C3CD4">
            <w:rPr>
              <w:noProof/>
              <w:sz w:val="20"/>
            </w:rPr>
            <w:t>33</w:t>
          </w:r>
          <w:r w:rsidRPr="000C3CD4">
            <w:rPr>
              <w:noProof/>
              <w:sz w:val="20"/>
            </w:rPr>
            <w:fldChar w:fldCharType="end"/>
          </w:r>
        </w:p>
        <w:p w:rsidR="003A60FA" w:rsidRPr="000C3CD4" w:rsidRDefault="003A60FA">
          <w:pPr>
            <w:pStyle w:val="TOC1"/>
            <w:tabs>
              <w:tab w:val="right" w:leader="dot" w:pos="8630"/>
            </w:tabs>
            <w:rPr>
              <w:rFonts w:eastAsiaTheme="minorEastAsia"/>
              <w:b w:val="0"/>
              <w:noProof/>
              <w:sz w:val="22"/>
              <w:lang w:val="en-US"/>
            </w:rPr>
          </w:pPr>
          <w:r w:rsidRPr="000C3CD4">
            <w:rPr>
              <w:noProof/>
              <w:sz w:val="22"/>
              <w:highlight w:val="yellow"/>
              <w:lang w:val="en-US"/>
            </w:rPr>
            <w:t>CHAPTER X – THE LIFE ESTATE</w:t>
          </w:r>
          <w:r w:rsidRPr="000C3CD4">
            <w:rPr>
              <w:noProof/>
              <w:sz w:val="22"/>
            </w:rPr>
            <w:tab/>
          </w:r>
          <w:r w:rsidRPr="000C3CD4">
            <w:rPr>
              <w:noProof/>
              <w:sz w:val="22"/>
            </w:rPr>
            <w:fldChar w:fldCharType="begin"/>
          </w:r>
          <w:r w:rsidRPr="000C3CD4">
            <w:rPr>
              <w:noProof/>
              <w:sz w:val="22"/>
            </w:rPr>
            <w:instrText xml:space="preserve"> PAGEREF _Toc259911062 \h </w:instrText>
          </w:r>
          <w:r w:rsidR="000C3CD4" w:rsidRPr="000C3CD4">
            <w:rPr>
              <w:noProof/>
              <w:sz w:val="22"/>
            </w:rPr>
          </w:r>
          <w:r w:rsidRPr="000C3CD4">
            <w:rPr>
              <w:noProof/>
              <w:sz w:val="22"/>
            </w:rPr>
            <w:fldChar w:fldCharType="separate"/>
          </w:r>
          <w:r w:rsidRPr="000C3CD4">
            <w:rPr>
              <w:noProof/>
              <w:sz w:val="22"/>
            </w:rPr>
            <w:t>33</w:t>
          </w:r>
          <w:r w:rsidRPr="000C3CD4">
            <w:rPr>
              <w:noProof/>
              <w:sz w:val="22"/>
            </w:rPr>
            <w:fldChar w:fldCharType="end"/>
          </w:r>
        </w:p>
        <w:p w:rsidR="003A60FA" w:rsidRPr="000C3CD4" w:rsidRDefault="003A60FA">
          <w:pPr>
            <w:pStyle w:val="TOC2"/>
            <w:tabs>
              <w:tab w:val="right" w:leader="dot" w:pos="8630"/>
            </w:tabs>
            <w:rPr>
              <w:rFonts w:eastAsiaTheme="minorEastAsia"/>
              <w:b w:val="0"/>
              <w:noProof/>
              <w:szCs w:val="24"/>
              <w:lang w:val="en-US"/>
            </w:rPr>
          </w:pPr>
          <w:r w:rsidRPr="000C3CD4">
            <w:rPr>
              <w:noProof/>
              <w:sz w:val="20"/>
              <w:lang w:val="en-US"/>
            </w:rPr>
            <w:t>CREATION</w:t>
          </w:r>
          <w:r w:rsidRPr="000C3CD4">
            <w:rPr>
              <w:noProof/>
              <w:sz w:val="20"/>
            </w:rPr>
            <w:tab/>
          </w:r>
          <w:r w:rsidRPr="000C3CD4">
            <w:rPr>
              <w:noProof/>
              <w:sz w:val="20"/>
            </w:rPr>
            <w:fldChar w:fldCharType="begin"/>
          </w:r>
          <w:r w:rsidRPr="000C3CD4">
            <w:rPr>
              <w:noProof/>
              <w:sz w:val="20"/>
            </w:rPr>
            <w:instrText xml:space="preserve"> PAGEREF _Toc259911063 \h </w:instrText>
          </w:r>
          <w:r w:rsidR="000C3CD4" w:rsidRPr="000C3CD4">
            <w:rPr>
              <w:noProof/>
              <w:sz w:val="20"/>
            </w:rPr>
          </w:r>
          <w:r w:rsidRPr="000C3CD4">
            <w:rPr>
              <w:noProof/>
              <w:sz w:val="20"/>
            </w:rPr>
            <w:fldChar w:fldCharType="separate"/>
          </w:r>
          <w:r w:rsidRPr="000C3CD4">
            <w:rPr>
              <w:noProof/>
              <w:sz w:val="20"/>
            </w:rPr>
            <w:t>33</w:t>
          </w:r>
          <w:r w:rsidRPr="000C3CD4">
            <w:rPr>
              <w:noProof/>
              <w:sz w:val="20"/>
            </w:rPr>
            <w:fldChar w:fldCharType="end"/>
          </w:r>
        </w:p>
        <w:p w:rsidR="003A60FA" w:rsidRPr="000C3CD4" w:rsidRDefault="003A60FA">
          <w:pPr>
            <w:pStyle w:val="TOC2"/>
            <w:tabs>
              <w:tab w:val="right" w:leader="dot" w:pos="8630"/>
            </w:tabs>
            <w:rPr>
              <w:rFonts w:eastAsiaTheme="minorEastAsia"/>
              <w:b w:val="0"/>
              <w:noProof/>
              <w:szCs w:val="24"/>
              <w:lang w:val="en-US"/>
            </w:rPr>
          </w:pPr>
          <w:r w:rsidRPr="000C3CD4">
            <w:rPr>
              <w:noProof/>
              <w:sz w:val="20"/>
            </w:rPr>
            <w:t xml:space="preserve">1. By Act of the Parties </w:t>
          </w:r>
          <w:r w:rsidRPr="000C3CD4">
            <w:rPr>
              <w:b w:val="0"/>
              <w:noProof/>
              <w:sz w:val="20"/>
            </w:rPr>
            <w:t>[requires express words]</w:t>
          </w:r>
          <w:r w:rsidRPr="000C3CD4">
            <w:rPr>
              <w:noProof/>
              <w:sz w:val="20"/>
            </w:rPr>
            <w:tab/>
          </w:r>
          <w:r w:rsidRPr="000C3CD4">
            <w:rPr>
              <w:noProof/>
              <w:sz w:val="20"/>
            </w:rPr>
            <w:fldChar w:fldCharType="begin"/>
          </w:r>
          <w:r w:rsidRPr="000C3CD4">
            <w:rPr>
              <w:noProof/>
              <w:sz w:val="20"/>
            </w:rPr>
            <w:instrText xml:space="preserve"> PAGEREF _Toc259911064 \h </w:instrText>
          </w:r>
          <w:r w:rsidR="000C3CD4" w:rsidRPr="000C3CD4">
            <w:rPr>
              <w:noProof/>
              <w:sz w:val="20"/>
            </w:rPr>
          </w:r>
          <w:r w:rsidRPr="000C3CD4">
            <w:rPr>
              <w:noProof/>
              <w:sz w:val="20"/>
            </w:rPr>
            <w:fldChar w:fldCharType="separate"/>
          </w:r>
          <w:r w:rsidRPr="000C3CD4">
            <w:rPr>
              <w:noProof/>
              <w:sz w:val="20"/>
            </w:rPr>
            <w:t>33</w:t>
          </w:r>
          <w:r w:rsidRPr="000C3CD4">
            <w:rPr>
              <w:noProof/>
              <w:sz w:val="20"/>
            </w:rPr>
            <w:fldChar w:fldCharType="end"/>
          </w:r>
        </w:p>
        <w:p w:rsidR="003A60FA" w:rsidRPr="000C3CD4" w:rsidRDefault="003A60FA">
          <w:pPr>
            <w:pStyle w:val="TOC2"/>
            <w:tabs>
              <w:tab w:val="right" w:leader="dot" w:pos="8630"/>
            </w:tabs>
            <w:rPr>
              <w:rFonts w:eastAsiaTheme="minorEastAsia"/>
              <w:b w:val="0"/>
              <w:noProof/>
              <w:szCs w:val="24"/>
              <w:lang w:val="en-US"/>
            </w:rPr>
          </w:pPr>
          <w:r w:rsidRPr="000C3CD4">
            <w:rPr>
              <w:noProof/>
              <w:sz w:val="20"/>
              <w:lang w:val="en-US"/>
            </w:rPr>
            <w:t xml:space="preserve">2. By Statute </w:t>
          </w:r>
          <w:r w:rsidRPr="000C3CD4">
            <w:rPr>
              <w:b w:val="0"/>
              <w:noProof/>
              <w:sz w:val="20"/>
              <w:lang w:val="en-US"/>
            </w:rPr>
            <w:t>[WESA changes to Spouse succession, Family Law Act, Land (Spouse) Protection Act]</w:t>
          </w:r>
          <w:r w:rsidRPr="000C3CD4">
            <w:rPr>
              <w:noProof/>
              <w:sz w:val="20"/>
            </w:rPr>
            <w:tab/>
          </w:r>
          <w:r w:rsidRPr="000C3CD4">
            <w:rPr>
              <w:noProof/>
              <w:sz w:val="20"/>
            </w:rPr>
            <w:fldChar w:fldCharType="begin"/>
          </w:r>
          <w:r w:rsidRPr="000C3CD4">
            <w:rPr>
              <w:noProof/>
              <w:sz w:val="20"/>
            </w:rPr>
            <w:instrText xml:space="preserve"> PAGEREF _Toc259911065 \h </w:instrText>
          </w:r>
          <w:r w:rsidR="000C3CD4" w:rsidRPr="000C3CD4">
            <w:rPr>
              <w:noProof/>
              <w:sz w:val="20"/>
            </w:rPr>
          </w:r>
          <w:r w:rsidRPr="000C3CD4">
            <w:rPr>
              <w:noProof/>
              <w:sz w:val="20"/>
            </w:rPr>
            <w:fldChar w:fldCharType="separate"/>
          </w:r>
          <w:r w:rsidRPr="000C3CD4">
            <w:rPr>
              <w:noProof/>
              <w:sz w:val="20"/>
            </w:rPr>
            <w:t>33</w:t>
          </w:r>
          <w:r w:rsidRPr="000C3CD4">
            <w:rPr>
              <w:noProof/>
              <w:sz w:val="20"/>
            </w:rPr>
            <w:fldChar w:fldCharType="end"/>
          </w:r>
        </w:p>
        <w:p w:rsidR="003A60FA" w:rsidRPr="000C3CD4" w:rsidRDefault="003A60FA">
          <w:pPr>
            <w:pStyle w:val="TOC2"/>
            <w:tabs>
              <w:tab w:val="right" w:leader="dot" w:pos="8630"/>
            </w:tabs>
            <w:rPr>
              <w:rFonts w:eastAsiaTheme="minorEastAsia"/>
              <w:b w:val="0"/>
              <w:noProof/>
              <w:szCs w:val="24"/>
              <w:lang w:val="en-US"/>
            </w:rPr>
          </w:pPr>
          <w:r w:rsidRPr="000C3CD4">
            <w:rPr>
              <w:noProof/>
              <w:sz w:val="20"/>
              <w:lang w:val="en-US"/>
            </w:rPr>
            <w:t>RIGHTS OF A LIFE TENANT</w:t>
          </w:r>
          <w:r w:rsidRPr="000C3CD4">
            <w:rPr>
              <w:noProof/>
              <w:sz w:val="20"/>
            </w:rPr>
            <w:tab/>
          </w:r>
          <w:r w:rsidRPr="000C3CD4">
            <w:rPr>
              <w:noProof/>
              <w:sz w:val="20"/>
            </w:rPr>
            <w:fldChar w:fldCharType="begin"/>
          </w:r>
          <w:r w:rsidRPr="000C3CD4">
            <w:rPr>
              <w:noProof/>
              <w:sz w:val="20"/>
            </w:rPr>
            <w:instrText xml:space="preserve"> PAGEREF _Toc259911066 \h </w:instrText>
          </w:r>
          <w:r w:rsidR="000C3CD4" w:rsidRPr="000C3CD4">
            <w:rPr>
              <w:noProof/>
              <w:sz w:val="20"/>
            </w:rPr>
          </w:r>
          <w:r w:rsidRPr="000C3CD4">
            <w:rPr>
              <w:noProof/>
              <w:sz w:val="20"/>
            </w:rPr>
            <w:fldChar w:fldCharType="separate"/>
          </w:r>
          <w:r w:rsidRPr="000C3CD4">
            <w:rPr>
              <w:noProof/>
              <w:sz w:val="20"/>
            </w:rPr>
            <w:t>34</w:t>
          </w:r>
          <w:r w:rsidRPr="000C3CD4">
            <w:rPr>
              <w:noProof/>
              <w:sz w:val="20"/>
            </w:rPr>
            <w:fldChar w:fldCharType="end"/>
          </w:r>
        </w:p>
        <w:p w:rsidR="003A60FA" w:rsidRPr="000C3CD4" w:rsidRDefault="003A60FA">
          <w:pPr>
            <w:pStyle w:val="TOC2"/>
            <w:tabs>
              <w:tab w:val="right" w:leader="dot" w:pos="8630"/>
            </w:tabs>
            <w:rPr>
              <w:rFonts w:eastAsiaTheme="minorEastAsia"/>
              <w:b w:val="0"/>
              <w:noProof/>
              <w:szCs w:val="24"/>
              <w:lang w:val="en-US"/>
            </w:rPr>
          </w:pPr>
          <w:r w:rsidRPr="000C3CD4">
            <w:rPr>
              <w:noProof/>
              <w:sz w:val="20"/>
              <w:lang w:val="en-US"/>
            </w:rPr>
            <w:t xml:space="preserve">Occupation, Use and Profits </w:t>
          </w:r>
          <w:r w:rsidRPr="000C3CD4">
            <w:rPr>
              <w:b w:val="0"/>
              <w:noProof/>
              <w:sz w:val="20"/>
              <w:lang w:val="en-US"/>
            </w:rPr>
            <w:t>[LE = operating expenses, R = capital outlays]</w:t>
          </w:r>
          <w:r w:rsidRPr="000C3CD4">
            <w:rPr>
              <w:noProof/>
              <w:sz w:val="20"/>
            </w:rPr>
            <w:tab/>
          </w:r>
          <w:r w:rsidRPr="000C3CD4">
            <w:rPr>
              <w:noProof/>
              <w:sz w:val="20"/>
            </w:rPr>
            <w:fldChar w:fldCharType="begin"/>
          </w:r>
          <w:r w:rsidRPr="000C3CD4">
            <w:rPr>
              <w:noProof/>
              <w:sz w:val="20"/>
            </w:rPr>
            <w:instrText xml:space="preserve"> PAGEREF _Toc259911067 \h </w:instrText>
          </w:r>
          <w:r w:rsidR="000C3CD4" w:rsidRPr="000C3CD4">
            <w:rPr>
              <w:noProof/>
              <w:sz w:val="20"/>
            </w:rPr>
          </w:r>
          <w:r w:rsidRPr="000C3CD4">
            <w:rPr>
              <w:noProof/>
              <w:sz w:val="20"/>
            </w:rPr>
            <w:fldChar w:fldCharType="separate"/>
          </w:r>
          <w:r w:rsidRPr="000C3CD4">
            <w:rPr>
              <w:noProof/>
              <w:sz w:val="20"/>
            </w:rPr>
            <w:t>34</w:t>
          </w:r>
          <w:r w:rsidRPr="000C3CD4">
            <w:rPr>
              <w:noProof/>
              <w:sz w:val="20"/>
            </w:rPr>
            <w:fldChar w:fldCharType="end"/>
          </w:r>
        </w:p>
        <w:p w:rsidR="003A60FA" w:rsidRPr="000C3CD4" w:rsidRDefault="003A60FA">
          <w:pPr>
            <w:pStyle w:val="TOC2"/>
            <w:tabs>
              <w:tab w:val="right" w:leader="dot" w:pos="8630"/>
            </w:tabs>
            <w:rPr>
              <w:rFonts w:eastAsiaTheme="minorEastAsia"/>
              <w:b w:val="0"/>
              <w:noProof/>
              <w:szCs w:val="24"/>
              <w:lang w:val="en-US"/>
            </w:rPr>
          </w:pPr>
          <w:r w:rsidRPr="000C3CD4">
            <w:rPr>
              <w:noProof/>
              <w:sz w:val="20"/>
              <w:lang w:val="en-US"/>
            </w:rPr>
            <w:t>Transfer Inter Vivos [</w:t>
          </w:r>
          <w:r w:rsidRPr="000C3CD4">
            <w:rPr>
              <w:b w:val="0"/>
              <w:noProof/>
              <w:sz w:val="20"/>
              <w:lang w:val="en-US"/>
            </w:rPr>
            <w:t>A LE may be transferred IV.]</w:t>
          </w:r>
          <w:r w:rsidRPr="000C3CD4">
            <w:rPr>
              <w:noProof/>
              <w:sz w:val="20"/>
            </w:rPr>
            <w:tab/>
          </w:r>
          <w:r w:rsidRPr="000C3CD4">
            <w:rPr>
              <w:noProof/>
              <w:sz w:val="20"/>
            </w:rPr>
            <w:fldChar w:fldCharType="begin"/>
          </w:r>
          <w:r w:rsidRPr="000C3CD4">
            <w:rPr>
              <w:noProof/>
              <w:sz w:val="20"/>
            </w:rPr>
            <w:instrText xml:space="preserve"> PAGEREF _Toc259911068 \h </w:instrText>
          </w:r>
          <w:r w:rsidR="000C3CD4" w:rsidRPr="000C3CD4">
            <w:rPr>
              <w:noProof/>
              <w:sz w:val="20"/>
            </w:rPr>
          </w:r>
          <w:r w:rsidRPr="000C3CD4">
            <w:rPr>
              <w:noProof/>
              <w:sz w:val="20"/>
            </w:rPr>
            <w:fldChar w:fldCharType="separate"/>
          </w:r>
          <w:r w:rsidRPr="000C3CD4">
            <w:rPr>
              <w:noProof/>
              <w:sz w:val="20"/>
            </w:rPr>
            <w:t>34</w:t>
          </w:r>
          <w:r w:rsidRPr="000C3CD4">
            <w:rPr>
              <w:noProof/>
              <w:sz w:val="20"/>
            </w:rPr>
            <w:fldChar w:fldCharType="end"/>
          </w:r>
        </w:p>
        <w:p w:rsidR="003A60FA" w:rsidRPr="000C3CD4" w:rsidRDefault="003A60FA">
          <w:pPr>
            <w:pStyle w:val="TOC2"/>
            <w:tabs>
              <w:tab w:val="right" w:leader="dot" w:pos="8630"/>
            </w:tabs>
            <w:rPr>
              <w:rFonts w:eastAsiaTheme="minorEastAsia"/>
              <w:b w:val="0"/>
              <w:noProof/>
              <w:szCs w:val="24"/>
              <w:lang w:val="en-US"/>
            </w:rPr>
          </w:pPr>
          <w:r w:rsidRPr="000C3CD4">
            <w:rPr>
              <w:noProof/>
              <w:sz w:val="20"/>
              <w:lang w:val="en-US"/>
            </w:rPr>
            <w:t>Devolution on Death [</w:t>
          </w:r>
          <w:r w:rsidRPr="000C3CD4">
            <w:rPr>
              <w:b w:val="0"/>
              <w:noProof/>
              <w:sz w:val="20"/>
              <w:lang w:val="en-US"/>
            </w:rPr>
            <w:t>LT disposable through will WESA ss1 [estate] and 41]</w:t>
          </w:r>
          <w:r w:rsidRPr="000C3CD4">
            <w:rPr>
              <w:noProof/>
              <w:sz w:val="20"/>
            </w:rPr>
            <w:tab/>
          </w:r>
          <w:r w:rsidRPr="000C3CD4">
            <w:rPr>
              <w:noProof/>
              <w:sz w:val="20"/>
            </w:rPr>
            <w:fldChar w:fldCharType="begin"/>
          </w:r>
          <w:r w:rsidRPr="000C3CD4">
            <w:rPr>
              <w:noProof/>
              <w:sz w:val="20"/>
            </w:rPr>
            <w:instrText xml:space="preserve"> PAGEREF _Toc259911069 \h </w:instrText>
          </w:r>
          <w:r w:rsidR="000C3CD4" w:rsidRPr="000C3CD4">
            <w:rPr>
              <w:noProof/>
              <w:sz w:val="20"/>
            </w:rPr>
          </w:r>
          <w:r w:rsidRPr="000C3CD4">
            <w:rPr>
              <w:noProof/>
              <w:sz w:val="20"/>
            </w:rPr>
            <w:fldChar w:fldCharType="separate"/>
          </w:r>
          <w:r w:rsidRPr="000C3CD4">
            <w:rPr>
              <w:noProof/>
              <w:sz w:val="20"/>
            </w:rPr>
            <w:t>34</w:t>
          </w:r>
          <w:r w:rsidRPr="000C3CD4">
            <w:rPr>
              <w:noProof/>
              <w:sz w:val="20"/>
            </w:rPr>
            <w:fldChar w:fldCharType="end"/>
          </w:r>
        </w:p>
        <w:p w:rsidR="003A60FA" w:rsidRPr="000C3CD4" w:rsidRDefault="003A60FA">
          <w:pPr>
            <w:pStyle w:val="TOC2"/>
            <w:tabs>
              <w:tab w:val="right" w:leader="dot" w:pos="8630"/>
            </w:tabs>
            <w:rPr>
              <w:rFonts w:eastAsiaTheme="minorEastAsia"/>
              <w:b w:val="0"/>
              <w:noProof/>
              <w:szCs w:val="24"/>
              <w:lang w:val="en-US"/>
            </w:rPr>
          </w:pPr>
          <w:r w:rsidRPr="000C3CD4">
            <w:rPr>
              <w:noProof/>
              <w:sz w:val="20"/>
              <w:lang w:val="en-US"/>
            </w:rPr>
            <w:t>OBLIGATIONS OF A LIFE TENANT TO THOSE ENTITLED IN REVERSION OR REMAINDER [</w:t>
          </w:r>
          <w:r w:rsidRPr="000C3CD4">
            <w:rPr>
              <w:b w:val="0"/>
              <w:noProof/>
              <w:sz w:val="20"/>
              <w:lang w:val="en-US"/>
            </w:rPr>
            <w:t>R entitled “substantially the same form”</w:t>
          </w:r>
          <w:r w:rsidRPr="000C3CD4">
            <w:rPr>
              <w:noProof/>
              <w:sz w:val="20"/>
              <w:lang w:val="en-US"/>
            </w:rPr>
            <w:t>]</w:t>
          </w:r>
          <w:r w:rsidRPr="000C3CD4">
            <w:rPr>
              <w:noProof/>
              <w:sz w:val="20"/>
            </w:rPr>
            <w:tab/>
          </w:r>
          <w:r w:rsidRPr="000C3CD4">
            <w:rPr>
              <w:noProof/>
              <w:sz w:val="20"/>
            </w:rPr>
            <w:fldChar w:fldCharType="begin"/>
          </w:r>
          <w:r w:rsidRPr="000C3CD4">
            <w:rPr>
              <w:noProof/>
              <w:sz w:val="20"/>
            </w:rPr>
            <w:instrText xml:space="preserve"> PAGEREF _Toc259911070 \h </w:instrText>
          </w:r>
          <w:r w:rsidR="000C3CD4" w:rsidRPr="000C3CD4">
            <w:rPr>
              <w:noProof/>
              <w:sz w:val="20"/>
            </w:rPr>
          </w:r>
          <w:r w:rsidRPr="000C3CD4">
            <w:rPr>
              <w:noProof/>
              <w:sz w:val="20"/>
            </w:rPr>
            <w:fldChar w:fldCharType="separate"/>
          </w:r>
          <w:r w:rsidRPr="000C3CD4">
            <w:rPr>
              <w:noProof/>
              <w:sz w:val="20"/>
            </w:rPr>
            <w:t>34</w:t>
          </w:r>
          <w:r w:rsidRPr="000C3CD4">
            <w:rPr>
              <w:noProof/>
              <w:sz w:val="20"/>
            </w:rPr>
            <w:fldChar w:fldCharType="end"/>
          </w:r>
        </w:p>
        <w:p w:rsidR="003A60FA" w:rsidRPr="000C3CD4" w:rsidRDefault="003A60FA">
          <w:pPr>
            <w:pStyle w:val="TOC2"/>
            <w:tabs>
              <w:tab w:val="right" w:leader="dot" w:pos="8630"/>
            </w:tabs>
            <w:rPr>
              <w:rFonts w:eastAsiaTheme="minorEastAsia"/>
              <w:b w:val="0"/>
              <w:noProof/>
              <w:szCs w:val="24"/>
              <w:lang w:val="en-US"/>
            </w:rPr>
          </w:pPr>
          <w:r w:rsidRPr="000C3CD4">
            <w:rPr>
              <w:noProof/>
              <w:sz w:val="20"/>
              <w:lang w:val="en-US"/>
            </w:rPr>
            <w:t xml:space="preserve">Waste </w:t>
          </w:r>
          <w:r w:rsidRPr="000C3CD4">
            <w:rPr>
              <w:b w:val="0"/>
              <w:noProof/>
              <w:sz w:val="20"/>
              <w:lang w:val="en-US"/>
            </w:rPr>
            <w:t>[Permissive, Voluntary (2 conceptions), Equitable]</w:t>
          </w:r>
          <w:r w:rsidRPr="000C3CD4">
            <w:rPr>
              <w:noProof/>
              <w:sz w:val="20"/>
            </w:rPr>
            <w:tab/>
          </w:r>
          <w:r w:rsidRPr="000C3CD4">
            <w:rPr>
              <w:noProof/>
              <w:sz w:val="20"/>
            </w:rPr>
            <w:fldChar w:fldCharType="begin"/>
          </w:r>
          <w:r w:rsidRPr="000C3CD4">
            <w:rPr>
              <w:noProof/>
              <w:sz w:val="20"/>
            </w:rPr>
            <w:instrText xml:space="preserve"> PAGEREF _Toc259911071 \h </w:instrText>
          </w:r>
          <w:r w:rsidR="000C3CD4" w:rsidRPr="000C3CD4">
            <w:rPr>
              <w:noProof/>
              <w:sz w:val="20"/>
            </w:rPr>
          </w:r>
          <w:r w:rsidRPr="000C3CD4">
            <w:rPr>
              <w:noProof/>
              <w:sz w:val="20"/>
            </w:rPr>
            <w:fldChar w:fldCharType="separate"/>
          </w:r>
          <w:r w:rsidRPr="000C3CD4">
            <w:rPr>
              <w:noProof/>
              <w:sz w:val="20"/>
            </w:rPr>
            <w:t>35</w:t>
          </w:r>
          <w:r w:rsidRPr="000C3CD4">
            <w:rPr>
              <w:noProof/>
              <w:sz w:val="20"/>
            </w:rPr>
            <w:fldChar w:fldCharType="end"/>
          </w:r>
        </w:p>
        <w:p w:rsidR="003A60FA" w:rsidRPr="000C3CD4" w:rsidRDefault="003A60FA">
          <w:pPr>
            <w:pStyle w:val="TOC2"/>
            <w:tabs>
              <w:tab w:val="right" w:leader="dot" w:pos="8630"/>
            </w:tabs>
            <w:rPr>
              <w:rFonts w:eastAsiaTheme="minorEastAsia"/>
              <w:b w:val="0"/>
              <w:noProof/>
              <w:szCs w:val="24"/>
              <w:lang w:val="en-US"/>
            </w:rPr>
          </w:pPr>
          <w:r w:rsidRPr="000C3CD4">
            <w:rPr>
              <w:noProof/>
              <w:sz w:val="20"/>
              <w:lang w:val="en-US"/>
            </w:rPr>
            <w:t>3. Equitable waste – Unconscionable use of apparent legal right to commit waste at will</w:t>
          </w:r>
          <w:r w:rsidRPr="000C3CD4">
            <w:rPr>
              <w:b w:val="0"/>
              <w:noProof/>
              <w:sz w:val="20"/>
              <w:lang w:val="en-US"/>
            </w:rPr>
            <w:t>[equity might restraint life tenant with right of encroachment, LEA 11 – presumption against permission of equitable waste</w:t>
          </w:r>
          <w:r w:rsidRPr="000C3CD4">
            <w:rPr>
              <w:noProof/>
              <w:sz w:val="20"/>
              <w:lang w:val="en-US"/>
            </w:rPr>
            <w:t>]</w:t>
          </w:r>
          <w:r w:rsidRPr="000C3CD4">
            <w:rPr>
              <w:noProof/>
              <w:sz w:val="20"/>
            </w:rPr>
            <w:tab/>
          </w:r>
          <w:r w:rsidRPr="000C3CD4">
            <w:rPr>
              <w:noProof/>
              <w:sz w:val="20"/>
            </w:rPr>
            <w:fldChar w:fldCharType="begin"/>
          </w:r>
          <w:r w:rsidRPr="000C3CD4">
            <w:rPr>
              <w:noProof/>
              <w:sz w:val="20"/>
            </w:rPr>
            <w:instrText xml:space="preserve"> PAGEREF _Toc259911072 \h </w:instrText>
          </w:r>
          <w:r w:rsidR="000C3CD4" w:rsidRPr="000C3CD4">
            <w:rPr>
              <w:noProof/>
              <w:sz w:val="20"/>
            </w:rPr>
          </w:r>
          <w:r w:rsidRPr="000C3CD4">
            <w:rPr>
              <w:noProof/>
              <w:sz w:val="20"/>
            </w:rPr>
            <w:fldChar w:fldCharType="separate"/>
          </w:r>
          <w:r w:rsidRPr="000C3CD4">
            <w:rPr>
              <w:noProof/>
              <w:sz w:val="20"/>
            </w:rPr>
            <w:t>35</w:t>
          </w:r>
          <w:r w:rsidRPr="000C3CD4">
            <w:rPr>
              <w:noProof/>
              <w:sz w:val="20"/>
            </w:rPr>
            <w:fldChar w:fldCharType="end"/>
          </w:r>
        </w:p>
        <w:p w:rsidR="003A60FA" w:rsidRPr="000C3CD4" w:rsidRDefault="003A60FA" w:rsidP="000C3CD4">
          <w:pPr>
            <w:pStyle w:val="TOC3"/>
            <w:rPr>
              <w:rFonts w:eastAsiaTheme="minorEastAsia"/>
              <w:sz w:val="22"/>
              <w:szCs w:val="24"/>
            </w:rPr>
          </w:pPr>
          <w:r w:rsidRPr="000C3CD4">
            <w:rPr>
              <w:sz w:val="22"/>
              <w:highlight w:val="yellow"/>
            </w:rPr>
            <w:t>VANE v LORD BARNARD (1716)</w:t>
          </w:r>
          <w:r w:rsidRPr="000C3CD4">
            <w:rPr>
              <w:sz w:val="22"/>
            </w:rPr>
            <w:t>: Don’t commit equitable waste</w:t>
          </w:r>
          <w:r w:rsidRPr="000C3CD4">
            <w:rPr>
              <w:sz w:val="22"/>
            </w:rPr>
            <w:tab/>
          </w:r>
          <w:r w:rsidRPr="000C3CD4">
            <w:rPr>
              <w:sz w:val="22"/>
            </w:rPr>
            <w:fldChar w:fldCharType="begin"/>
          </w:r>
          <w:r w:rsidRPr="000C3CD4">
            <w:rPr>
              <w:sz w:val="22"/>
            </w:rPr>
            <w:instrText xml:space="preserve"> PAGEREF _Toc259911073 \h </w:instrText>
          </w:r>
          <w:r w:rsidR="000C3CD4" w:rsidRPr="000C3CD4">
            <w:rPr>
              <w:sz w:val="22"/>
            </w:rPr>
          </w:r>
          <w:r w:rsidRPr="000C3CD4">
            <w:rPr>
              <w:sz w:val="22"/>
            </w:rPr>
            <w:fldChar w:fldCharType="separate"/>
          </w:r>
          <w:r w:rsidRPr="000C3CD4">
            <w:rPr>
              <w:sz w:val="22"/>
            </w:rPr>
            <w:t>35</w:t>
          </w:r>
          <w:r w:rsidRPr="000C3CD4">
            <w:rPr>
              <w:sz w:val="22"/>
            </w:rPr>
            <w:fldChar w:fldCharType="end"/>
          </w:r>
        </w:p>
        <w:p w:rsidR="003A60FA" w:rsidRPr="000C3CD4" w:rsidRDefault="003A60FA" w:rsidP="000C3CD4">
          <w:pPr>
            <w:pStyle w:val="TOC3"/>
            <w:rPr>
              <w:rFonts w:eastAsiaTheme="minorEastAsia"/>
              <w:sz w:val="22"/>
              <w:szCs w:val="24"/>
            </w:rPr>
          </w:pPr>
          <w:r w:rsidRPr="000C3CD4">
            <w:rPr>
              <w:sz w:val="22"/>
              <w:highlight w:val="yellow"/>
            </w:rPr>
            <w:t>MAYO v LEITOVSKI</w:t>
          </w:r>
          <w:r w:rsidRPr="000C3CD4">
            <w:rPr>
              <w:sz w:val="22"/>
            </w:rPr>
            <w:t xml:space="preserve"> – equity looks on that as done which ought to have been done, equity imputes an intention to fulfil a legal obligation, LT must pay taxes on land and cannot use tax sale to extinguish remainder’s rights</w:t>
          </w:r>
          <w:r w:rsidRPr="000C3CD4">
            <w:rPr>
              <w:sz w:val="22"/>
            </w:rPr>
            <w:tab/>
          </w:r>
          <w:r w:rsidRPr="000C3CD4">
            <w:rPr>
              <w:sz w:val="22"/>
            </w:rPr>
            <w:fldChar w:fldCharType="begin"/>
          </w:r>
          <w:r w:rsidRPr="000C3CD4">
            <w:rPr>
              <w:sz w:val="22"/>
            </w:rPr>
            <w:instrText xml:space="preserve"> PAGEREF _Toc259911074 \h </w:instrText>
          </w:r>
          <w:r w:rsidR="000C3CD4" w:rsidRPr="000C3CD4">
            <w:rPr>
              <w:sz w:val="22"/>
            </w:rPr>
          </w:r>
          <w:r w:rsidRPr="000C3CD4">
            <w:rPr>
              <w:sz w:val="22"/>
            </w:rPr>
            <w:fldChar w:fldCharType="separate"/>
          </w:r>
          <w:r w:rsidRPr="000C3CD4">
            <w:rPr>
              <w:sz w:val="22"/>
            </w:rPr>
            <w:t>36</w:t>
          </w:r>
          <w:r w:rsidRPr="000C3CD4">
            <w:rPr>
              <w:sz w:val="22"/>
            </w:rPr>
            <w:fldChar w:fldCharType="end"/>
          </w:r>
        </w:p>
        <w:p w:rsidR="003A60FA" w:rsidRPr="000C3CD4" w:rsidRDefault="003A60FA">
          <w:pPr>
            <w:pStyle w:val="TOC1"/>
            <w:tabs>
              <w:tab w:val="right" w:leader="dot" w:pos="8630"/>
            </w:tabs>
            <w:rPr>
              <w:rFonts w:eastAsiaTheme="minorEastAsia"/>
              <w:b w:val="0"/>
              <w:noProof/>
              <w:sz w:val="22"/>
              <w:lang w:val="en-US"/>
            </w:rPr>
          </w:pPr>
          <w:r w:rsidRPr="000C3CD4">
            <w:rPr>
              <w:noProof/>
              <w:sz w:val="22"/>
              <w:highlight w:val="yellow"/>
              <w:lang w:val="en-US"/>
            </w:rPr>
            <w:t>CHAPTER XI: CO-OWNERSHIP – CONCURRENT ESTATES</w:t>
          </w:r>
          <w:r w:rsidRPr="000C3CD4">
            <w:rPr>
              <w:noProof/>
              <w:sz w:val="22"/>
            </w:rPr>
            <w:tab/>
          </w:r>
          <w:r w:rsidRPr="000C3CD4">
            <w:rPr>
              <w:noProof/>
              <w:sz w:val="22"/>
            </w:rPr>
            <w:fldChar w:fldCharType="begin"/>
          </w:r>
          <w:r w:rsidRPr="000C3CD4">
            <w:rPr>
              <w:noProof/>
              <w:sz w:val="22"/>
            </w:rPr>
            <w:instrText xml:space="preserve"> PAGEREF _Toc259911075 \h </w:instrText>
          </w:r>
          <w:r w:rsidR="000C3CD4" w:rsidRPr="000C3CD4">
            <w:rPr>
              <w:noProof/>
              <w:sz w:val="22"/>
            </w:rPr>
          </w:r>
          <w:r w:rsidRPr="000C3CD4">
            <w:rPr>
              <w:noProof/>
              <w:sz w:val="22"/>
            </w:rPr>
            <w:fldChar w:fldCharType="separate"/>
          </w:r>
          <w:r w:rsidRPr="000C3CD4">
            <w:rPr>
              <w:noProof/>
              <w:sz w:val="22"/>
            </w:rPr>
            <w:t>36</w:t>
          </w:r>
          <w:r w:rsidRPr="000C3CD4">
            <w:rPr>
              <w:noProof/>
              <w:sz w:val="22"/>
            </w:rPr>
            <w:fldChar w:fldCharType="end"/>
          </w:r>
        </w:p>
        <w:p w:rsidR="003A60FA" w:rsidRPr="000C3CD4" w:rsidRDefault="003A60FA">
          <w:pPr>
            <w:pStyle w:val="TOC2"/>
            <w:tabs>
              <w:tab w:val="right" w:leader="dot" w:pos="8630"/>
            </w:tabs>
            <w:rPr>
              <w:rFonts w:eastAsiaTheme="minorEastAsia"/>
              <w:b w:val="0"/>
              <w:noProof/>
              <w:szCs w:val="24"/>
              <w:lang w:val="en-US"/>
            </w:rPr>
          </w:pPr>
          <w:r w:rsidRPr="000C3CD4">
            <w:rPr>
              <w:noProof/>
              <w:sz w:val="20"/>
              <w:lang w:val="en-US"/>
            </w:rPr>
            <w:t>TENANCY IN COMMON</w:t>
          </w:r>
          <w:r w:rsidRPr="000C3CD4">
            <w:rPr>
              <w:noProof/>
              <w:sz w:val="20"/>
            </w:rPr>
            <w:tab/>
          </w:r>
          <w:r w:rsidRPr="000C3CD4">
            <w:rPr>
              <w:noProof/>
              <w:sz w:val="20"/>
            </w:rPr>
            <w:fldChar w:fldCharType="begin"/>
          </w:r>
          <w:r w:rsidRPr="000C3CD4">
            <w:rPr>
              <w:noProof/>
              <w:sz w:val="20"/>
            </w:rPr>
            <w:instrText xml:space="preserve"> PAGEREF _Toc259911076 \h </w:instrText>
          </w:r>
          <w:r w:rsidR="000C3CD4" w:rsidRPr="000C3CD4">
            <w:rPr>
              <w:noProof/>
              <w:sz w:val="20"/>
            </w:rPr>
          </w:r>
          <w:r w:rsidRPr="000C3CD4">
            <w:rPr>
              <w:noProof/>
              <w:sz w:val="20"/>
            </w:rPr>
            <w:fldChar w:fldCharType="separate"/>
          </w:r>
          <w:r w:rsidRPr="000C3CD4">
            <w:rPr>
              <w:noProof/>
              <w:sz w:val="20"/>
            </w:rPr>
            <w:t>36</w:t>
          </w:r>
          <w:r w:rsidRPr="000C3CD4">
            <w:rPr>
              <w:noProof/>
              <w:sz w:val="20"/>
            </w:rPr>
            <w:fldChar w:fldCharType="end"/>
          </w:r>
        </w:p>
        <w:p w:rsidR="003A60FA" w:rsidRPr="000C3CD4" w:rsidRDefault="003A60FA">
          <w:pPr>
            <w:pStyle w:val="TOC2"/>
            <w:tabs>
              <w:tab w:val="right" w:leader="dot" w:pos="8630"/>
            </w:tabs>
            <w:rPr>
              <w:rFonts w:eastAsiaTheme="minorEastAsia"/>
              <w:b w:val="0"/>
              <w:noProof/>
              <w:szCs w:val="24"/>
              <w:lang w:val="en-US"/>
            </w:rPr>
          </w:pPr>
          <w:r w:rsidRPr="000C3CD4">
            <w:rPr>
              <w:noProof/>
              <w:sz w:val="20"/>
              <w:lang w:val="en-US"/>
            </w:rPr>
            <w:t>JOINT TENANCY</w:t>
          </w:r>
          <w:r w:rsidRPr="000C3CD4">
            <w:rPr>
              <w:noProof/>
              <w:sz w:val="20"/>
            </w:rPr>
            <w:tab/>
          </w:r>
          <w:r w:rsidRPr="000C3CD4">
            <w:rPr>
              <w:noProof/>
              <w:sz w:val="20"/>
            </w:rPr>
            <w:fldChar w:fldCharType="begin"/>
          </w:r>
          <w:r w:rsidRPr="000C3CD4">
            <w:rPr>
              <w:noProof/>
              <w:sz w:val="20"/>
            </w:rPr>
            <w:instrText xml:space="preserve"> PAGEREF _Toc259911077 \h </w:instrText>
          </w:r>
          <w:r w:rsidR="000C3CD4" w:rsidRPr="000C3CD4">
            <w:rPr>
              <w:noProof/>
              <w:sz w:val="20"/>
            </w:rPr>
          </w:r>
          <w:r w:rsidRPr="000C3CD4">
            <w:rPr>
              <w:noProof/>
              <w:sz w:val="20"/>
            </w:rPr>
            <w:fldChar w:fldCharType="separate"/>
          </w:r>
          <w:r w:rsidRPr="000C3CD4">
            <w:rPr>
              <w:noProof/>
              <w:sz w:val="20"/>
            </w:rPr>
            <w:t>37</w:t>
          </w:r>
          <w:r w:rsidRPr="000C3CD4">
            <w:rPr>
              <w:noProof/>
              <w:sz w:val="20"/>
            </w:rPr>
            <w:fldChar w:fldCharType="end"/>
          </w:r>
        </w:p>
        <w:p w:rsidR="003A60FA" w:rsidRPr="000C3CD4" w:rsidRDefault="003A60FA">
          <w:pPr>
            <w:pStyle w:val="TOC2"/>
            <w:tabs>
              <w:tab w:val="right" w:leader="dot" w:pos="8630"/>
            </w:tabs>
            <w:rPr>
              <w:rFonts w:eastAsiaTheme="minorEastAsia"/>
              <w:b w:val="0"/>
              <w:noProof/>
              <w:szCs w:val="24"/>
              <w:lang w:val="en-US"/>
            </w:rPr>
          </w:pPr>
          <w:r w:rsidRPr="000C3CD4">
            <w:rPr>
              <w:noProof/>
              <w:sz w:val="20"/>
              <w:lang w:val="en-US"/>
            </w:rPr>
            <w:t>PRESUMPTION OF TENANCY IN COMMON</w:t>
          </w:r>
          <w:r w:rsidRPr="000C3CD4">
            <w:rPr>
              <w:noProof/>
              <w:sz w:val="20"/>
            </w:rPr>
            <w:tab/>
          </w:r>
          <w:r w:rsidRPr="000C3CD4">
            <w:rPr>
              <w:noProof/>
              <w:sz w:val="20"/>
            </w:rPr>
            <w:fldChar w:fldCharType="begin"/>
          </w:r>
          <w:r w:rsidRPr="000C3CD4">
            <w:rPr>
              <w:noProof/>
              <w:sz w:val="20"/>
            </w:rPr>
            <w:instrText xml:space="preserve"> PAGEREF _Toc259911078 \h </w:instrText>
          </w:r>
          <w:r w:rsidR="000C3CD4" w:rsidRPr="000C3CD4">
            <w:rPr>
              <w:noProof/>
              <w:sz w:val="20"/>
            </w:rPr>
          </w:r>
          <w:r w:rsidRPr="000C3CD4">
            <w:rPr>
              <w:noProof/>
              <w:sz w:val="20"/>
            </w:rPr>
            <w:fldChar w:fldCharType="separate"/>
          </w:r>
          <w:r w:rsidRPr="000C3CD4">
            <w:rPr>
              <w:noProof/>
              <w:sz w:val="20"/>
            </w:rPr>
            <w:t>37</w:t>
          </w:r>
          <w:r w:rsidRPr="000C3CD4">
            <w:rPr>
              <w:noProof/>
              <w:sz w:val="20"/>
            </w:rPr>
            <w:fldChar w:fldCharType="end"/>
          </w:r>
        </w:p>
        <w:p w:rsidR="00C04FE8" w:rsidRDefault="00010A55">
          <w:r w:rsidRPr="000C3CD4">
            <w:rPr>
              <w:sz w:val="16"/>
            </w:rPr>
            <w:fldChar w:fldCharType="end"/>
          </w:r>
        </w:p>
      </w:sdtContent>
    </w:sdt>
    <w:p w:rsidR="00854389" w:rsidRDefault="00C04FE8" w:rsidP="00642100">
      <w:pPr>
        <w:pStyle w:val="Heading2"/>
        <w:pBdr>
          <w:bottom w:val="single" w:sz="12" w:space="1" w:color="auto"/>
        </w:pBdr>
        <w:rPr>
          <w:b w:val="0"/>
          <w:sz w:val="32"/>
          <w:highlight w:val="yellow"/>
          <w:u w:val="single"/>
        </w:rPr>
      </w:pPr>
      <w:r>
        <w:rPr>
          <w:b w:val="0"/>
          <w:sz w:val="32"/>
          <w:highlight w:val="yellow"/>
          <w:u w:val="single"/>
        </w:rPr>
        <w:br w:type="page"/>
      </w:r>
    </w:p>
    <w:p w:rsidR="00854389" w:rsidRPr="00C04FE8" w:rsidRDefault="00854389" w:rsidP="00C04FE8">
      <w:pPr>
        <w:pStyle w:val="Heading1"/>
      </w:pPr>
      <w:bookmarkStart w:id="1" w:name="_Toc259911004"/>
      <w:r w:rsidRPr="00C04FE8">
        <w:rPr>
          <w:highlight w:val="yellow"/>
        </w:rPr>
        <w:t>CHAPTER V – REGISTRATION - OVERVIEW</w:t>
      </w:r>
      <w:bookmarkEnd w:id="1"/>
    </w:p>
    <w:p w:rsidR="00854389" w:rsidRPr="00C04FE8" w:rsidRDefault="00854389" w:rsidP="00C04FE8">
      <w:pPr>
        <w:pStyle w:val="Heading2"/>
        <w:rPr>
          <w:b w:val="0"/>
        </w:rPr>
      </w:pPr>
      <w:bookmarkStart w:id="2" w:name="_Toc259911005"/>
      <w:r w:rsidRPr="00C04FE8">
        <w:t>C. THE ROLE OF THE REGISTRAR</w:t>
      </w:r>
      <w:r w:rsidR="00C04FE8">
        <w:t>:</w:t>
      </w:r>
      <w:bookmarkEnd w:id="2"/>
      <w:r w:rsidR="00C04FE8">
        <w:t xml:space="preserve"> </w:t>
      </w:r>
    </w:p>
    <w:p w:rsidR="00854389" w:rsidRDefault="00854389" w:rsidP="00854389"/>
    <w:p w:rsidR="00854389" w:rsidRPr="00854389" w:rsidRDefault="00854389" w:rsidP="00854389">
      <w:r>
        <w:t xml:space="preserve">The registrar is charged with the responsibility of deciding in the case of each application whether the applicant has a </w:t>
      </w:r>
      <w:r w:rsidRPr="00854389">
        <w:rPr>
          <w:b/>
          <w:color w:val="800000"/>
        </w:rPr>
        <w:t>“good safeholding and marketable title”</w:t>
      </w:r>
      <w:r>
        <w:t xml:space="preserve"> (</w:t>
      </w:r>
      <w:r w:rsidRPr="00854389">
        <w:rPr>
          <w:color w:val="1F497D" w:themeColor="text2"/>
        </w:rPr>
        <w:t>ss. 169</w:t>
      </w:r>
      <w:r>
        <w:t xml:space="preserve">, </w:t>
      </w:r>
      <w:r w:rsidRPr="00854389">
        <w:rPr>
          <w:color w:val="1F497D" w:themeColor="text2"/>
        </w:rPr>
        <w:t>187</w:t>
      </w:r>
      <w:r>
        <w:t xml:space="preserve">, </w:t>
      </w:r>
      <w:r w:rsidRPr="00854389">
        <w:rPr>
          <w:color w:val="1F497D" w:themeColor="text2"/>
        </w:rPr>
        <w:t>197</w:t>
      </w:r>
      <w:r>
        <w:t>).</w:t>
      </w:r>
    </w:p>
    <w:bookmarkEnd w:id="0"/>
    <w:p w:rsidR="00854389" w:rsidRDefault="00854389" w:rsidP="00642100"/>
    <w:p w:rsidR="00854389" w:rsidRDefault="00854389" w:rsidP="00642100">
      <w:pPr>
        <w:pBdr>
          <w:bottom w:val="single" w:sz="12" w:space="1" w:color="auto"/>
        </w:pBdr>
      </w:pPr>
      <w:r>
        <w:t xml:space="preserve">The registrar has the power to </w:t>
      </w:r>
      <w:r w:rsidRPr="00854389">
        <w:rPr>
          <w:b/>
          <w:color w:val="800000"/>
        </w:rPr>
        <w:t>make corrections</w:t>
      </w:r>
      <w:r>
        <w:t xml:space="preserve"> under </w:t>
      </w:r>
      <w:r w:rsidRPr="00854389">
        <w:rPr>
          <w:color w:val="1F497D" w:themeColor="text2"/>
        </w:rPr>
        <w:t>ss. 382(1)(c)</w:t>
      </w:r>
      <w:r>
        <w:t xml:space="preserve"> and </w:t>
      </w:r>
      <w:r w:rsidRPr="00854389">
        <w:rPr>
          <w:color w:val="1F497D" w:themeColor="text2"/>
        </w:rPr>
        <w:t>383</w:t>
      </w:r>
      <w:r>
        <w:t>.</w:t>
      </w:r>
      <w:r w:rsidR="0006416A">
        <w:t xml:space="preserve"> This is a discretionary power and the registrar has no duty to correct errors. This power is limited to corrections that do not take away the rights of a bona fide purchaser. (</w:t>
      </w:r>
      <w:r w:rsidR="0006416A" w:rsidRPr="0006416A">
        <w:rPr>
          <w:i/>
          <w:color w:val="1F497D" w:themeColor="text2"/>
        </w:rPr>
        <w:t>Heller</w:t>
      </w:r>
      <w:r w:rsidR="0006416A">
        <w:t>)</w:t>
      </w:r>
    </w:p>
    <w:p w:rsidR="00854389" w:rsidRDefault="00854389" w:rsidP="00642100">
      <w:pPr>
        <w:pBdr>
          <w:bottom w:val="single" w:sz="12" w:space="1" w:color="auto"/>
        </w:pBdr>
      </w:pPr>
    </w:p>
    <w:p w:rsidR="000F2187" w:rsidRDefault="000F2187" w:rsidP="00642100">
      <w:pPr>
        <w:pBdr>
          <w:bottom w:val="single" w:sz="12" w:space="1" w:color="auto"/>
        </w:pBdr>
      </w:pPr>
      <w:r>
        <w:t xml:space="preserve">An applicant for registration that has been rejected </w:t>
      </w:r>
      <w:r w:rsidRPr="00FD6FF0">
        <w:rPr>
          <w:b/>
          <w:color w:val="800000"/>
        </w:rPr>
        <w:t>can appeal the decision</w:t>
      </w:r>
      <w:r>
        <w:t xml:space="preserve"> of the Registrar (</w:t>
      </w:r>
      <w:r w:rsidRPr="000F2187">
        <w:rPr>
          <w:color w:val="1F497D" w:themeColor="text2"/>
        </w:rPr>
        <w:t>Part 21, ss. 308-314</w:t>
      </w:r>
      <w:r>
        <w:t>)</w:t>
      </w:r>
    </w:p>
    <w:p w:rsidR="000F2187" w:rsidRDefault="000F2187" w:rsidP="00642100">
      <w:pPr>
        <w:pBdr>
          <w:bottom w:val="single" w:sz="12" w:space="1" w:color="auto"/>
        </w:pBdr>
      </w:pPr>
    </w:p>
    <w:p w:rsidR="006A726E" w:rsidRDefault="00854389" w:rsidP="00642100">
      <w:pPr>
        <w:pBdr>
          <w:bottom w:val="single" w:sz="12" w:space="1" w:color="auto"/>
        </w:pBdr>
      </w:pPr>
      <w:r>
        <w:t xml:space="preserve">The registrar’s duties under the act are not administrative or clerical only </w:t>
      </w:r>
      <w:r w:rsidRPr="00854389">
        <w:rPr>
          <w:b/>
          <w:color w:val="800000"/>
        </w:rPr>
        <w:t>but also judicial</w:t>
      </w:r>
      <w:r>
        <w:t xml:space="preserve"> (</w:t>
      </w:r>
      <w:r w:rsidRPr="00854389">
        <w:rPr>
          <w:i/>
          <w:color w:val="1F497D" w:themeColor="text2"/>
        </w:rPr>
        <w:t>Re Evans</w:t>
      </w:r>
      <w:r>
        <w:t xml:space="preserve">). </w:t>
      </w:r>
    </w:p>
    <w:p w:rsidR="006A726E" w:rsidRDefault="006A726E" w:rsidP="00642100">
      <w:pPr>
        <w:pBdr>
          <w:bottom w:val="single" w:sz="12" w:space="1" w:color="auto"/>
        </w:pBdr>
      </w:pPr>
    </w:p>
    <w:p w:rsidR="000F2187" w:rsidRPr="006A726E" w:rsidRDefault="006A726E" w:rsidP="00642100">
      <w:pPr>
        <w:pBdr>
          <w:bottom w:val="single" w:sz="12" w:space="1" w:color="auto"/>
        </w:pBdr>
      </w:pPr>
      <w:r w:rsidRPr="006A726E">
        <w:t>The district registrar is not a mere machine for making registration. He must exercise his discretion in determining if the applicant has established a prima facie title.</w:t>
      </w:r>
      <w:r>
        <w:t xml:space="preserve"> </w:t>
      </w:r>
      <w:r w:rsidRPr="006A726E">
        <w:t>The registrar will presume equitable conduct in determining whether a prima facie title exists but will not disregard a “palpable blot on the face of the title”</w:t>
      </w:r>
      <w:r>
        <w:t xml:space="preserve"> (</w:t>
      </w:r>
      <w:r w:rsidRPr="006A726E">
        <w:rPr>
          <w:i/>
          <w:color w:val="1F497D" w:themeColor="text2"/>
        </w:rPr>
        <w:t>Shaw</w:t>
      </w:r>
      <w:r>
        <w:t>).</w:t>
      </w:r>
    </w:p>
    <w:p w:rsidR="00854389" w:rsidRDefault="00854389" w:rsidP="00642100">
      <w:pPr>
        <w:pBdr>
          <w:bottom w:val="single" w:sz="12" w:space="1" w:color="auto"/>
        </w:pBdr>
      </w:pPr>
    </w:p>
    <w:p w:rsidR="00854389" w:rsidRPr="00C04FE8" w:rsidRDefault="00854389" w:rsidP="00C04FE8">
      <w:pPr>
        <w:pStyle w:val="Heading3"/>
        <w:rPr>
          <w:b w:val="0"/>
        </w:rPr>
      </w:pPr>
      <w:bookmarkStart w:id="3" w:name="_Toc259911006"/>
      <w:r w:rsidRPr="00C04FE8">
        <w:rPr>
          <w:highlight w:val="yellow"/>
        </w:rPr>
        <w:t xml:space="preserve">RE: LAND </w:t>
      </w:r>
      <w:r w:rsidRPr="00854389">
        <w:rPr>
          <w:highlight w:val="yellow"/>
        </w:rPr>
        <w:t>REGISTRY</w:t>
      </w:r>
      <w:r w:rsidRPr="00C04FE8">
        <w:rPr>
          <w:highlight w:val="yellow"/>
        </w:rPr>
        <w:t xml:space="preserve"> ACT, RE EVANS APPLICATION</w:t>
      </w:r>
      <w:r w:rsidR="00C04FE8">
        <w:t xml:space="preserve">: </w:t>
      </w:r>
      <w:r w:rsidR="00C04FE8" w:rsidRPr="00C04FE8">
        <w:rPr>
          <w:b w:val="0"/>
        </w:rPr>
        <w:t>judicial role of registrar, need clear boundaries to register title</w:t>
      </w:r>
      <w:bookmarkEnd w:id="3"/>
    </w:p>
    <w:p w:rsidR="00854389" w:rsidRDefault="00854389" w:rsidP="00642100"/>
    <w:p w:rsidR="00854389" w:rsidRDefault="00854389" w:rsidP="00642100">
      <w:r>
        <w:t>FACTS:</w:t>
      </w:r>
    </w:p>
    <w:p w:rsidR="00854389" w:rsidRDefault="00854389" w:rsidP="00642100"/>
    <w:p w:rsidR="00854389" w:rsidRDefault="00854389" w:rsidP="00642100">
      <w:r>
        <w:t>The Evans had a joint tenancy of a lot of land subdivided from a larger parcel. In the plan of the larger parcel there was no stated dimensions but was “reputed to be 66 feet wide, more or less”</w:t>
      </w:r>
    </w:p>
    <w:p w:rsidR="00854389" w:rsidRDefault="00854389" w:rsidP="00642100"/>
    <w:p w:rsidR="00854389" w:rsidRDefault="00854389" w:rsidP="00642100">
      <w:r>
        <w:t xml:space="preserve">When Mr. Evans died, his wife applied to register the title in her name solely. </w:t>
      </w:r>
    </w:p>
    <w:p w:rsidR="00854389" w:rsidRDefault="00854389" w:rsidP="00642100"/>
    <w:p w:rsidR="00D72AAA" w:rsidRDefault="00854389" w:rsidP="00642100">
      <w:r>
        <w:t>The registrar refused</w:t>
      </w:r>
      <w:r w:rsidR="00D72AAA">
        <w:t xml:space="preserve"> the registration because he felt that without proper boundaries, there might be a risk of overlap in registration of title of the two adjoining lots. </w:t>
      </w:r>
    </w:p>
    <w:p w:rsidR="00D72AAA" w:rsidRDefault="00D72AAA" w:rsidP="00642100"/>
    <w:p w:rsidR="00D72AAA" w:rsidRDefault="00D72AAA" w:rsidP="00642100">
      <w:r>
        <w:t>HELD:</w:t>
      </w:r>
    </w:p>
    <w:p w:rsidR="00D72AAA" w:rsidRDefault="00D72AAA" w:rsidP="00642100"/>
    <w:p w:rsidR="00842281" w:rsidRDefault="00D72AAA" w:rsidP="00642100">
      <w:r>
        <w:t xml:space="preserve">The </w:t>
      </w:r>
      <w:r w:rsidR="00842281">
        <w:t>Registrar’s decision is upheld</w:t>
      </w:r>
    </w:p>
    <w:p w:rsidR="00842281" w:rsidRDefault="00842281" w:rsidP="00642100"/>
    <w:p w:rsidR="00842281" w:rsidRDefault="00842281" w:rsidP="00642100">
      <w:r>
        <w:t>RATIO:</w:t>
      </w:r>
    </w:p>
    <w:p w:rsidR="00842281" w:rsidRDefault="00842281" w:rsidP="00642100"/>
    <w:p w:rsidR="00842281" w:rsidRDefault="00842281" w:rsidP="00642100">
      <w:r>
        <w:t xml:space="preserve">The registrar is obliged to act judicially in determining if a clear, good safe-holding and marketable title exists before he can issue a certificate of </w:t>
      </w:r>
      <w:r w:rsidR="00C04FE8">
        <w:t>indefeasible</w:t>
      </w:r>
      <w:r>
        <w:t xml:space="preserve"> title. </w:t>
      </w:r>
    </w:p>
    <w:p w:rsidR="00842281" w:rsidRDefault="00842281" w:rsidP="00642100"/>
    <w:p w:rsidR="00842281" w:rsidRDefault="00842281" w:rsidP="00642100">
      <w:r>
        <w:t>Any person has the right to show that the whole or any portion of the land is by wrong description of boundaries or of parcels improperly including in the registrar.</w:t>
      </w:r>
    </w:p>
    <w:p w:rsidR="00842281" w:rsidRPr="00FD6FF0" w:rsidRDefault="00842281" w:rsidP="00642100">
      <w:pPr>
        <w:pBdr>
          <w:bottom w:val="single" w:sz="12" w:space="1" w:color="auto"/>
        </w:pBdr>
        <w:rPr>
          <w:b/>
          <w:u w:val="single"/>
        </w:rPr>
      </w:pPr>
    </w:p>
    <w:p w:rsidR="00FD6FF0" w:rsidRPr="00C04FE8" w:rsidRDefault="00FD6FF0" w:rsidP="00C04FE8">
      <w:pPr>
        <w:pStyle w:val="Heading3"/>
        <w:rPr>
          <w:b w:val="0"/>
        </w:rPr>
      </w:pPr>
      <w:bookmarkStart w:id="4" w:name="_Toc259911007"/>
      <w:r w:rsidRPr="00FD6FF0">
        <w:rPr>
          <w:highlight w:val="yellow"/>
        </w:rPr>
        <w:t>RE LAND REGISTRY ACT AND SHAW</w:t>
      </w:r>
      <w:r w:rsidR="00C04FE8">
        <w:t xml:space="preserve">: </w:t>
      </w:r>
      <w:r w:rsidR="00C04FE8">
        <w:rPr>
          <w:b w:val="0"/>
        </w:rPr>
        <w:t>registrar will presume equitable conduct</w:t>
      </w:r>
      <w:r w:rsidR="008A094F">
        <w:rPr>
          <w:b w:val="0"/>
        </w:rPr>
        <w:t>, unless “palpable blot on the face of title”</w:t>
      </w:r>
      <w:r w:rsidR="00B841D5">
        <w:rPr>
          <w:b w:val="0"/>
        </w:rPr>
        <w:t xml:space="preserve"> [registrar not mere machine]</w:t>
      </w:r>
      <w:bookmarkEnd w:id="4"/>
    </w:p>
    <w:p w:rsidR="00FD6FF0" w:rsidRDefault="00FD6FF0" w:rsidP="00642100"/>
    <w:p w:rsidR="00842281" w:rsidRDefault="00FD6FF0" w:rsidP="00642100">
      <w:r>
        <w:t>FACTS:</w:t>
      </w:r>
    </w:p>
    <w:p w:rsidR="00FD6FF0" w:rsidRDefault="00FD6FF0" w:rsidP="00642100"/>
    <w:p w:rsidR="00FD6FF0" w:rsidRDefault="00FD6FF0" w:rsidP="00642100">
      <w:r>
        <w:t xml:space="preserve">Son, acting under power of attorney granted to him by his father, the registered fee simple holder of the estate, granted himself a transfer of a mortgage. In effect, he signed as both the transferor and the transferee. </w:t>
      </w:r>
    </w:p>
    <w:p w:rsidR="00FD6FF0" w:rsidRDefault="00FD6FF0" w:rsidP="00642100"/>
    <w:p w:rsidR="00FD6FF0" w:rsidRDefault="00FD6FF0" w:rsidP="00642100">
      <w:r>
        <w:t>The district registrar refused to register the assignment until notified by the father.</w:t>
      </w:r>
    </w:p>
    <w:p w:rsidR="00FD6FF0" w:rsidRDefault="00FD6FF0" w:rsidP="00642100"/>
    <w:p w:rsidR="00FD6FF0" w:rsidRDefault="00FD6FF0" w:rsidP="00642100">
      <w:r>
        <w:t>HELD:</w:t>
      </w:r>
    </w:p>
    <w:p w:rsidR="00FD6FF0" w:rsidRDefault="00FD6FF0" w:rsidP="00642100"/>
    <w:p w:rsidR="00642100" w:rsidRPr="00AF6044" w:rsidRDefault="00FD6FF0" w:rsidP="00642100">
      <w:r>
        <w:t>Registrar’s decision was upheld.</w:t>
      </w:r>
    </w:p>
    <w:p w:rsidR="00FD6FF0" w:rsidRPr="00FD6FF0" w:rsidRDefault="00FD6FF0" w:rsidP="00C04FE8">
      <w:pPr>
        <w:rPr>
          <w:b/>
        </w:rPr>
      </w:pPr>
      <w:r w:rsidRPr="00FD6FF0">
        <w:t>RATIO:</w:t>
      </w:r>
    </w:p>
    <w:p w:rsidR="006A726E" w:rsidRDefault="006A726E" w:rsidP="00FD6FF0"/>
    <w:p w:rsidR="006A726E" w:rsidRPr="006A726E" w:rsidRDefault="006A726E" w:rsidP="00FD6FF0">
      <w:r>
        <w:t xml:space="preserve">A transfer by a fiduciary to himself is </w:t>
      </w:r>
      <w:r w:rsidRPr="00CD0576">
        <w:rPr>
          <w:i/>
          <w:color w:val="800000"/>
        </w:rPr>
        <w:t>prima facie</w:t>
      </w:r>
      <w:r>
        <w:rPr>
          <w:i/>
        </w:rPr>
        <w:t xml:space="preserve"> </w:t>
      </w:r>
      <w:r>
        <w:t>voidable.</w:t>
      </w:r>
    </w:p>
    <w:p w:rsidR="00FD6FF0" w:rsidRDefault="00FD6FF0" w:rsidP="00FD6FF0"/>
    <w:p w:rsidR="006A726E" w:rsidRDefault="006A726E" w:rsidP="00FD6FF0">
      <w:r>
        <w:t xml:space="preserve">You cannot use power of attorney to grant yourself a mortgage or transfer any interest without full disclosure, fair consideration and good faith on the part of the transferee, the onus of which is on him to prove. </w:t>
      </w:r>
    </w:p>
    <w:p w:rsidR="006A726E" w:rsidRDefault="006A726E" w:rsidP="00FD6FF0"/>
    <w:p w:rsidR="00642100" w:rsidRPr="006A726E" w:rsidRDefault="006A726E" w:rsidP="00FD6FF0">
      <w:r>
        <w:t xml:space="preserve">The district registrar is not a mere machine for making registration. He must exercise his discretion in determining if the applicant has established a </w:t>
      </w:r>
      <w:r w:rsidRPr="00CD0576">
        <w:rPr>
          <w:i/>
          <w:color w:val="800000"/>
        </w:rPr>
        <w:t>prima facie</w:t>
      </w:r>
      <w:r>
        <w:t xml:space="preserve"> title.</w:t>
      </w:r>
    </w:p>
    <w:p w:rsidR="006A726E" w:rsidRDefault="006A726E" w:rsidP="00642100"/>
    <w:p w:rsidR="006A726E" w:rsidRDefault="006A726E" w:rsidP="00642100">
      <w:pPr>
        <w:pBdr>
          <w:bottom w:val="single" w:sz="12" w:space="1" w:color="auto"/>
        </w:pBdr>
      </w:pPr>
      <w:r>
        <w:t xml:space="preserve">The registrar will presume equitable conduct in determining whether a </w:t>
      </w:r>
      <w:r w:rsidRPr="00CD0576">
        <w:rPr>
          <w:i/>
          <w:color w:val="800000"/>
        </w:rPr>
        <w:t>prima facie</w:t>
      </w:r>
      <w:r>
        <w:t xml:space="preserve"> title exists but will not disregard a “palpable blot on the face of the title”.</w:t>
      </w:r>
    </w:p>
    <w:p w:rsidR="006A726E" w:rsidRDefault="006A726E" w:rsidP="00642100">
      <w:pPr>
        <w:pBdr>
          <w:bottom w:val="single" w:sz="12" w:space="1" w:color="auto"/>
        </w:pBdr>
      </w:pPr>
    </w:p>
    <w:p w:rsidR="006A726E" w:rsidRDefault="006A726E" w:rsidP="00642100"/>
    <w:p w:rsidR="006A726E" w:rsidRDefault="006A726E" w:rsidP="00642100">
      <w:pPr>
        <w:pBdr>
          <w:bottom w:val="single" w:sz="12" w:space="1" w:color="auto"/>
        </w:pBdr>
      </w:pPr>
      <w:r>
        <w:rPr>
          <w:i/>
        </w:rPr>
        <w:t>Shaw</w:t>
      </w:r>
      <w:r>
        <w:t xml:space="preserve"> is now codified in </w:t>
      </w:r>
      <w:r w:rsidRPr="006A726E">
        <w:rPr>
          <w:color w:val="1F497D" w:themeColor="text2"/>
        </w:rPr>
        <w:t>Property Law Act Section 27</w:t>
      </w:r>
      <w:r>
        <w:t>.</w:t>
      </w:r>
    </w:p>
    <w:p w:rsidR="006A726E" w:rsidRPr="00CD0576" w:rsidRDefault="006A726E" w:rsidP="00C04FE8">
      <w:pPr>
        <w:pStyle w:val="Heading3"/>
        <w:rPr>
          <w:b w:val="0"/>
        </w:rPr>
      </w:pPr>
      <w:bookmarkStart w:id="5" w:name="_Toc259911008"/>
      <w:r w:rsidRPr="006A726E">
        <w:rPr>
          <w:highlight w:val="yellow"/>
        </w:rPr>
        <w:t>HELLER V BRITISH COLUMBIA (REGISTRAR, VANCOUVER LAND REGISTRATION DISTRICT)</w:t>
      </w:r>
      <w:r w:rsidR="00CD0576">
        <w:t xml:space="preserve">: </w:t>
      </w:r>
      <w:r w:rsidR="00CD0576">
        <w:rPr>
          <w:b w:val="0"/>
        </w:rPr>
        <w:t>a registrar is not under a duty to enforce the right of a party through correction</w:t>
      </w:r>
      <w:bookmarkEnd w:id="5"/>
    </w:p>
    <w:p w:rsidR="006A726E" w:rsidRDefault="006A726E" w:rsidP="00642100"/>
    <w:p w:rsidR="00642100" w:rsidRPr="006A726E" w:rsidRDefault="006A726E" w:rsidP="00642100">
      <w:r>
        <w:t>FACTS</w:t>
      </w:r>
    </w:p>
    <w:p w:rsidR="0006416A" w:rsidRDefault="0006416A" w:rsidP="00642100"/>
    <w:p w:rsidR="0006416A" w:rsidRDefault="0006416A" w:rsidP="00642100">
      <w:r>
        <w:t xml:space="preserve">Mr. Heller was the registered fee simple owner of land and transferred it to his wife. She secured registration. Later, he applied to the Registrar to have his wife’s registration cancelled and his own registration reinstated, because the registrar had erroneously assumed that the duplicate certificate of title was on deposit in the Land Registry Office. In fact, it was in the possession of one Cuff, who Mr. Heller had transferred a one-half interest in the property. </w:t>
      </w:r>
    </w:p>
    <w:p w:rsidR="0006416A" w:rsidRDefault="0006416A" w:rsidP="00642100"/>
    <w:p w:rsidR="0006416A" w:rsidRDefault="0006416A" w:rsidP="00642100">
      <w:r>
        <w:t xml:space="preserve">The Registrar refused to correct Mrs. Heller’s registration. </w:t>
      </w:r>
    </w:p>
    <w:p w:rsidR="0006416A" w:rsidRDefault="0006416A" w:rsidP="00642100"/>
    <w:p w:rsidR="0006416A" w:rsidRDefault="0006416A" w:rsidP="00642100">
      <w:r>
        <w:t xml:space="preserve">Trial judge overturned decision, the Court of Appeal overturned the trial decision, and then Mr. Heller </w:t>
      </w:r>
      <w:r w:rsidR="00CD0576">
        <w:t>Appealed</w:t>
      </w:r>
      <w:r>
        <w:t xml:space="preserve"> to the Supreme Court.</w:t>
      </w:r>
    </w:p>
    <w:p w:rsidR="0006416A" w:rsidRDefault="0006416A" w:rsidP="00642100"/>
    <w:p w:rsidR="0006416A" w:rsidRDefault="0006416A" w:rsidP="00642100">
      <w:r>
        <w:t>HELD:</w:t>
      </w:r>
    </w:p>
    <w:p w:rsidR="0006416A" w:rsidRDefault="0006416A" w:rsidP="00642100"/>
    <w:p w:rsidR="0006416A" w:rsidRDefault="0006416A" w:rsidP="00642100">
      <w:r>
        <w:t xml:space="preserve">Appeal dismissed. </w:t>
      </w:r>
    </w:p>
    <w:p w:rsidR="0006416A" w:rsidRDefault="0006416A" w:rsidP="00642100"/>
    <w:p w:rsidR="0006416A" w:rsidRDefault="0006416A" w:rsidP="00642100">
      <w:r>
        <w:t>RATIO:</w:t>
      </w:r>
    </w:p>
    <w:p w:rsidR="0006416A" w:rsidRDefault="0006416A" w:rsidP="00642100"/>
    <w:p w:rsidR="0006416A" w:rsidRDefault="0006416A" w:rsidP="00642100">
      <w:r>
        <w:t>Registrar has a limited power to correct or cancel a registration when he discovers that an error has occurred. This is at his discretion, and he is not under a duty to enforce the right of a party through correction.</w:t>
      </w:r>
    </w:p>
    <w:p w:rsidR="0006416A" w:rsidRDefault="0006416A" w:rsidP="00642100"/>
    <w:p w:rsidR="0006416A" w:rsidRDefault="0006416A" w:rsidP="00642100">
      <w:r>
        <w:t>It is no part of the function of the registrar to adjudicate upon contested rights of parties. He can only act upon the material given to him.</w:t>
      </w:r>
    </w:p>
    <w:p w:rsidR="0006416A" w:rsidRDefault="0006416A" w:rsidP="00642100"/>
    <w:p w:rsidR="00642100" w:rsidRPr="00AF6044" w:rsidRDefault="0006416A" w:rsidP="00642100">
      <w:r>
        <w:t xml:space="preserve">A Registrar’s decision not to act might not be appealable. </w:t>
      </w:r>
    </w:p>
    <w:p w:rsidR="009759AF" w:rsidRDefault="009759AF" w:rsidP="00642100">
      <w:pPr>
        <w:pBdr>
          <w:bottom w:val="single" w:sz="12" w:space="1" w:color="auto"/>
        </w:pBdr>
      </w:pPr>
    </w:p>
    <w:p w:rsidR="00642100" w:rsidRPr="00AF6044" w:rsidRDefault="00642100" w:rsidP="00642100"/>
    <w:p w:rsidR="009759AF" w:rsidRPr="009759AF" w:rsidRDefault="009759AF" w:rsidP="009759AF">
      <w:pPr>
        <w:pStyle w:val="Heading2"/>
        <w:numPr>
          <w:ilvl w:val="0"/>
          <w:numId w:val="37"/>
        </w:numPr>
      </w:pPr>
      <w:bookmarkStart w:id="6" w:name="_Toc259911009"/>
      <w:r w:rsidRPr="009759AF">
        <w:t>The Assurance Fund</w:t>
      </w:r>
      <w:bookmarkEnd w:id="6"/>
    </w:p>
    <w:p w:rsidR="00642100" w:rsidRPr="009759AF" w:rsidRDefault="00642100" w:rsidP="009759AF"/>
    <w:p w:rsidR="00406F11" w:rsidRDefault="009759AF" w:rsidP="00642100">
      <w:pPr>
        <w:pStyle w:val="Heading4"/>
        <w:rPr>
          <w:b/>
          <w:i/>
        </w:rPr>
      </w:pPr>
      <w:bookmarkStart w:id="7" w:name="_Toc227812847"/>
      <w:r w:rsidRPr="009759AF">
        <w:rPr>
          <w:b/>
          <w:i/>
          <w:color w:val="1F497D" w:themeColor="text2"/>
        </w:rPr>
        <w:t>Part 20</w:t>
      </w:r>
      <w:r>
        <w:rPr>
          <w:b/>
          <w:i/>
        </w:rPr>
        <w:t xml:space="preserve"> of the </w:t>
      </w:r>
      <w:r w:rsidRPr="009759AF">
        <w:rPr>
          <w:b/>
          <w:i/>
          <w:color w:val="1F497D" w:themeColor="text2"/>
        </w:rPr>
        <w:t>Land Title Act</w:t>
      </w:r>
      <w:r>
        <w:rPr>
          <w:b/>
          <w:i/>
        </w:rPr>
        <w:t xml:space="preserve"> establishes an Assurance Fund out of which, if certain preconditions are satisfied, a person may by able to claim compensation for the loss of an interest in land. Few reported cases where the fund was held liable. If claims are made they are generally settled without litigation.</w:t>
      </w:r>
      <w:bookmarkStart w:id="8" w:name="_Toc227812850"/>
      <w:bookmarkEnd w:id="7"/>
    </w:p>
    <w:p w:rsidR="00406F11" w:rsidRDefault="00406F11" w:rsidP="00406F11"/>
    <w:p w:rsidR="00406F11" w:rsidRPr="00406F11" w:rsidRDefault="00406F11" w:rsidP="00406F11">
      <w:r>
        <w:t>Land Title Act</w:t>
      </w:r>
    </w:p>
    <w:p w:rsidR="00406F11" w:rsidRPr="00406F11" w:rsidRDefault="00406F11" w:rsidP="00642100">
      <w:pPr>
        <w:pStyle w:val="Heading4"/>
        <w:rPr>
          <w:b/>
          <w:i/>
        </w:rPr>
      </w:pPr>
      <w:r w:rsidRPr="00406F11">
        <w:rPr>
          <w:b/>
          <w:i/>
        </w:rPr>
        <w:t>Remedies of person deprived of land</w:t>
      </w:r>
    </w:p>
    <w:p w:rsidR="00642100" w:rsidRPr="00406F11" w:rsidRDefault="00406F11" w:rsidP="00642100">
      <w:pPr>
        <w:pStyle w:val="Heading4"/>
        <w:rPr>
          <w:b/>
          <w:i/>
        </w:rPr>
      </w:pPr>
      <w:r>
        <w:rPr>
          <w:b/>
          <w:i/>
          <w:color w:val="1F497D" w:themeColor="text2"/>
        </w:rPr>
        <w:t xml:space="preserve">296. </w:t>
      </w:r>
      <w:bookmarkEnd w:id="8"/>
      <w:r w:rsidRPr="00406F11">
        <w:rPr>
          <w:b/>
          <w:i/>
        </w:rPr>
        <w:t>Requirements for a person to qualify as a ‘claimant” and recover from the Assurance Fund.</w:t>
      </w:r>
    </w:p>
    <w:p w:rsidR="00642100" w:rsidRPr="00AF6044" w:rsidRDefault="00406F11" w:rsidP="00642100">
      <w:pPr>
        <w:pStyle w:val="ListParagraph"/>
        <w:numPr>
          <w:ilvl w:val="6"/>
          <w:numId w:val="2"/>
        </w:numPr>
      </w:pPr>
      <w:r>
        <w:t xml:space="preserve">Deprived of any estate or interest in the land because of the </w:t>
      </w:r>
      <w:r w:rsidRPr="00406F11">
        <w:rPr>
          <w:b/>
          <w:color w:val="800000"/>
        </w:rPr>
        <w:t>conclusiveness of the register</w:t>
      </w:r>
      <w:r>
        <w:t xml:space="preserve">, in the circumstances where </w:t>
      </w:r>
      <w:r w:rsidRPr="00406F11">
        <w:rPr>
          <w:b/>
          <w:color w:val="800000"/>
        </w:rPr>
        <w:t>the claimant would have been successful had the Act not been passed</w:t>
      </w:r>
      <w:r w:rsidR="00BC2258">
        <w:rPr>
          <w:b/>
          <w:color w:val="800000"/>
        </w:rPr>
        <w:t xml:space="preserve"> [common law]</w:t>
      </w:r>
      <w:r>
        <w:t>.</w:t>
      </w:r>
    </w:p>
    <w:p w:rsidR="00BC2258" w:rsidRDefault="00406F11" w:rsidP="00642100">
      <w:pPr>
        <w:pStyle w:val="ListParagraph"/>
        <w:numPr>
          <w:ilvl w:val="6"/>
          <w:numId w:val="2"/>
        </w:numPr>
      </w:pPr>
      <w:r>
        <w:t xml:space="preserve">In consequence of </w:t>
      </w:r>
      <w:r w:rsidRPr="00406F11">
        <w:rPr>
          <w:b/>
          <w:color w:val="800000"/>
        </w:rPr>
        <w:t>fraud or wrongful act of a person other than the claimant as owner of the land</w:t>
      </w:r>
      <w:r w:rsidR="00BC2258">
        <w:rPr>
          <w:b/>
          <w:color w:val="800000"/>
        </w:rPr>
        <w:t xml:space="preserve"> </w:t>
      </w:r>
      <w:r w:rsidR="00BC2258" w:rsidRPr="00BC2258">
        <w:rPr>
          <w:color w:val="1F497D" w:themeColor="text2"/>
        </w:rPr>
        <w:t>(ss 2(a)(ii)</w:t>
      </w:r>
      <w:r w:rsidR="00BC2258" w:rsidRPr="00BC2258">
        <w:rPr>
          <w:b/>
        </w:rPr>
        <w:t>)</w:t>
      </w:r>
      <w:r w:rsidRPr="00BC2258">
        <w:t>.</w:t>
      </w:r>
    </w:p>
    <w:p w:rsidR="00642100" w:rsidRPr="00AF6044" w:rsidRDefault="00BC2258" w:rsidP="00642100">
      <w:pPr>
        <w:pStyle w:val="ListParagraph"/>
        <w:numPr>
          <w:ilvl w:val="6"/>
          <w:numId w:val="2"/>
        </w:numPr>
      </w:pPr>
      <w:r>
        <w:t xml:space="preserve">Must be </w:t>
      </w:r>
      <w:r w:rsidRPr="00BC2258">
        <w:rPr>
          <w:b/>
          <w:color w:val="800000"/>
        </w:rPr>
        <w:t>barred from bringing an action for other remedy</w:t>
      </w:r>
      <w:r>
        <w:t xml:space="preserve"> for the recovery of land, or rectification of the registrar by the Act (usually due to conclusiveness of registration and protection of </w:t>
      </w:r>
      <w:r>
        <w:rPr>
          <w:i/>
        </w:rPr>
        <w:t>bona fide</w:t>
      </w:r>
      <w:r>
        <w:t xml:space="preserve"> purchasers) (</w:t>
      </w:r>
      <w:r w:rsidRPr="00BC2258">
        <w:rPr>
          <w:color w:val="1F497D" w:themeColor="text2"/>
        </w:rPr>
        <w:t>ss 2b</w:t>
      </w:r>
      <w:r>
        <w:t>).</w:t>
      </w:r>
    </w:p>
    <w:p w:rsidR="00642100" w:rsidRPr="00AF6044" w:rsidRDefault="00406F11" w:rsidP="00642100">
      <w:pPr>
        <w:pStyle w:val="ListParagraph"/>
        <w:numPr>
          <w:ilvl w:val="6"/>
          <w:numId w:val="2"/>
        </w:numPr>
      </w:pPr>
      <w:r w:rsidRPr="00BC2258">
        <w:rPr>
          <w:b/>
          <w:color w:val="800000"/>
        </w:rPr>
        <w:t>You must sue the person who caused the loss, and join the Minister as a nominal party defendant</w:t>
      </w:r>
      <w:r>
        <w:t>.</w:t>
      </w:r>
      <w:r>
        <w:rPr>
          <w:b/>
        </w:rPr>
        <w:t xml:space="preserve"> </w:t>
      </w:r>
      <w:r>
        <w:t>If the fraudulent party</w:t>
      </w:r>
      <w:r w:rsidRPr="00CD0576">
        <w:rPr>
          <w:color w:val="800000"/>
        </w:rPr>
        <w:t xml:space="preserve"> </w:t>
      </w:r>
      <w:r w:rsidRPr="00CD0576">
        <w:rPr>
          <w:b/>
          <w:color w:val="800000"/>
        </w:rPr>
        <w:t>absconds</w:t>
      </w:r>
      <w:r>
        <w:t xml:space="preserve"> or is dead, or cannot pay</w:t>
      </w:r>
      <w:r w:rsidR="00BC2258">
        <w:t xml:space="preserve"> the full amount (must prove certificate of judgment and reasonable steps to collect), then you can claim from the Minister and the Assurance Fund (</w:t>
      </w:r>
      <w:r w:rsidR="00BC2258" w:rsidRPr="00BC2258">
        <w:rPr>
          <w:color w:val="1F497D" w:themeColor="text2"/>
        </w:rPr>
        <w:t>ss 3-7</w:t>
      </w:r>
      <w:r w:rsidR="00BC2258">
        <w:t xml:space="preserve">). </w:t>
      </w:r>
      <w:r w:rsidR="00642100" w:rsidRPr="00AF6044">
        <w:t xml:space="preserve"> </w:t>
      </w:r>
    </w:p>
    <w:p w:rsidR="00642100" w:rsidRPr="00AF6044" w:rsidRDefault="00BC2258" w:rsidP="00642100">
      <w:pPr>
        <w:pStyle w:val="ListParagraph"/>
        <w:numPr>
          <w:ilvl w:val="6"/>
          <w:numId w:val="2"/>
        </w:numPr>
      </w:pPr>
      <w:r>
        <w:t>T</w:t>
      </w:r>
      <w:r w:rsidR="00642100" w:rsidRPr="00AF6044">
        <w:t>hree year limitation</w:t>
      </w:r>
      <w:r>
        <w:t xml:space="preserve"> after discovery of deprivation</w:t>
      </w:r>
      <w:r w:rsidR="00642100" w:rsidRPr="00AF6044">
        <w:t xml:space="preserve"> </w:t>
      </w:r>
      <w:r>
        <w:t>(</w:t>
      </w:r>
      <w:r w:rsidRPr="00BC2258">
        <w:rPr>
          <w:color w:val="1F497D" w:themeColor="text2"/>
        </w:rPr>
        <w:t>ss 8</w:t>
      </w:r>
      <w:r>
        <w:t>)</w:t>
      </w:r>
    </w:p>
    <w:p w:rsidR="00BC2258" w:rsidRPr="00BC2258" w:rsidRDefault="00642100" w:rsidP="00642100">
      <w:pPr>
        <w:pStyle w:val="Heading4"/>
        <w:rPr>
          <w:b/>
          <w:i/>
        </w:rPr>
      </w:pPr>
      <w:bookmarkStart w:id="9" w:name="_Toc289937571"/>
      <w:bookmarkStart w:id="10" w:name="_Toc227812851"/>
      <w:r w:rsidRPr="00BC2258">
        <w:rPr>
          <w:b/>
          <w:i/>
        </w:rPr>
        <w:t>Protection of purchaser in good faith and for value</w:t>
      </w:r>
      <w:bookmarkEnd w:id="9"/>
      <w:bookmarkEnd w:id="10"/>
    </w:p>
    <w:p w:rsidR="00BC2258" w:rsidRDefault="00BC2258" w:rsidP="00BC2258"/>
    <w:p w:rsidR="00642100" w:rsidRPr="00BC2258" w:rsidRDefault="00BC2258" w:rsidP="00BC2258">
      <w:r w:rsidRPr="00BC2258">
        <w:rPr>
          <w:color w:val="1F497D" w:themeColor="text2"/>
        </w:rPr>
        <w:t>297</w:t>
      </w:r>
      <w:r>
        <w:t>.</w:t>
      </w:r>
    </w:p>
    <w:p w:rsidR="00642100" w:rsidRPr="00AF6044" w:rsidRDefault="00642100" w:rsidP="00952AB8">
      <w:pPr>
        <w:pStyle w:val="NormalWeb"/>
        <w:numPr>
          <w:ilvl w:val="0"/>
          <w:numId w:val="38"/>
        </w:numPr>
        <w:spacing w:before="0" w:beforeAutospacing="0" w:after="0" w:afterAutospacing="0"/>
        <w:rPr>
          <w:rFonts w:ascii="Baskerville Old Face" w:hAnsi="Baskerville Old Face" w:cstheme="minorBidi"/>
          <w:szCs w:val="20"/>
        </w:rPr>
      </w:pPr>
      <w:r w:rsidRPr="00AF6044">
        <w:rPr>
          <w:rFonts w:ascii="Baskerville Old Face" w:hAnsi="Baskerville Old Face" w:cstheme="minorBidi"/>
          <w:szCs w:val="20"/>
        </w:rPr>
        <w:t xml:space="preserve">In this section, </w:t>
      </w:r>
      <w:r w:rsidRPr="00BC2258">
        <w:rPr>
          <w:rFonts w:ascii="Baskerville Old Face" w:hAnsi="Baskerville Old Face" w:cstheme="minorBidi"/>
          <w:b/>
          <w:bCs/>
          <w:color w:val="800000"/>
          <w:szCs w:val="20"/>
        </w:rPr>
        <w:t>"transferee"</w:t>
      </w:r>
      <w:r w:rsidRPr="00AF6044">
        <w:rPr>
          <w:rFonts w:ascii="Baskerville Old Face" w:hAnsi="Baskerville Old Face" w:cstheme="minorBidi"/>
          <w:szCs w:val="20"/>
        </w:rPr>
        <w:t xml:space="preserve"> means a transferee who, in </w:t>
      </w:r>
      <w:r w:rsidRPr="00BC2258">
        <w:rPr>
          <w:rFonts w:ascii="Baskerville Old Face" w:hAnsi="Baskerville Old Face" w:cstheme="minorBidi"/>
          <w:b/>
          <w:color w:val="800000"/>
          <w:szCs w:val="20"/>
        </w:rPr>
        <w:t>good faith and for valuable consideration</w:t>
      </w:r>
      <w:r w:rsidRPr="00AF6044">
        <w:rPr>
          <w:rFonts w:ascii="Baskerville Old Face" w:hAnsi="Baskerville Old Face" w:cstheme="minorBidi"/>
          <w:szCs w:val="20"/>
        </w:rPr>
        <w:t>, acquires an estate or interest in land less than a fee simple estate.</w:t>
      </w:r>
    </w:p>
    <w:p w:rsidR="00642100" w:rsidRPr="00AF6044" w:rsidRDefault="00642100" w:rsidP="00952AB8">
      <w:pPr>
        <w:pStyle w:val="NormalWeb"/>
        <w:numPr>
          <w:ilvl w:val="0"/>
          <w:numId w:val="38"/>
        </w:numPr>
        <w:spacing w:before="0" w:beforeAutospacing="0" w:after="0" w:afterAutospacing="0"/>
        <w:rPr>
          <w:rFonts w:ascii="Baskerville Old Face" w:hAnsi="Baskerville Old Face" w:cstheme="minorBidi"/>
          <w:szCs w:val="20"/>
        </w:rPr>
      </w:pPr>
      <w:r w:rsidRPr="00AF6044">
        <w:rPr>
          <w:rFonts w:ascii="Baskerville Old Face" w:hAnsi="Baskerville Old Face" w:cstheme="minorBidi"/>
          <w:szCs w:val="20"/>
        </w:rPr>
        <w:t xml:space="preserve">Despite anything to the contrary in this Act, </w:t>
      </w:r>
      <w:r w:rsidRPr="00BC2258">
        <w:rPr>
          <w:rFonts w:ascii="Baskerville Old Face" w:hAnsi="Baskerville Old Face" w:cstheme="minorBidi"/>
          <w:b/>
          <w:color w:val="800000"/>
          <w:szCs w:val="20"/>
        </w:rPr>
        <w:t>no transferee is subject to a proceeding under this Part</w:t>
      </w:r>
      <w:r w:rsidRPr="00AF6044">
        <w:rPr>
          <w:rFonts w:ascii="Baskerville Old Face" w:hAnsi="Baskerville Old Face" w:cstheme="minorBidi"/>
          <w:szCs w:val="20"/>
        </w:rPr>
        <w:t xml:space="preserve"> in respect of an estate or interest in land of which the transferee is the registered owner, for</w:t>
      </w:r>
    </w:p>
    <w:p w:rsidR="00642100" w:rsidRPr="00AF6044" w:rsidRDefault="00642100" w:rsidP="00642100">
      <w:pPr>
        <w:pStyle w:val="NormalWeb"/>
        <w:numPr>
          <w:ilvl w:val="1"/>
          <w:numId w:val="3"/>
        </w:numPr>
        <w:spacing w:before="0" w:beforeAutospacing="0" w:after="0" w:afterAutospacing="0"/>
        <w:rPr>
          <w:rFonts w:ascii="Baskerville Old Face" w:hAnsi="Baskerville Old Face" w:cstheme="minorBidi"/>
          <w:szCs w:val="20"/>
        </w:rPr>
      </w:pPr>
      <w:r w:rsidRPr="00AF6044">
        <w:rPr>
          <w:rFonts w:ascii="Baskerville Old Face" w:hAnsi="Baskerville Old Face" w:cstheme="minorBidi"/>
          <w:szCs w:val="20"/>
        </w:rPr>
        <w:t> recovery of land,</w:t>
      </w:r>
    </w:p>
    <w:p w:rsidR="00642100" w:rsidRPr="00AF6044" w:rsidRDefault="00642100" w:rsidP="00642100">
      <w:pPr>
        <w:pStyle w:val="NormalWeb"/>
        <w:numPr>
          <w:ilvl w:val="1"/>
          <w:numId w:val="3"/>
        </w:numPr>
        <w:spacing w:before="0" w:beforeAutospacing="0" w:after="0" w:afterAutospacing="0"/>
        <w:rPr>
          <w:rFonts w:ascii="Baskerville Old Face" w:hAnsi="Baskerville Old Face" w:cstheme="minorBidi"/>
          <w:szCs w:val="20"/>
        </w:rPr>
      </w:pPr>
      <w:r w:rsidRPr="00AF6044">
        <w:rPr>
          <w:rFonts w:ascii="Baskerville Old Face" w:hAnsi="Baskerville Old Face" w:cstheme="minorBidi"/>
          <w:szCs w:val="20"/>
        </w:rPr>
        <w:t> deprivation of land, or</w:t>
      </w:r>
    </w:p>
    <w:p w:rsidR="00642100" w:rsidRPr="00AF6044" w:rsidRDefault="00642100" w:rsidP="00642100">
      <w:pPr>
        <w:pStyle w:val="NormalWeb"/>
        <w:numPr>
          <w:ilvl w:val="1"/>
          <w:numId w:val="3"/>
        </w:numPr>
        <w:spacing w:before="0" w:beforeAutospacing="0" w:after="0" w:afterAutospacing="0"/>
        <w:rPr>
          <w:rFonts w:ascii="Baskerville Old Face" w:hAnsi="Baskerville Old Face" w:cstheme="minorBidi"/>
          <w:szCs w:val="20"/>
        </w:rPr>
      </w:pPr>
      <w:r w:rsidRPr="00AF6044">
        <w:rPr>
          <w:rFonts w:ascii="Baskerville Old Face" w:hAnsi="Baskerville Old Face" w:cstheme="minorBidi"/>
          <w:szCs w:val="20"/>
        </w:rPr>
        <w:t> damages in respect of land on the ground that the transferor</w:t>
      </w:r>
    </w:p>
    <w:p w:rsidR="00642100" w:rsidRPr="00AF6044" w:rsidRDefault="00642100" w:rsidP="00642100">
      <w:pPr>
        <w:pStyle w:val="NormalWeb"/>
        <w:numPr>
          <w:ilvl w:val="1"/>
          <w:numId w:val="3"/>
        </w:numPr>
        <w:spacing w:before="0" w:beforeAutospacing="0" w:after="0" w:afterAutospacing="0"/>
        <w:rPr>
          <w:rFonts w:ascii="Baskerville Old Face" w:hAnsi="Baskerville Old Face" w:cstheme="minorBidi"/>
          <w:szCs w:val="20"/>
        </w:rPr>
      </w:pPr>
      <w:r w:rsidRPr="00AF6044">
        <w:rPr>
          <w:rFonts w:ascii="Baskerville Old Face" w:hAnsi="Baskerville Old Face" w:cstheme="minorBidi"/>
          <w:szCs w:val="20"/>
        </w:rPr>
        <w:t> may have been registered as owner through fraud, error or a wrongful act, or</w:t>
      </w:r>
    </w:p>
    <w:p w:rsidR="00642100" w:rsidRPr="00AF6044" w:rsidRDefault="00642100" w:rsidP="00642100">
      <w:pPr>
        <w:pStyle w:val="NormalWeb"/>
        <w:numPr>
          <w:ilvl w:val="1"/>
          <w:numId w:val="3"/>
        </w:numPr>
        <w:spacing w:before="0" w:beforeAutospacing="0" w:after="0" w:afterAutospacing="0"/>
        <w:rPr>
          <w:rFonts w:ascii="Baskerville Old Face" w:hAnsi="Baskerville Old Face" w:cstheme="minorBidi"/>
          <w:szCs w:val="20"/>
        </w:rPr>
      </w:pPr>
      <w:r w:rsidRPr="00AF6044">
        <w:rPr>
          <w:rFonts w:ascii="Baskerville Old Face" w:hAnsi="Baskerville Old Face" w:cstheme="minorBidi"/>
          <w:szCs w:val="20"/>
        </w:rPr>
        <w:t> may have derived title from or through a person registered as owner through fraud, error or a wrongful act.</w:t>
      </w:r>
    </w:p>
    <w:p w:rsidR="00C321F3" w:rsidRPr="00952AB8" w:rsidRDefault="00C321F3" w:rsidP="00642100">
      <w:pPr>
        <w:pStyle w:val="Heading4"/>
        <w:rPr>
          <w:b/>
          <w:i/>
        </w:rPr>
      </w:pPr>
      <w:r w:rsidRPr="00952AB8">
        <w:rPr>
          <w:b/>
          <w:i/>
        </w:rPr>
        <w:t>Fault of Registrar</w:t>
      </w:r>
    </w:p>
    <w:p w:rsidR="00C321F3" w:rsidRDefault="00C321F3" w:rsidP="00C321F3"/>
    <w:p w:rsidR="00642100" w:rsidRPr="00952AB8" w:rsidRDefault="00C321F3" w:rsidP="00C321F3">
      <w:pPr>
        <w:rPr>
          <w:color w:val="1F497D" w:themeColor="text2"/>
        </w:rPr>
      </w:pPr>
      <w:r w:rsidRPr="00952AB8">
        <w:rPr>
          <w:color w:val="1F497D" w:themeColor="text2"/>
        </w:rPr>
        <w:t>298.</w:t>
      </w:r>
    </w:p>
    <w:p w:rsidR="00C321F3" w:rsidRPr="00C321F3" w:rsidRDefault="00642100" w:rsidP="00C321F3">
      <w:pPr>
        <w:pStyle w:val="ListParagraph"/>
        <w:numPr>
          <w:ilvl w:val="0"/>
          <w:numId w:val="39"/>
        </w:numPr>
        <w:rPr>
          <w:szCs w:val="20"/>
        </w:rPr>
      </w:pPr>
      <w:r w:rsidRPr="00C321F3">
        <w:rPr>
          <w:szCs w:val="20"/>
        </w:rPr>
        <w:t>"</w:t>
      </w:r>
      <w:r w:rsidRPr="00C321F3">
        <w:rPr>
          <w:b/>
          <w:color w:val="800000"/>
          <w:szCs w:val="20"/>
        </w:rPr>
        <w:t xml:space="preserve">Solely </w:t>
      </w:r>
      <w:r w:rsidRPr="00C321F3">
        <w:rPr>
          <w:b/>
          <w:color w:val="800000"/>
          <w:szCs w:val="20"/>
          <w:u w:val="single"/>
        </w:rPr>
        <w:t>or partially</w:t>
      </w:r>
      <w:r w:rsidRPr="00C321F3">
        <w:rPr>
          <w:szCs w:val="20"/>
        </w:rPr>
        <w:t xml:space="preserve">, as a result of an </w:t>
      </w:r>
      <w:r w:rsidRPr="00003CDC">
        <w:rPr>
          <w:b/>
          <w:color w:val="800000"/>
          <w:szCs w:val="20"/>
        </w:rPr>
        <w:t>omission, mistake or misfeasance of the registrar</w:t>
      </w:r>
      <w:r w:rsidRPr="00003CDC">
        <w:rPr>
          <w:color w:val="800000"/>
          <w:szCs w:val="20"/>
        </w:rPr>
        <w:t>"</w:t>
      </w:r>
      <w:r w:rsidR="00C321F3" w:rsidRPr="00C321F3">
        <w:rPr>
          <w:szCs w:val="20"/>
        </w:rPr>
        <w:t xml:space="preserve"> [new]</w:t>
      </w:r>
    </w:p>
    <w:p w:rsidR="00642100" w:rsidRPr="00C321F3" w:rsidRDefault="00642100" w:rsidP="00C321F3">
      <w:pPr>
        <w:pStyle w:val="ListParagraph"/>
        <w:numPr>
          <w:ilvl w:val="0"/>
          <w:numId w:val="39"/>
        </w:numPr>
        <w:rPr>
          <w:szCs w:val="20"/>
        </w:rPr>
      </w:pPr>
      <w:r w:rsidRPr="00C321F3">
        <w:rPr>
          <w:szCs w:val="20"/>
        </w:rPr>
        <w:t>Limitation period: within 3 years after the loss or damage is discovered by claimant</w:t>
      </w:r>
    </w:p>
    <w:p w:rsidR="00642100" w:rsidRPr="00AF6044" w:rsidRDefault="00642100" w:rsidP="00642100">
      <w:pPr>
        <w:pStyle w:val="ListParagraph"/>
        <w:numPr>
          <w:ilvl w:val="1"/>
          <w:numId w:val="2"/>
        </w:numPr>
      </w:pPr>
    </w:p>
    <w:p w:rsidR="00952AB8" w:rsidRPr="00952AB8" w:rsidRDefault="00952AB8" w:rsidP="00642100">
      <w:pPr>
        <w:pStyle w:val="Heading4"/>
        <w:rPr>
          <w:b/>
          <w:i/>
        </w:rPr>
      </w:pPr>
      <w:r w:rsidRPr="00952AB8">
        <w:rPr>
          <w:b/>
          <w:i/>
        </w:rPr>
        <w:t>Limitation of Liability of assurance fund</w:t>
      </w:r>
    </w:p>
    <w:p w:rsidR="00952AB8" w:rsidRDefault="00952AB8" w:rsidP="00952AB8"/>
    <w:p w:rsidR="00642100" w:rsidRPr="00952AB8" w:rsidRDefault="00952AB8" w:rsidP="00952AB8">
      <w:pPr>
        <w:rPr>
          <w:color w:val="1F497D" w:themeColor="text2"/>
        </w:rPr>
      </w:pPr>
      <w:r w:rsidRPr="00952AB8">
        <w:rPr>
          <w:color w:val="1F497D" w:themeColor="text2"/>
        </w:rPr>
        <w:t xml:space="preserve">303. </w:t>
      </w:r>
      <w:r w:rsidRPr="00952AB8">
        <w:t xml:space="preserve">The assurance fund or the minister as nominal defender is </w:t>
      </w:r>
      <w:r w:rsidRPr="00952AB8">
        <w:rPr>
          <w:b/>
          <w:color w:val="800000"/>
        </w:rPr>
        <w:t>not under any circumstances liable</w:t>
      </w:r>
      <w:r w:rsidRPr="00952AB8">
        <w:t xml:space="preserve"> for compensation for loss, damage or deprivation</w:t>
      </w:r>
      <w:r>
        <w:rPr>
          <w:color w:val="1F497D" w:themeColor="text2"/>
        </w:rPr>
        <w:t xml:space="preserve"> </w:t>
      </w:r>
    </w:p>
    <w:p w:rsidR="00642100" w:rsidRPr="00AF6044" w:rsidRDefault="00952AB8" w:rsidP="00642100">
      <w:pPr>
        <w:pStyle w:val="ListParagraph"/>
        <w:numPr>
          <w:ilvl w:val="6"/>
          <w:numId w:val="2"/>
        </w:numPr>
      </w:pPr>
      <w:r>
        <w:t>Suffered by owner of undersurface rights, or an equitable mortgage by deposit of duplicate certificate of title</w:t>
      </w:r>
    </w:p>
    <w:p w:rsidR="00952AB8" w:rsidRDefault="00952AB8" w:rsidP="00642100">
      <w:pPr>
        <w:pStyle w:val="ListParagraph"/>
        <w:numPr>
          <w:ilvl w:val="6"/>
          <w:numId w:val="2"/>
        </w:numPr>
      </w:pPr>
      <w:r>
        <w:t xml:space="preserve">Occasioned by </w:t>
      </w:r>
    </w:p>
    <w:p w:rsidR="00952AB8" w:rsidRDefault="00952AB8" w:rsidP="00952AB8">
      <w:pPr>
        <w:pStyle w:val="ListParagraph"/>
        <w:numPr>
          <w:ilvl w:val="7"/>
          <w:numId w:val="2"/>
        </w:numPr>
      </w:pPr>
      <w:r>
        <w:t>Breach by a registered owner of a trust</w:t>
      </w:r>
    </w:p>
    <w:p w:rsidR="00952AB8" w:rsidRDefault="00952AB8" w:rsidP="00952AB8">
      <w:pPr>
        <w:pStyle w:val="ListParagraph"/>
        <w:numPr>
          <w:ilvl w:val="7"/>
          <w:numId w:val="2"/>
        </w:numPr>
      </w:pPr>
      <w:r>
        <w:t xml:space="preserve">A misdescription of boundaries </w:t>
      </w:r>
    </w:p>
    <w:p w:rsidR="00952AB8" w:rsidRDefault="00952AB8" w:rsidP="00952AB8">
      <w:pPr>
        <w:pStyle w:val="ListParagraph"/>
        <w:numPr>
          <w:ilvl w:val="7"/>
          <w:numId w:val="2"/>
        </w:numPr>
      </w:pPr>
      <w:r>
        <w:t>Improper use of a sea of a corporation</w:t>
      </w:r>
    </w:p>
    <w:p w:rsidR="00952AB8" w:rsidRDefault="00952AB8" w:rsidP="00952AB8">
      <w:pPr>
        <w:pStyle w:val="ListParagraph"/>
        <w:numPr>
          <w:ilvl w:val="7"/>
          <w:numId w:val="2"/>
        </w:numPr>
      </w:pPr>
      <w:r>
        <w:t>Dissolution of corporation</w:t>
      </w:r>
    </w:p>
    <w:p w:rsidR="00952AB8" w:rsidRDefault="00952AB8" w:rsidP="00952AB8">
      <w:pPr>
        <w:pStyle w:val="ListParagraph"/>
        <w:numPr>
          <w:ilvl w:val="7"/>
          <w:numId w:val="2"/>
        </w:numPr>
      </w:pPr>
      <w:r>
        <w:t>Provisional certificate of title</w:t>
      </w:r>
    </w:p>
    <w:p w:rsidR="00952AB8" w:rsidRDefault="00952AB8" w:rsidP="00952AB8">
      <w:pPr>
        <w:pStyle w:val="ListParagraph"/>
        <w:numPr>
          <w:ilvl w:val="6"/>
          <w:numId w:val="2"/>
        </w:numPr>
      </w:pPr>
      <w:r>
        <w:t>If the land in question may have been included in 2 or more grants from the Crown</w:t>
      </w:r>
    </w:p>
    <w:p w:rsidR="00952AB8" w:rsidRDefault="00952AB8" w:rsidP="00952AB8">
      <w:pPr>
        <w:pStyle w:val="ListParagraph"/>
        <w:numPr>
          <w:ilvl w:val="6"/>
          <w:numId w:val="2"/>
        </w:numPr>
      </w:pPr>
      <w:r>
        <w:t>Error or shortage in area of a lot in an air space parcel</w:t>
      </w:r>
    </w:p>
    <w:p w:rsidR="00642100" w:rsidRPr="00AF6044" w:rsidRDefault="00952AB8" w:rsidP="00952AB8">
      <w:pPr>
        <w:pStyle w:val="ListParagraph"/>
        <w:numPr>
          <w:ilvl w:val="6"/>
          <w:numId w:val="2"/>
        </w:numPr>
      </w:pPr>
      <w:r>
        <w:t xml:space="preserve">If the plaintiff, or the person through or under whom the plaintiff claims is in </w:t>
      </w:r>
      <w:r w:rsidRPr="00952AB8">
        <w:rPr>
          <w:b/>
          <w:color w:val="800000"/>
        </w:rPr>
        <w:t>any way negligent, careless in causing the loss or imprompt or improper in dealing with it if they had notice.</w:t>
      </w:r>
      <w:r>
        <w:rPr>
          <w:b/>
        </w:rPr>
        <w:t xml:space="preserve"> </w:t>
      </w:r>
      <w:r>
        <w:t>(p 5 041)</w:t>
      </w:r>
    </w:p>
    <w:p w:rsidR="00642100" w:rsidRPr="00AF6044" w:rsidRDefault="00642100" w:rsidP="00642100">
      <w:pPr>
        <w:pBdr>
          <w:bottom w:val="single" w:sz="12" w:space="1" w:color="auto"/>
        </w:pBdr>
      </w:pPr>
    </w:p>
    <w:p w:rsidR="00874055" w:rsidRPr="00411E33" w:rsidRDefault="00411E33" w:rsidP="00C04FE8">
      <w:pPr>
        <w:pStyle w:val="Heading3"/>
        <w:rPr>
          <w:lang w:val="en-US"/>
        </w:rPr>
      </w:pPr>
      <w:bookmarkStart w:id="11" w:name="_Toc227944941"/>
      <w:bookmarkStart w:id="12" w:name="_Toc259911010"/>
      <w:r w:rsidRPr="00411E33">
        <w:rPr>
          <w:highlight w:val="yellow"/>
          <w:lang w:val="en-US"/>
        </w:rPr>
        <w:t>McCAIG ET AL. V. REYS ET AL.</w:t>
      </w:r>
      <w:r w:rsidR="0012682E">
        <w:rPr>
          <w:highlight w:val="yellow"/>
          <w:lang w:val="en-US"/>
        </w:rPr>
        <w:t xml:space="preserve"> </w:t>
      </w:r>
      <w:r w:rsidR="00897FE4">
        <w:rPr>
          <w:b w:val="0"/>
          <w:lang w:val="en-US"/>
        </w:rPr>
        <w:t>1) loss 2) fraud 3)</w:t>
      </w:r>
      <w:r w:rsidR="002F347C">
        <w:rPr>
          <w:b w:val="0"/>
          <w:lang w:val="en-US"/>
        </w:rPr>
        <w:t xml:space="preserve"> barred from rectification 4)</w:t>
      </w:r>
      <w:r w:rsidR="00897FE4">
        <w:rPr>
          <w:b w:val="0"/>
          <w:lang w:val="en-US"/>
        </w:rPr>
        <w:t xml:space="preserve"> by operation of statute (would have succeeded in CL). W</w:t>
      </w:r>
      <w:r w:rsidR="0012682E">
        <w:rPr>
          <w:b w:val="0"/>
          <w:lang w:val="en-US"/>
        </w:rPr>
        <w:t>here equities are equal the law prevails</w:t>
      </w:r>
      <w:bookmarkEnd w:id="12"/>
      <w:r w:rsidRPr="0012682E">
        <w:rPr>
          <w:lang w:val="en-US"/>
        </w:rPr>
        <w:t xml:space="preserve"> </w:t>
      </w:r>
      <w:bookmarkEnd w:id="11"/>
    </w:p>
    <w:p w:rsidR="00874055" w:rsidRPr="00AF6044" w:rsidRDefault="00874055" w:rsidP="00874055">
      <w:pPr>
        <w:rPr>
          <w:lang w:val="en-US"/>
        </w:rPr>
      </w:pPr>
    </w:p>
    <w:p w:rsidR="00D82496" w:rsidRPr="00D82496" w:rsidRDefault="00D82496" w:rsidP="00874055">
      <w:pPr>
        <w:rPr>
          <w:lang w:val="en-US"/>
        </w:rPr>
      </w:pPr>
      <w:r>
        <w:rPr>
          <w:lang w:val="en-US"/>
        </w:rPr>
        <w:t>FACTS:</w:t>
      </w:r>
    </w:p>
    <w:p w:rsidR="00D82496" w:rsidRDefault="00D82496" w:rsidP="00D82496">
      <w:pPr>
        <w:ind w:left="360"/>
        <w:rPr>
          <w:lang w:val="en-US"/>
        </w:rPr>
      </w:pPr>
    </w:p>
    <w:p w:rsidR="00D82496" w:rsidRDefault="00874055" w:rsidP="00D82496">
      <w:pPr>
        <w:rPr>
          <w:lang w:val="en-US"/>
        </w:rPr>
      </w:pPr>
      <w:r w:rsidRPr="00AF6044">
        <w:rPr>
          <w:lang w:val="en-US"/>
        </w:rPr>
        <w:t>Farwest sold land to South Transport (headed by Mr. McCaig)</w:t>
      </w:r>
      <w:r w:rsidR="00D82496">
        <w:rPr>
          <w:lang w:val="en-US"/>
        </w:rPr>
        <w:t xml:space="preserve">. </w:t>
      </w:r>
      <w:r w:rsidRPr="00AF6044">
        <w:rPr>
          <w:lang w:val="en-US"/>
        </w:rPr>
        <w:t>South Transport sold to Reys by sub-agreement</w:t>
      </w:r>
      <w:r w:rsidR="00D82496">
        <w:rPr>
          <w:lang w:val="en-US"/>
        </w:rPr>
        <w:t xml:space="preserve">. </w:t>
      </w:r>
      <w:r w:rsidRPr="00AF6044">
        <w:rPr>
          <w:lang w:val="en-US"/>
        </w:rPr>
        <w:t>Reys offered option to sell back 24 acres in a separate instrument; McCaig agreed</w:t>
      </w:r>
      <w:r w:rsidR="00D82496">
        <w:rPr>
          <w:lang w:val="en-US"/>
        </w:rPr>
        <w:t>.</w:t>
      </w:r>
      <w:r w:rsidR="00FC28CC">
        <w:rPr>
          <w:lang w:val="en-US"/>
        </w:rPr>
        <w:t xml:space="preserve"> </w:t>
      </w:r>
      <w:r w:rsidR="002F0D02" w:rsidRPr="00AF6044">
        <w:rPr>
          <w:lang w:val="en-US"/>
        </w:rPr>
        <w:t xml:space="preserve">Option was never registered, because the </w:t>
      </w:r>
      <w:r w:rsidR="002F0D02">
        <w:rPr>
          <w:lang w:val="en-US"/>
        </w:rPr>
        <w:t>Registrar</w:t>
      </w:r>
      <w:r w:rsidR="002F0D02" w:rsidRPr="00AF6044">
        <w:rPr>
          <w:lang w:val="en-US"/>
        </w:rPr>
        <w:t xml:space="preserve"> first required subdivision, which required Farwest’s co</w:t>
      </w:r>
      <w:r w:rsidR="002F0D02">
        <w:rPr>
          <w:lang w:val="en-US"/>
        </w:rPr>
        <w:t xml:space="preserve">nsent which was not forthcoming. </w:t>
      </w:r>
      <w:r w:rsidRPr="00AF6044">
        <w:rPr>
          <w:lang w:val="en-US"/>
        </w:rPr>
        <w:t>Reys then sold by sub-agreement to Rutland</w:t>
      </w:r>
      <w:r w:rsidR="00943A1C">
        <w:rPr>
          <w:lang w:val="en-US"/>
        </w:rPr>
        <w:t xml:space="preserve">. </w:t>
      </w:r>
      <w:r w:rsidRPr="00AF6044">
        <w:rPr>
          <w:lang w:val="en-US"/>
        </w:rPr>
        <w:t xml:space="preserve">Rutland knew of option, said they would honor it, </w:t>
      </w:r>
      <w:r w:rsidR="00D82496">
        <w:rPr>
          <w:lang w:val="en-US"/>
        </w:rPr>
        <w:t xml:space="preserve">and registered their title. </w:t>
      </w:r>
      <w:r w:rsidRPr="00AF6044">
        <w:rPr>
          <w:lang w:val="en-US"/>
        </w:rPr>
        <w:t>Rutland</w:t>
      </w:r>
      <w:r w:rsidR="00D82496">
        <w:rPr>
          <w:lang w:val="en-US"/>
        </w:rPr>
        <w:t xml:space="preserve"> (through the actions of their agent Jerome)</w:t>
      </w:r>
      <w:r w:rsidRPr="00AF6044">
        <w:rPr>
          <w:lang w:val="en-US"/>
        </w:rPr>
        <w:t xml:space="preserve"> then sold to Jabin </w:t>
      </w:r>
      <w:r w:rsidRPr="00D82496">
        <w:rPr>
          <w:b/>
          <w:lang w:val="en-US"/>
        </w:rPr>
        <w:t>without notifying</w:t>
      </w:r>
      <w:r w:rsidRPr="00AF6044">
        <w:rPr>
          <w:lang w:val="en-US"/>
        </w:rPr>
        <w:t xml:space="preserve"> Jabin of the option</w:t>
      </w:r>
      <w:r w:rsidR="00D82496">
        <w:rPr>
          <w:lang w:val="en-US"/>
        </w:rPr>
        <w:t xml:space="preserve">. </w:t>
      </w:r>
      <w:r w:rsidRPr="00AF6044">
        <w:rPr>
          <w:lang w:val="en-US"/>
        </w:rPr>
        <w:t xml:space="preserve">Jabin took title </w:t>
      </w:r>
      <w:r w:rsidRPr="00D82496">
        <w:rPr>
          <w:b/>
          <w:lang w:val="en-US"/>
        </w:rPr>
        <w:t>bona fide and for value without notice</w:t>
      </w:r>
      <w:r w:rsidR="00D82496">
        <w:rPr>
          <w:lang w:val="en-US"/>
        </w:rPr>
        <w:t>.</w:t>
      </w:r>
    </w:p>
    <w:p w:rsidR="00D82496" w:rsidRDefault="00D82496" w:rsidP="00D82496">
      <w:pPr>
        <w:rPr>
          <w:lang w:val="en-US"/>
        </w:rPr>
      </w:pPr>
    </w:p>
    <w:p w:rsidR="00D82496" w:rsidRDefault="00D82496" w:rsidP="00D82496">
      <w:pPr>
        <w:rPr>
          <w:lang w:val="en-US"/>
        </w:rPr>
      </w:pPr>
      <w:r>
        <w:rPr>
          <w:lang w:val="en-US"/>
        </w:rPr>
        <w:t>HELD/</w:t>
      </w:r>
      <w:r w:rsidRPr="00D82496">
        <w:rPr>
          <w:lang w:val="en-US"/>
        </w:rPr>
        <w:t xml:space="preserve"> </w:t>
      </w:r>
      <w:r>
        <w:rPr>
          <w:lang w:val="en-US"/>
        </w:rPr>
        <w:t>RATIO:</w:t>
      </w:r>
    </w:p>
    <w:p w:rsidR="00874055" w:rsidRPr="00AF6044" w:rsidRDefault="00874055" w:rsidP="00D82496">
      <w:pPr>
        <w:rPr>
          <w:lang w:val="en-US"/>
        </w:rPr>
      </w:pPr>
    </w:p>
    <w:p w:rsidR="00D82496" w:rsidRDefault="00874055" w:rsidP="00D82496">
      <w:pPr>
        <w:rPr>
          <w:lang w:val="en-US"/>
        </w:rPr>
      </w:pPr>
      <w:r w:rsidRPr="00AF6044">
        <w:rPr>
          <w:lang w:val="en-US"/>
        </w:rPr>
        <w:t>Final transaction with Jabin extinguished any rights McCaig or S</w:t>
      </w:r>
      <w:r w:rsidR="00D82496">
        <w:rPr>
          <w:lang w:val="en-US"/>
        </w:rPr>
        <w:t>outh Transport</w:t>
      </w:r>
      <w:r w:rsidRPr="00AF6044">
        <w:rPr>
          <w:lang w:val="en-US"/>
        </w:rPr>
        <w:t xml:space="preserve"> would have had</w:t>
      </w:r>
      <w:r w:rsidR="00D82496">
        <w:rPr>
          <w:lang w:val="en-US"/>
        </w:rPr>
        <w:t>. McCaig cannot claim against Assurance Fund. McCaig is awarded damages against Rutland.</w:t>
      </w:r>
    </w:p>
    <w:p w:rsidR="00D82496" w:rsidRDefault="00D82496" w:rsidP="00D82496">
      <w:pPr>
        <w:ind w:left="360"/>
        <w:rPr>
          <w:lang w:val="en-US"/>
        </w:rPr>
      </w:pPr>
    </w:p>
    <w:p w:rsidR="00D82496" w:rsidRDefault="00874055" w:rsidP="00D82496">
      <w:pPr>
        <w:rPr>
          <w:lang w:val="en-US"/>
        </w:rPr>
      </w:pPr>
      <w:r w:rsidRPr="00AF6044">
        <w:rPr>
          <w:lang w:val="en-US"/>
        </w:rPr>
        <w:t>In order to succeed against Fund, claimant must show:</w:t>
      </w:r>
    </w:p>
    <w:p w:rsidR="00D82496" w:rsidRDefault="00D82496" w:rsidP="00874055">
      <w:pPr>
        <w:rPr>
          <w:lang w:val="en-US"/>
        </w:rPr>
      </w:pPr>
    </w:p>
    <w:p w:rsidR="00874055" w:rsidRPr="00D82496" w:rsidRDefault="00874055" w:rsidP="00D82496">
      <w:pPr>
        <w:pStyle w:val="ListParagraph"/>
        <w:numPr>
          <w:ilvl w:val="0"/>
          <w:numId w:val="40"/>
        </w:numPr>
        <w:rPr>
          <w:lang w:val="en-US"/>
        </w:rPr>
      </w:pPr>
      <w:r w:rsidRPr="00D82496">
        <w:rPr>
          <w:lang w:val="en-US"/>
        </w:rPr>
        <w:t xml:space="preserve">Deprived of land or an estate or interest therein </w:t>
      </w:r>
      <w:r w:rsidRPr="00AF6044">
        <w:rPr>
          <w:lang w:val="en-US"/>
        </w:rPr>
        <w:sym w:font="Wingdings" w:char="F0E0"/>
      </w:r>
      <w:r w:rsidRPr="00D82496">
        <w:rPr>
          <w:lang w:val="en-US"/>
        </w:rPr>
        <w:t xml:space="preserve"> YES</w:t>
      </w:r>
    </w:p>
    <w:p w:rsidR="00137B18" w:rsidRDefault="00874055" w:rsidP="00D82496">
      <w:pPr>
        <w:pStyle w:val="ListParagraph"/>
        <w:numPr>
          <w:ilvl w:val="0"/>
          <w:numId w:val="40"/>
        </w:numPr>
        <w:rPr>
          <w:lang w:val="en-US"/>
        </w:rPr>
      </w:pPr>
      <w:r w:rsidRPr="00D82496">
        <w:rPr>
          <w:lang w:val="en-US"/>
        </w:rPr>
        <w:t xml:space="preserve">Occasioned by fraud, misrepresentation, or some wrongful act of any other person as owner </w:t>
      </w:r>
      <w:r w:rsidRPr="00AF6044">
        <w:rPr>
          <w:lang w:val="en-US"/>
        </w:rPr>
        <w:sym w:font="Wingdings" w:char="F0E0"/>
      </w:r>
      <w:r w:rsidRPr="00D82496">
        <w:rPr>
          <w:lang w:val="en-US"/>
        </w:rPr>
        <w:t xml:space="preserve"> YES</w:t>
      </w:r>
    </w:p>
    <w:p w:rsidR="00874055" w:rsidRPr="00137B18" w:rsidRDefault="00137B18" w:rsidP="00D82496">
      <w:pPr>
        <w:pStyle w:val="ListParagraph"/>
        <w:numPr>
          <w:ilvl w:val="0"/>
          <w:numId w:val="40"/>
        </w:numPr>
        <w:rPr>
          <w:lang w:val="en-US"/>
        </w:rPr>
      </w:pPr>
      <w:r>
        <w:rPr>
          <w:lang w:val="en-US"/>
        </w:rPr>
        <w:t>Barred from bringing an action for rectification of the registrar</w:t>
      </w:r>
      <w:r w:rsidRPr="00D82496">
        <w:rPr>
          <w:lang w:val="en-US"/>
        </w:rPr>
        <w:t xml:space="preserve"> </w:t>
      </w:r>
      <w:r w:rsidRPr="00AF6044">
        <w:rPr>
          <w:lang w:val="en-US"/>
        </w:rPr>
        <w:sym w:font="Wingdings" w:char="F0E0"/>
      </w:r>
      <w:r>
        <w:rPr>
          <w:lang w:val="en-US"/>
        </w:rPr>
        <w:t xml:space="preserve"> YES (Jabin’s registration of indefeasible title)</w:t>
      </w:r>
    </w:p>
    <w:p w:rsidR="00D82496" w:rsidRDefault="00137B18" w:rsidP="00D82496">
      <w:pPr>
        <w:pStyle w:val="ListParagraph"/>
        <w:numPr>
          <w:ilvl w:val="0"/>
          <w:numId w:val="40"/>
        </w:numPr>
        <w:rPr>
          <w:lang w:val="en-US"/>
        </w:rPr>
      </w:pPr>
      <w:r>
        <w:rPr>
          <w:lang w:val="en-US"/>
        </w:rPr>
        <w:t>Loss was occasioned as a result of the operation of the statute (would have succeeded at common law)</w:t>
      </w:r>
      <w:r w:rsidR="00874055" w:rsidRPr="00D82496">
        <w:rPr>
          <w:lang w:val="en-US"/>
        </w:rPr>
        <w:t xml:space="preserve"> </w:t>
      </w:r>
      <w:r w:rsidR="00874055" w:rsidRPr="00AF6044">
        <w:rPr>
          <w:lang w:val="en-US"/>
        </w:rPr>
        <w:sym w:font="Wingdings" w:char="F0E0"/>
      </w:r>
      <w:r w:rsidR="00874055" w:rsidRPr="00D82496">
        <w:rPr>
          <w:lang w:val="en-US"/>
        </w:rPr>
        <w:t xml:space="preserve"> NO, McCaig cannot succeed in his claim</w:t>
      </w:r>
    </w:p>
    <w:p w:rsidR="00D82496" w:rsidRDefault="00874055" w:rsidP="00D82496">
      <w:pPr>
        <w:pStyle w:val="ListParagraph"/>
        <w:numPr>
          <w:ilvl w:val="1"/>
          <w:numId w:val="40"/>
        </w:numPr>
        <w:rPr>
          <w:lang w:val="en-US"/>
        </w:rPr>
      </w:pPr>
      <w:r w:rsidRPr="00D82496">
        <w:rPr>
          <w:lang w:val="en-US"/>
        </w:rPr>
        <w:t>Deprived of his interest by breach of contract of Reys</w:t>
      </w:r>
      <w:r w:rsidR="00131DB3" w:rsidRPr="00D82496">
        <w:rPr>
          <w:lang w:val="en-US"/>
        </w:rPr>
        <w:t xml:space="preserve"> (must ensure option is exercisable when granting it)</w:t>
      </w:r>
      <w:r w:rsidR="00D82496" w:rsidRPr="00D82496">
        <w:rPr>
          <w:lang w:val="en-US"/>
        </w:rPr>
        <w:t xml:space="preserve"> and fraud of </w:t>
      </w:r>
      <w:r w:rsidRPr="00D82496">
        <w:rPr>
          <w:lang w:val="en-US"/>
        </w:rPr>
        <w:t>Rutland</w:t>
      </w:r>
      <w:r w:rsidR="00137B18">
        <w:rPr>
          <w:lang w:val="en-US"/>
        </w:rPr>
        <w:t>/Jerome</w:t>
      </w:r>
      <w:r w:rsidR="00131DB3" w:rsidRPr="00D82496">
        <w:rPr>
          <w:lang w:val="en-US"/>
        </w:rPr>
        <w:t xml:space="preserve"> (active deceiving of Jabin)</w:t>
      </w:r>
      <w:r w:rsidR="00137B18">
        <w:rPr>
          <w:lang w:val="en-US"/>
        </w:rPr>
        <w:t>, not Jabin or the LRO</w:t>
      </w:r>
      <w:r w:rsidR="00D82496" w:rsidRPr="00D82496">
        <w:rPr>
          <w:lang w:val="en-US"/>
        </w:rPr>
        <w:t xml:space="preserve">. </w:t>
      </w:r>
    </w:p>
    <w:p w:rsidR="00D82496" w:rsidRDefault="00874055" w:rsidP="00D82496">
      <w:pPr>
        <w:pStyle w:val="ListParagraph"/>
        <w:numPr>
          <w:ilvl w:val="1"/>
          <w:numId w:val="40"/>
        </w:numPr>
        <w:rPr>
          <w:lang w:val="en-US"/>
        </w:rPr>
      </w:pPr>
      <w:r w:rsidRPr="00D82496">
        <w:rPr>
          <w:lang w:val="en-US"/>
        </w:rPr>
        <w:t>Bona fide purchaser without notice (Jabin) has always been protected in equity</w:t>
      </w:r>
      <w:r w:rsidR="00137B18">
        <w:rPr>
          <w:lang w:val="en-US"/>
        </w:rPr>
        <w:t xml:space="preserve"> </w:t>
      </w:r>
    </w:p>
    <w:p w:rsidR="00874055" w:rsidRPr="00D82496" w:rsidRDefault="00874055" w:rsidP="00D82496">
      <w:pPr>
        <w:pStyle w:val="ListParagraph"/>
        <w:numPr>
          <w:ilvl w:val="1"/>
          <w:numId w:val="40"/>
        </w:numPr>
        <w:rPr>
          <w:lang w:val="en-US"/>
        </w:rPr>
      </w:pPr>
      <w:r w:rsidRPr="00D82496">
        <w:rPr>
          <w:lang w:val="en-US"/>
        </w:rPr>
        <w:t>Jabin has superior title both in equity and law</w:t>
      </w:r>
      <w:r w:rsidR="00D82496">
        <w:rPr>
          <w:lang w:val="en-US"/>
        </w:rPr>
        <w:t>.</w:t>
      </w:r>
    </w:p>
    <w:p w:rsidR="00D82496" w:rsidRDefault="00D82496" w:rsidP="00D82496">
      <w:pPr>
        <w:rPr>
          <w:lang w:val="en-US"/>
        </w:rPr>
      </w:pPr>
    </w:p>
    <w:p w:rsidR="00874055" w:rsidRPr="00AF6044" w:rsidRDefault="00D82496" w:rsidP="00D82496">
      <w:pPr>
        <w:rPr>
          <w:lang w:val="en-US"/>
        </w:rPr>
      </w:pPr>
      <w:r>
        <w:rPr>
          <w:lang w:val="en-US"/>
        </w:rPr>
        <w:t xml:space="preserve">Where equities are equal, the law prevails. </w:t>
      </w:r>
    </w:p>
    <w:p w:rsidR="00874055" w:rsidRPr="00AF6044" w:rsidRDefault="00874055" w:rsidP="00874055">
      <w:pPr>
        <w:pBdr>
          <w:bottom w:val="single" w:sz="12" w:space="1" w:color="auto"/>
        </w:pBdr>
        <w:rPr>
          <w:lang w:val="en-US"/>
        </w:rPr>
      </w:pPr>
    </w:p>
    <w:p w:rsidR="00874055" w:rsidRPr="008939AB" w:rsidRDefault="00943A1C" w:rsidP="00C04FE8">
      <w:pPr>
        <w:pStyle w:val="Heading3"/>
        <w:rPr>
          <w:b w:val="0"/>
          <w:u w:val="none"/>
          <w:lang w:val="en-US"/>
        </w:rPr>
      </w:pPr>
      <w:bookmarkStart w:id="13" w:name="_Toc227944942"/>
      <w:bookmarkStart w:id="14" w:name="_Toc259911011"/>
      <w:r w:rsidRPr="00943A1C">
        <w:rPr>
          <w:highlight w:val="yellow"/>
          <w:lang w:val="en-US"/>
        </w:rPr>
        <w:t>ROYAL BANK OF CANADA V. BRITISH COLUMBIA (ATTORNEY GENERAL)</w:t>
      </w:r>
      <w:bookmarkEnd w:id="13"/>
      <w:r w:rsidR="008939AB">
        <w:rPr>
          <w:b w:val="0"/>
          <w:u w:val="none"/>
          <w:lang w:val="en-US"/>
        </w:rPr>
        <w:t xml:space="preserve"> no case can be founded</w:t>
      </w:r>
      <w:r w:rsidR="00821755">
        <w:rPr>
          <w:b w:val="0"/>
          <w:u w:val="none"/>
          <w:lang w:val="en-US"/>
        </w:rPr>
        <w:t xml:space="preserve"> solely</w:t>
      </w:r>
      <w:r w:rsidR="008939AB">
        <w:rPr>
          <w:b w:val="0"/>
          <w:u w:val="none"/>
          <w:lang w:val="en-US"/>
        </w:rPr>
        <w:t xml:space="preserve"> on a procedural error on the part of the Registrar</w:t>
      </w:r>
      <w:bookmarkEnd w:id="14"/>
    </w:p>
    <w:p w:rsidR="00943A1C" w:rsidRDefault="00943A1C" w:rsidP="00874055">
      <w:pPr>
        <w:rPr>
          <w:lang w:val="en-US"/>
        </w:rPr>
      </w:pPr>
    </w:p>
    <w:p w:rsidR="00943A1C" w:rsidRDefault="00943A1C" w:rsidP="00874055">
      <w:pPr>
        <w:rPr>
          <w:lang w:val="en-US"/>
        </w:rPr>
      </w:pPr>
      <w:r>
        <w:rPr>
          <w:lang w:val="en-US"/>
        </w:rPr>
        <w:t>FACTS</w:t>
      </w:r>
    </w:p>
    <w:p w:rsidR="00874055" w:rsidRPr="00AF6044" w:rsidRDefault="00874055" w:rsidP="00874055">
      <w:pPr>
        <w:rPr>
          <w:lang w:val="en-US"/>
        </w:rPr>
      </w:pPr>
    </w:p>
    <w:p w:rsidR="00943A1C" w:rsidRDefault="00874055" w:rsidP="00943A1C">
      <w:pPr>
        <w:rPr>
          <w:lang w:val="en-US"/>
        </w:rPr>
      </w:pPr>
      <w:r w:rsidRPr="00AF6044">
        <w:rPr>
          <w:lang w:val="en-US"/>
        </w:rPr>
        <w:t>Walsh became registered fee simple owner, deposited certificate with RBC as security for present and future loans</w:t>
      </w:r>
      <w:r w:rsidR="00943A1C">
        <w:rPr>
          <w:lang w:val="en-US"/>
        </w:rPr>
        <w:t xml:space="preserve">. </w:t>
      </w:r>
      <w:r w:rsidRPr="00AF6044">
        <w:rPr>
          <w:lang w:val="en-US"/>
        </w:rPr>
        <w:t xml:space="preserve">Walsh granted </w:t>
      </w:r>
      <w:r w:rsidR="006D6B8C">
        <w:rPr>
          <w:lang w:val="en-US"/>
        </w:rPr>
        <w:t xml:space="preserve">a registered </w:t>
      </w:r>
      <w:r w:rsidRPr="00AF6044">
        <w:rPr>
          <w:lang w:val="en-US"/>
        </w:rPr>
        <w:t>mortgage to the Bank of Nova Scotia without duplicate; Land Registry Office reported it was on file</w:t>
      </w:r>
      <w:r w:rsidR="00943A1C">
        <w:rPr>
          <w:lang w:val="en-US"/>
        </w:rPr>
        <w:t>.</w:t>
      </w:r>
      <w:r w:rsidR="006D6B8C">
        <w:rPr>
          <w:lang w:val="en-US"/>
        </w:rPr>
        <w:t xml:space="preserve"> </w:t>
      </w:r>
      <w:r w:rsidRPr="00AF6044">
        <w:rPr>
          <w:lang w:val="en-US"/>
        </w:rPr>
        <w:t>When RBC could not recover loans from Walsh, it made a claim against the Assurance Fund</w:t>
      </w:r>
      <w:r w:rsidR="00943A1C">
        <w:rPr>
          <w:lang w:val="en-US"/>
        </w:rPr>
        <w:t>.</w:t>
      </w:r>
    </w:p>
    <w:p w:rsidR="00874055" w:rsidRPr="00AF6044" w:rsidRDefault="00874055" w:rsidP="00943A1C">
      <w:pPr>
        <w:rPr>
          <w:lang w:val="en-US"/>
        </w:rPr>
      </w:pPr>
    </w:p>
    <w:p w:rsidR="00874055" w:rsidRPr="00AF6044" w:rsidRDefault="00874055" w:rsidP="00943A1C">
      <w:pPr>
        <w:rPr>
          <w:lang w:val="en-US"/>
        </w:rPr>
      </w:pPr>
      <w:r w:rsidRPr="00AF6044">
        <w:rPr>
          <w:lang w:val="en-US"/>
        </w:rPr>
        <w:t>RBC said the Registrar's "mistake or omission" in accepting the B</w:t>
      </w:r>
      <w:r w:rsidR="00943A1C">
        <w:rPr>
          <w:lang w:val="en-US"/>
        </w:rPr>
        <w:t>ank of Nova Scotia</w:t>
      </w:r>
      <w:r w:rsidRPr="00AF6044">
        <w:rPr>
          <w:lang w:val="en-US"/>
        </w:rPr>
        <w:t xml:space="preserve"> mortgage when the certificate of title was not deposited in the Land Registry Office caused RBC to suffer a loss</w:t>
      </w:r>
      <w:r w:rsidR="00943A1C">
        <w:rPr>
          <w:lang w:val="en-US"/>
        </w:rPr>
        <w:t xml:space="preserve">. </w:t>
      </w:r>
      <w:r w:rsidRPr="00AF6044">
        <w:rPr>
          <w:lang w:val="en-US"/>
        </w:rPr>
        <w:t>If Registrar</w:t>
      </w:r>
      <w:r w:rsidR="00943A1C">
        <w:rPr>
          <w:lang w:val="en-US"/>
        </w:rPr>
        <w:t xml:space="preserve">/office had not been negligent they </w:t>
      </w:r>
      <w:r w:rsidRPr="00AF6044">
        <w:rPr>
          <w:lang w:val="en-US"/>
        </w:rPr>
        <w:t>would have known that certificate was not at the Office and would have informed B</w:t>
      </w:r>
      <w:r w:rsidR="00943A1C">
        <w:rPr>
          <w:lang w:val="en-US"/>
        </w:rPr>
        <w:t xml:space="preserve">ank of Nova Scotia. </w:t>
      </w:r>
      <w:r w:rsidRPr="00AF6044">
        <w:rPr>
          <w:lang w:val="en-US"/>
        </w:rPr>
        <w:t>RBC would have found out about deceitful conduct of Walsh and would not have advanced further money to him</w:t>
      </w:r>
      <w:r w:rsidR="00943A1C">
        <w:rPr>
          <w:lang w:val="en-US"/>
        </w:rPr>
        <w:t>.</w:t>
      </w:r>
    </w:p>
    <w:p w:rsidR="006D6B8C" w:rsidRDefault="006D6B8C" w:rsidP="00943A1C">
      <w:pPr>
        <w:rPr>
          <w:lang w:val="en-US"/>
        </w:rPr>
      </w:pPr>
    </w:p>
    <w:p w:rsidR="006D6B8C" w:rsidRDefault="006D6B8C" w:rsidP="00943A1C">
      <w:pPr>
        <w:rPr>
          <w:lang w:val="en-US"/>
        </w:rPr>
      </w:pPr>
      <w:r>
        <w:rPr>
          <w:lang w:val="en-US"/>
        </w:rPr>
        <w:t>HELD:</w:t>
      </w:r>
    </w:p>
    <w:p w:rsidR="006D6B8C" w:rsidRDefault="006D6B8C" w:rsidP="00943A1C">
      <w:pPr>
        <w:rPr>
          <w:lang w:val="en-US"/>
        </w:rPr>
      </w:pPr>
    </w:p>
    <w:p w:rsidR="006D6B8C" w:rsidRDefault="006D6B8C" w:rsidP="00943A1C">
      <w:pPr>
        <w:rPr>
          <w:lang w:val="en-US"/>
        </w:rPr>
      </w:pPr>
      <w:r>
        <w:rPr>
          <w:lang w:val="en-US"/>
        </w:rPr>
        <w:t>RBC cannot recover from the Fund.</w:t>
      </w:r>
    </w:p>
    <w:p w:rsidR="00874055" w:rsidRPr="00AF6044" w:rsidRDefault="00874055" w:rsidP="00874055">
      <w:pPr>
        <w:rPr>
          <w:lang w:val="en-US"/>
        </w:rPr>
      </w:pPr>
    </w:p>
    <w:p w:rsidR="00874055" w:rsidRPr="00AF6044" w:rsidRDefault="00874055" w:rsidP="006D6B8C">
      <w:pPr>
        <w:rPr>
          <w:lang w:val="en-US"/>
        </w:rPr>
      </w:pPr>
      <w:r w:rsidRPr="00AF6044">
        <w:rPr>
          <w:lang w:val="en-US"/>
        </w:rPr>
        <w:t>Registrar owed no duty to RBC</w:t>
      </w:r>
      <w:r w:rsidR="006D6B8C">
        <w:rPr>
          <w:lang w:val="en-US"/>
        </w:rPr>
        <w:t xml:space="preserve">. </w:t>
      </w:r>
      <w:r w:rsidRPr="00AF6044">
        <w:rPr>
          <w:lang w:val="en-US"/>
        </w:rPr>
        <w:t>S. 47 of Act expressly states that holder of an equitable mortgage does not entitle the holder to registration under the Act</w:t>
      </w:r>
      <w:r w:rsidR="006D6B8C">
        <w:rPr>
          <w:lang w:val="en-US"/>
        </w:rPr>
        <w:t xml:space="preserve">. </w:t>
      </w:r>
      <w:r w:rsidRPr="00AF6044">
        <w:rPr>
          <w:lang w:val="en-US"/>
        </w:rPr>
        <w:t xml:space="preserve">Person alleging loss must show that loss flowed naturally and directly from Registrar's mistake </w:t>
      </w:r>
      <w:r w:rsidRPr="00AF6044">
        <w:rPr>
          <w:lang w:val="en-US"/>
        </w:rPr>
        <w:sym w:font="Wingdings" w:char="F0E0"/>
      </w:r>
      <w:r w:rsidRPr="00AF6044">
        <w:rPr>
          <w:lang w:val="en-US"/>
        </w:rPr>
        <w:t xml:space="preserve"> not the case here, chain of liability is too tenuous ("Such a mistake should not have been made and that if the Registrar had not made a mistake it would fortuitously have learned of Walsh's deceitful conduct and avoided loss" etc.)</w:t>
      </w:r>
    </w:p>
    <w:p w:rsidR="006D6B8C" w:rsidRDefault="006D6B8C" w:rsidP="006D6B8C">
      <w:pPr>
        <w:rPr>
          <w:lang w:val="en-US"/>
        </w:rPr>
      </w:pPr>
    </w:p>
    <w:p w:rsidR="006D6B8C" w:rsidRDefault="006D6B8C" w:rsidP="006D6B8C">
      <w:pPr>
        <w:rPr>
          <w:lang w:val="en-US"/>
        </w:rPr>
      </w:pPr>
      <w:r>
        <w:rPr>
          <w:lang w:val="en-US"/>
        </w:rPr>
        <w:t>RATIO</w:t>
      </w:r>
      <w:r w:rsidR="00874055" w:rsidRPr="00AF6044">
        <w:rPr>
          <w:lang w:val="en-US"/>
        </w:rPr>
        <w:t>:</w:t>
      </w:r>
    </w:p>
    <w:p w:rsidR="00874055" w:rsidRPr="00AF6044" w:rsidRDefault="00874055" w:rsidP="006D6B8C">
      <w:pPr>
        <w:rPr>
          <w:lang w:val="en-US"/>
        </w:rPr>
      </w:pPr>
    </w:p>
    <w:p w:rsidR="006D6B8C" w:rsidRDefault="00874055" w:rsidP="006D6B8C">
      <w:pPr>
        <w:ind w:left="1080" w:hanging="1080"/>
        <w:rPr>
          <w:lang w:val="en-US"/>
        </w:rPr>
      </w:pPr>
      <w:r w:rsidRPr="00AF6044">
        <w:rPr>
          <w:lang w:val="en-US"/>
        </w:rPr>
        <w:t xml:space="preserve">No case can be founded on procedural error </w:t>
      </w:r>
      <w:r w:rsidR="00821755">
        <w:rPr>
          <w:lang w:val="en-US"/>
        </w:rPr>
        <w:t xml:space="preserve">solely </w:t>
      </w:r>
      <w:r w:rsidRPr="00AF6044">
        <w:rPr>
          <w:lang w:val="en-US"/>
        </w:rPr>
        <w:t>on the part of the Registrar</w:t>
      </w:r>
      <w:r w:rsidR="006D6B8C">
        <w:rPr>
          <w:lang w:val="en-US"/>
        </w:rPr>
        <w:t>.</w:t>
      </w:r>
    </w:p>
    <w:p w:rsidR="00874055" w:rsidRPr="00AF6044" w:rsidRDefault="00874055" w:rsidP="006D6B8C">
      <w:pPr>
        <w:ind w:left="1080" w:hanging="1080"/>
        <w:rPr>
          <w:lang w:val="en-US"/>
        </w:rPr>
      </w:pPr>
    </w:p>
    <w:p w:rsidR="006D6B8C" w:rsidRDefault="00874055" w:rsidP="006D6B8C">
      <w:pPr>
        <w:ind w:left="1080" w:hanging="1080"/>
        <w:rPr>
          <w:lang w:val="en-US"/>
        </w:rPr>
      </w:pPr>
      <w:r w:rsidRPr="00AF6044">
        <w:rPr>
          <w:lang w:val="en-US"/>
        </w:rPr>
        <w:t>Those who seek to rely on equitable mortgages must accept the risks inherent</w:t>
      </w:r>
      <w:r w:rsidR="006D6B8C">
        <w:rPr>
          <w:lang w:val="en-US"/>
        </w:rPr>
        <w:t>.</w:t>
      </w:r>
    </w:p>
    <w:p w:rsidR="00874055" w:rsidRPr="00AF6044" w:rsidRDefault="00874055" w:rsidP="006D6B8C">
      <w:pPr>
        <w:ind w:left="1080" w:hanging="1080"/>
        <w:rPr>
          <w:lang w:val="en-US"/>
        </w:rPr>
      </w:pPr>
    </w:p>
    <w:p w:rsidR="006D6B8C" w:rsidRDefault="00874055" w:rsidP="006D6B8C">
      <w:pPr>
        <w:ind w:left="1080" w:hanging="1080"/>
        <w:rPr>
          <w:lang w:val="en-US"/>
        </w:rPr>
      </w:pPr>
      <w:r w:rsidRPr="00AF6044">
        <w:rPr>
          <w:lang w:val="en-US"/>
        </w:rPr>
        <w:t>Strict adherence to the Torrens systems provides certainty and security and makes this type of litigation unlikely</w:t>
      </w:r>
      <w:r w:rsidR="006D6B8C">
        <w:rPr>
          <w:lang w:val="en-US"/>
        </w:rPr>
        <w:t>.</w:t>
      </w:r>
    </w:p>
    <w:p w:rsidR="00131DB3" w:rsidRPr="00AF6044" w:rsidRDefault="00131DB3" w:rsidP="006D6B8C">
      <w:pPr>
        <w:ind w:left="1080" w:hanging="1080"/>
        <w:rPr>
          <w:lang w:val="en-US"/>
        </w:rPr>
      </w:pPr>
    </w:p>
    <w:p w:rsidR="00874055" w:rsidRPr="006D6B8C" w:rsidRDefault="00131DB3" w:rsidP="006D6B8C">
      <w:pPr>
        <w:rPr>
          <w:sz w:val="10"/>
          <w:lang w:val="en-US"/>
        </w:rPr>
      </w:pPr>
      <w:r w:rsidRPr="006D6B8C">
        <w:t>Where the equities are equal, the legal title prevails</w:t>
      </w:r>
      <w:r w:rsidR="006D6B8C" w:rsidRPr="006D6B8C">
        <w:t xml:space="preserve">. Both RBC and Nova Scotia were blameless in their conduct, but Nova Scotia had </w:t>
      </w:r>
      <w:r w:rsidR="006D6B8C" w:rsidRPr="006D6B8C">
        <w:rPr>
          <w:i/>
        </w:rPr>
        <w:t>in rem</w:t>
      </w:r>
      <w:r w:rsidR="006D6B8C" w:rsidRPr="006D6B8C">
        <w:t xml:space="preserve"> rights, while RBC only had an equitable mortgage (and therefore only </w:t>
      </w:r>
      <w:r w:rsidR="006D6B8C" w:rsidRPr="006D6B8C">
        <w:rPr>
          <w:i/>
        </w:rPr>
        <w:t xml:space="preserve">in personam </w:t>
      </w:r>
      <w:r w:rsidR="006D6B8C" w:rsidRPr="006D6B8C">
        <w:t>rights).</w:t>
      </w:r>
    </w:p>
    <w:p w:rsidR="00874055" w:rsidRPr="00AF6044" w:rsidRDefault="00874055" w:rsidP="006D6B8C">
      <w:pPr>
        <w:ind w:hanging="1080"/>
        <w:rPr>
          <w:lang w:val="en-US"/>
        </w:rPr>
      </w:pPr>
    </w:p>
    <w:p w:rsidR="003B741B" w:rsidRPr="00AF6044" w:rsidRDefault="003B741B">
      <w:pPr>
        <w:pBdr>
          <w:bottom w:val="single" w:sz="12" w:space="1" w:color="auto"/>
        </w:pBdr>
      </w:pPr>
    </w:p>
    <w:p w:rsidR="003B741B" w:rsidRPr="006D6B8C" w:rsidRDefault="006D6B8C" w:rsidP="00C04FE8">
      <w:pPr>
        <w:pStyle w:val="Heading3"/>
      </w:pPr>
      <w:bookmarkStart w:id="15" w:name="_Toc259911012"/>
      <w:r w:rsidRPr="006D6B8C">
        <w:rPr>
          <w:highlight w:val="yellow"/>
        </w:rPr>
        <w:t>GORDON V HIPWELL</w:t>
      </w:r>
      <w:bookmarkEnd w:id="15"/>
      <w:r w:rsidRPr="006D6B8C">
        <w:t xml:space="preserve"> </w:t>
      </w:r>
    </w:p>
    <w:p w:rsidR="003B741B" w:rsidRPr="00AF6044" w:rsidRDefault="003B741B"/>
    <w:p w:rsidR="003B741B" w:rsidRPr="00AF6044" w:rsidRDefault="006D6B8C">
      <w:r>
        <w:t>FACTS</w:t>
      </w:r>
      <w:r w:rsidR="003B741B" w:rsidRPr="00AF6044">
        <w:t>:</w:t>
      </w:r>
    </w:p>
    <w:p w:rsidR="003B741B" w:rsidRPr="00AF6044" w:rsidRDefault="003B741B"/>
    <w:p w:rsidR="003B741B" w:rsidRPr="00AF6044" w:rsidRDefault="003B741B" w:rsidP="006D6B8C">
      <w:r w:rsidRPr="00AF6044">
        <w:t>Hipwell came to BC from England. He bought some land from Gordon, paying with diamonds he had smuggled into Canada. Hipwell was registered as fee simple owner of the land. He later went back to England.</w:t>
      </w:r>
    </w:p>
    <w:p w:rsidR="006D6B8C" w:rsidRDefault="003B741B" w:rsidP="006D6B8C">
      <w:r w:rsidRPr="00AF6044">
        <w:t>After his departure the diamonds were seized by RCMP</w:t>
      </w:r>
      <w:r w:rsidR="006D6B8C">
        <w:t xml:space="preserve">. </w:t>
      </w:r>
      <w:r w:rsidRPr="00AF6044">
        <w:t>Gordon filed a caveat against Hipwell’s title on July 16, 1948</w:t>
      </w:r>
      <w:r w:rsidR="006D6B8C">
        <w:t xml:space="preserve">. </w:t>
      </w:r>
      <w:r w:rsidRPr="00AF6044">
        <w:t>In February 1949, Mrs. Hipwell got the caveat removed acting under power of attorney. The power</w:t>
      </w:r>
      <w:r w:rsidR="006D6B8C">
        <w:t xml:space="preserve"> of attorney</w:t>
      </w:r>
      <w:r w:rsidRPr="00AF6044">
        <w:t xml:space="preserve"> had actually been removed but the Registrar did not know</w:t>
      </w:r>
      <w:r w:rsidR="006D6B8C">
        <w:t xml:space="preserve">. </w:t>
      </w:r>
      <w:r w:rsidRPr="00AF6044">
        <w:t>She sold the land to a bona fide purchaser for value</w:t>
      </w:r>
      <w:r w:rsidR="002F0D02">
        <w:t xml:space="preserve"> </w:t>
      </w:r>
      <w:r w:rsidRPr="00AF6044">
        <w:t>without notice.</w:t>
      </w:r>
      <w:r w:rsidR="006D6B8C">
        <w:t xml:space="preserve"> </w:t>
      </w:r>
      <w:r w:rsidRPr="00AF6044">
        <w:t>Gordon claimed</w:t>
      </w:r>
      <w:r w:rsidR="003B736C" w:rsidRPr="00AF6044">
        <w:t xml:space="preserve"> </w:t>
      </w:r>
      <w:r w:rsidR="003B736C" w:rsidRPr="006D6B8C">
        <w:rPr>
          <w:i/>
        </w:rPr>
        <w:t xml:space="preserve">inter alia </w:t>
      </w:r>
      <w:r w:rsidR="003B736C" w:rsidRPr="00AF6044">
        <w:t>against the Assurance fund.</w:t>
      </w:r>
      <w:r w:rsidR="006D6B8C">
        <w:t xml:space="preserve"> </w:t>
      </w:r>
      <w:r w:rsidR="003B736C" w:rsidRPr="00AF6044">
        <w:t>Court found his interest was a “permanent caveat” (no longer exist</w:t>
      </w:r>
      <w:r w:rsidR="006D6B8C">
        <w:t>s</w:t>
      </w:r>
      <w:r w:rsidR="003B736C" w:rsidRPr="00AF6044">
        <w:t>)</w:t>
      </w:r>
      <w:r w:rsidR="006D6B8C">
        <w:t>.</w:t>
      </w:r>
    </w:p>
    <w:p w:rsidR="006D6B8C" w:rsidRDefault="006D6B8C" w:rsidP="006D6B8C"/>
    <w:p w:rsidR="006D6B8C" w:rsidRDefault="006D6B8C" w:rsidP="006D6B8C">
      <w:r>
        <w:t>HELD:</w:t>
      </w:r>
    </w:p>
    <w:p w:rsidR="003B736C" w:rsidRPr="00AF6044" w:rsidRDefault="003B736C" w:rsidP="006D6B8C"/>
    <w:p w:rsidR="003B736C" w:rsidRPr="00AF6044" w:rsidRDefault="003B736C" w:rsidP="006D6B8C">
      <w:r w:rsidRPr="00AF6044">
        <w:t>Court said LTR was liable for improperly erasing caveat</w:t>
      </w:r>
      <w:r w:rsidR="006D6B8C">
        <w:t>.</w:t>
      </w:r>
    </w:p>
    <w:p w:rsidR="003B736C" w:rsidRPr="00AF6044" w:rsidRDefault="003B736C" w:rsidP="003B736C">
      <w:pPr>
        <w:pBdr>
          <w:bottom w:val="single" w:sz="12" w:space="1" w:color="auto"/>
        </w:pBdr>
      </w:pPr>
    </w:p>
    <w:p w:rsidR="003B736C" w:rsidRPr="00AF6044" w:rsidRDefault="003B736C" w:rsidP="003B736C"/>
    <w:p w:rsidR="00F73470" w:rsidRPr="00F73470" w:rsidRDefault="00E6506C" w:rsidP="00C04FE8">
      <w:pPr>
        <w:pStyle w:val="Heading1"/>
      </w:pPr>
      <w:bookmarkStart w:id="16" w:name="_Toc259911013"/>
      <w:r w:rsidRPr="00E6506C">
        <w:rPr>
          <w:highlight w:val="yellow"/>
        </w:rPr>
        <w:t>CHAPTER VI:</w:t>
      </w:r>
      <w:r w:rsidR="008C621D" w:rsidRPr="00E6506C">
        <w:rPr>
          <w:highlight w:val="yellow"/>
        </w:rPr>
        <w:t xml:space="preserve"> REGISTRATION OF TITLE</w:t>
      </w:r>
      <w:bookmarkStart w:id="17" w:name="_Toc227812857"/>
      <w:bookmarkEnd w:id="16"/>
    </w:p>
    <w:p w:rsidR="00FC28CC" w:rsidRPr="00FC28CC" w:rsidRDefault="00FC28CC" w:rsidP="00353EE2">
      <w:pPr>
        <w:pStyle w:val="Heading4"/>
        <w:rPr>
          <w:b/>
          <w:i/>
        </w:rPr>
      </w:pPr>
      <w:r w:rsidRPr="00FC28CC">
        <w:rPr>
          <w:b/>
          <w:i/>
        </w:rPr>
        <w:t xml:space="preserve">There is nothing in the </w:t>
      </w:r>
      <w:r w:rsidRPr="00FC28CC">
        <w:rPr>
          <w:b/>
          <w:i/>
          <w:color w:val="1F497D" w:themeColor="text2"/>
        </w:rPr>
        <w:t>Land Title Act</w:t>
      </w:r>
      <w:r>
        <w:rPr>
          <w:b/>
          <w:i/>
          <w:color w:val="1F497D" w:themeColor="text2"/>
        </w:rPr>
        <w:t>,</w:t>
      </w:r>
      <w:r w:rsidRPr="00FC28CC">
        <w:rPr>
          <w:b/>
          <w:i/>
        </w:rPr>
        <w:t xml:space="preserve"> which compels registration, except in the case of an initial Crown grant</w:t>
      </w:r>
      <w:r>
        <w:rPr>
          <w:b/>
          <w:i/>
        </w:rPr>
        <w:t xml:space="preserve"> (</w:t>
      </w:r>
      <w:r w:rsidRPr="00FC28CC">
        <w:rPr>
          <w:b/>
          <w:i/>
          <w:color w:val="1F497D" w:themeColor="text2"/>
        </w:rPr>
        <w:t>s 54</w:t>
      </w:r>
      <w:r>
        <w:rPr>
          <w:b/>
          <w:i/>
        </w:rPr>
        <w:t>)</w:t>
      </w:r>
      <w:r w:rsidRPr="00FC28CC">
        <w:rPr>
          <w:b/>
          <w:i/>
        </w:rPr>
        <w:t>.</w:t>
      </w:r>
    </w:p>
    <w:p w:rsidR="00FC28CC" w:rsidRPr="00FC28CC" w:rsidRDefault="00FC28CC" w:rsidP="00C04FE8">
      <w:pPr>
        <w:pStyle w:val="Heading2"/>
        <w:rPr>
          <w:i/>
        </w:rPr>
      </w:pPr>
      <w:bookmarkStart w:id="18" w:name="_Toc259911014"/>
      <w:r w:rsidRPr="00FC28CC">
        <w:t>Effect of indefeasible title</w:t>
      </w:r>
      <w:bookmarkEnd w:id="18"/>
    </w:p>
    <w:p w:rsidR="00A80818" w:rsidRDefault="00FC28CC" w:rsidP="00A80818">
      <w:pPr>
        <w:pStyle w:val="Heading4"/>
        <w:rPr>
          <w:i/>
          <w:color w:val="800000"/>
        </w:rPr>
      </w:pPr>
      <w:r w:rsidRPr="00F73470">
        <w:rPr>
          <w:b/>
          <w:i/>
          <w:color w:val="1F497D" w:themeColor="text2"/>
        </w:rPr>
        <w:t>23</w:t>
      </w:r>
      <w:r w:rsidRPr="00F73470">
        <w:rPr>
          <w:color w:val="1F497D" w:themeColor="text2"/>
        </w:rPr>
        <w:t>.</w:t>
      </w:r>
      <w:r w:rsidR="00353EE2" w:rsidRPr="00D61BBB">
        <w:rPr>
          <w:color w:val="1F497D" w:themeColor="text2"/>
        </w:rPr>
        <w:t xml:space="preserve"> </w:t>
      </w:r>
      <w:bookmarkEnd w:id="17"/>
      <w:r w:rsidRPr="00FC28CC">
        <w:rPr>
          <w:b/>
          <w:i/>
          <w:color w:val="1F497D" w:themeColor="text2"/>
        </w:rPr>
        <w:t>(2)</w:t>
      </w:r>
      <w:r w:rsidRPr="00FC28CC">
        <w:rPr>
          <w:b/>
          <w:i/>
        </w:rPr>
        <w:t xml:space="preserve"> An indeafeasible title, as long as it remains in force and uncancelled, is conclusive evidence at law and in equity, as against the Crown and all other persons, that the person named in the title as registered owner is indefeasibly entitled to an estate in fee simple to the land described in the title, </w:t>
      </w:r>
      <w:r w:rsidRPr="00FC28CC">
        <w:rPr>
          <w:i/>
          <w:color w:val="800000"/>
        </w:rPr>
        <w:t>subject to</w:t>
      </w:r>
      <w:bookmarkStart w:id="19" w:name="_Toc227812858"/>
      <w:r w:rsidR="00353EE2" w:rsidRPr="00FC28CC">
        <w:rPr>
          <w:i/>
          <w:color w:val="800000"/>
        </w:rPr>
        <w:t xml:space="preserve"> </w:t>
      </w:r>
      <w:r w:rsidRPr="00FC28CC">
        <w:rPr>
          <w:i/>
          <w:color w:val="800000"/>
        </w:rPr>
        <w:t>(</w:t>
      </w:r>
      <w:r w:rsidR="00353EE2" w:rsidRPr="00FC28CC">
        <w:rPr>
          <w:i/>
          <w:color w:val="800000"/>
        </w:rPr>
        <w:t>resources, lien, lease</w:t>
      </w:r>
      <w:r w:rsidR="00A80818">
        <w:rPr>
          <w:i/>
          <w:color w:val="800000"/>
        </w:rPr>
        <w:t xml:space="preserve"> under three years</w:t>
      </w:r>
      <w:r w:rsidR="00353EE2" w:rsidRPr="00FC28CC">
        <w:rPr>
          <w:i/>
          <w:color w:val="800000"/>
        </w:rPr>
        <w:t>, highways, expropr</w:t>
      </w:r>
      <w:r w:rsidRPr="00FC28CC">
        <w:rPr>
          <w:i/>
          <w:color w:val="800000"/>
        </w:rPr>
        <w:t xml:space="preserve">iation, caveats </w:t>
      </w:r>
      <w:r w:rsidR="00353EE2" w:rsidRPr="00FC28CC">
        <w:rPr>
          <w:i/>
          <w:color w:val="800000"/>
        </w:rPr>
        <w:t>charges, boundaries, fraud</w:t>
      </w:r>
      <w:bookmarkEnd w:id="19"/>
      <w:r w:rsidRPr="00FC28CC">
        <w:rPr>
          <w:i/>
          <w:color w:val="800000"/>
        </w:rPr>
        <w:t>):</w:t>
      </w:r>
    </w:p>
    <w:p w:rsidR="00A80818" w:rsidRDefault="00A80818" w:rsidP="00A80818"/>
    <w:p w:rsidR="00A80818" w:rsidRDefault="00A80818" w:rsidP="00A80818">
      <w:pPr>
        <w:pStyle w:val="ListBullet"/>
        <w:tabs>
          <w:tab w:val="clear" w:pos="360"/>
          <w:tab w:val="num" w:pos="1080"/>
        </w:tabs>
        <w:ind w:left="1080"/>
      </w:pPr>
      <w:r>
        <w:t>Reservations in the original Crown grant</w:t>
      </w:r>
    </w:p>
    <w:p w:rsidR="00A80818" w:rsidRDefault="00A80818" w:rsidP="00A80818">
      <w:pPr>
        <w:pStyle w:val="ListBullet"/>
        <w:tabs>
          <w:tab w:val="clear" w:pos="360"/>
          <w:tab w:val="num" w:pos="1080"/>
        </w:tabs>
        <w:ind w:left="1080"/>
      </w:pPr>
      <w:r>
        <w:t>Federal or provincial tax, default of which can result in a lien on the land</w:t>
      </w:r>
    </w:p>
    <w:p w:rsidR="00A80818" w:rsidRDefault="00A80818" w:rsidP="00A80818">
      <w:pPr>
        <w:pStyle w:val="ListBullet"/>
        <w:tabs>
          <w:tab w:val="clear" w:pos="360"/>
          <w:tab w:val="num" w:pos="1080"/>
        </w:tabs>
        <w:ind w:left="1080"/>
      </w:pPr>
      <w:r>
        <w:t>Municipal fee</w:t>
      </w:r>
    </w:p>
    <w:p w:rsidR="00A80818" w:rsidRDefault="00A80818" w:rsidP="00A80818">
      <w:pPr>
        <w:pStyle w:val="ListBullet"/>
        <w:tabs>
          <w:tab w:val="clear" w:pos="360"/>
          <w:tab w:val="num" w:pos="1080"/>
        </w:tabs>
        <w:ind w:left="1080"/>
      </w:pPr>
      <w:r>
        <w:t>A lease 3 years or under with actual occupation [should always inspect the land]</w:t>
      </w:r>
    </w:p>
    <w:p w:rsidR="00A80818" w:rsidRDefault="00A80818" w:rsidP="00A80818">
      <w:pPr>
        <w:pStyle w:val="ListBullet"/>
        <w:tabs>
          <w:tab w:val="clear" w:pos="360"/>
          <w:tab w:val="num" w:pos="1080"/>
        </w:tabs>
        <w:ind w:left="1080"/>
      </w:pPr>
      <w:r>
        <w:t>Highway or public right of way</w:t>
      </w:r>
    </w:p>
    <w:p w:rsidR="00A80818" w:rsidRDefault="00A80818" w:rsidP="00FC28CC">
      <w:pPr>
        <w:pStyle w:val="ListBullet"/>
        <w:tabs>
          <w:tab w:val="clear" w:pos="360"/>
          <w:tab w:val="num" w:pos="1080"/>
        </w:tabs>
        <w:ind w:left="1080"/>
      </w:pPr>
      <w:r>
        <w:t xml:space="preserve">A right of expropriation or to an escheat under an Act. Under </w:t>
      </w:r>
      <w:r w:rsidRPr="00A80818">
        <w:rPr>
          <w:i/>
          <w:color w:val="1F497D" w:themeColor="text2"/>
        </w:rPr>
        <w:t>the Escheat Act</w:t>
      </w:r>
      <w:r>
        <w:t xml:space="preserve"> i</w:t>
      </w:r>
      <w:r w:rsidR="00353EE2" w:rsidRPr="00A80818">
        <w:t xml:space="preserve">f </w:t>
      </w:r>
      <w:r w:rsidR="00353EE2" w:rsidRPr="00A80818">
        <w:rPr>
          <w:b/>
          <w:color w:val="800000"/>
        </w:rPr>
        <w:t>someone owns property and dies without a will and the administrator of the estate cannot find a next of kin then the property goes back t</w:t>
      </w:r>
      <w:r w:rsidRPr="00A80818">
        <w:rPr>
          <w:b/>
          <w:color w:val="800000"/>
        </w:rPr>
        <w:t>o the C</w:t>
      </w:r>
      <w:r w:rsidR="00353EE2" w:rsidRPr="00A80818">
        <w:rPr>
          <w:b/>
          <w:color w:val="800000"/>
        </w:rPr>
        <w:t>rown</w:t>
      </w:r>
      <w:r w:rsidRPr="00A80818">
        <w:t xml:space="preserve">. </w:t>
      </w:r>
      <w:r w:rsidR="00353EE2" w:rsidRPr="00A80818">
        <w:t>Can be goods, real property, bank accounts</w:t>
      </w:r>
    </w:p>
    <w:p w:rsidR="00A80818" w:rsidRDefault="00353EE2" w:rsidP="00FC28CC">
      <w:pPr>
        <w:pStyle w:val="ListBullet"/>
        <w:tabs>
          <w:tab w:val="clear" w:pos="360"/>
          <w:tab w:val="num" w:pos="1080"/>
        </w:tabs>
        <w:ind w:left="1080"/>
      </w:pPr>
      <w:r w:rsidRPr="00A80818">
        <w:t>Builders lien</w:t>
      </w:r>
      <w:r w:rsidR="00A80818">
        <w:t xml:space="preserve">. </w:t>
      </w:r>
      <w:r w:rsidRPr="00A80818">
        <w:rPr>
          <w:b/>
          <w:color w:val="800000"/>
        </w:rPr>
        <w:t>If the builders are not paid they can file a lien on the title, which could lead to a sale of the property</w:t>
      </w:r>
      <w:r w:rsidR="00A80818">
        <w:t xml:space="preserve">. </w:t>
      </w:r>
      <w:r w:rsidRPr="00A80818">
        <w:t>With the Builders L</w:t>
      </w:r>
      <w:r w:rsidR="00A80818">
        <w:t xml:space="preserve">ien Act they have the right to against the land, and therefore against the registered owner. </w:t>
      </w:r>
      <w:r w:rsidRPr="00A80818">
        <w:t>Holdback is retaining 10%  - and each subcontractor down the chain becomes a trustee</w:t>
      </w:r>
      <w:r w:rsidR="00A80818">
        <w:t xml:space="preserve">. </w:t>
      </w:r>
      <w:r w:rsidRPr="00A80818">
        <w:t>A lien can be filed at any time within 45 days after the work has been completed, a</w:t>
      </w:r>
      <w:r w:rsidR="00A80818" w:rsidRPr="00A80818">
        <w:t>bandoned, or termination of the</w:t>
      </w:r>
      <w:r w:rsidR="00A80818">
        <w:t xml:space="preserve"> </w:t>
      </w:r>
      <w:r w:rsidRPr="00A80818">
        <w:t>construction contract</w:t>
      </w:r>
      <w:r w:rsidR="00A80818">
        <w:t>.</w:t>
      </w:r>
    </w:p>
    <w:p w:rsidR="00A80818" w:rsidRDefault="00E4481B" w:rsidP="00FC28CC">
      <w:pPr>
        <w:pStyle w:val="ListBullet"/>
        <w:tabs>
          <w:tab w:val="clear" w:pos="360"/>
          <w:tab w:val="num" w:pos="1080"/>
        </w:tabs>
        <w:ind w:left="1080"/>
      </w:pPr>
      <w:r w:rsidRPr="00A80818">
        <w:t xml:space="preserve">Improper </w:t>
      </w:r>
      <w:r w:rsidR="00353EE2" w:rsidRPr="00A80818">
        <w:t>Boundaries</w:t>
      </w:r>
      <w:r w:rsidR="00A80818">
        <w:t>. (</w:t>
      </w:r>
      <w:r w:rsidR="00A80818" w:rsidRPr="00A80818">
        <w:rPr>
          <w:i/>
          <w:color w:val="1F497D" w:themeColor="text2"/>
        </w:rPr>
        <w:t>Re Evans</w:t>
      </w:r>
      <w:r w:rsidR="00A80818">
        <w:t>)</w:t>
      </w:r>
    </w:p>
    <w:p w:rsidR="00A80818" w:rsidRDefault="00353EE2" w:rsidP="00FC28CC">
      <w:pPr>
        <w:pStyle w:val="ListBullet"/>
        <w:tabs>
          <w:tab w:val="clear" w:pos="360"/>
          <w:tab w:val="num" w:pos="1080"/>
        </w:tabs>
        <w:ind w:left="1080"/>
      </w:pPr>
      <w:r w:rsidRPr="00A80818">
        <w:t>Fraud</w:t>
      </w:r>
      <w:r w:rsidR="00A80818">
        <w:t>, including forgery, in which the registered owner has participated in any degree;</w:t>
      </w:r>
    </w:p>
    <w:p w:rsidR="00353EE2" w:rsidRPr="00A80818" w:rsidRDefault="00A80818" w:rsidP="00FC28CC">
      <w:pPr>
        <w:pStyle w:val="ListBullet"/>
        <w:tabs>
          <w:tab w:val="clear" w:pos="360"/>
          <w:tab w:val="num" w:pos="1080"/>
        </w:tabs>
        <w:ind w:left="1080"/>
      </w:pPr>
      <w:r>
        <w:t xml:space="preserve">A restrictive condition imposed by the </w:t>
      </w:r>
      <w:r w:rsidRPr="00A80818">
        <w:rPr>
          <w:i/>
          <w:color w:val="1F497D" w:themeColor="text2"/>
        </w:rPr>
        <w:t>Forest Act</w:t>
      </w:r>
      <w:r>
        <w:t>.</w:t>
      </w:r>
    </w:p>
    <w:p w:rsidR="00353EE2" w:rsidRPr="00F73470" w:rsidRDefault="00353EE2" w:rsidP="00F73470">
      <w:pPr>
        <w:pStyle w:val="Heading4"/>
        <w:rPr>
          <w:b/>
          <w:i/>
        </w:rPr>
      </w:pPr>
      <w:bookmarkStart w:id="20" w:name="_Toc227812859"/>
      <w:r w:rsidRPr="00F73470">
        <w:rPr>
          <w:b/>
          <w:i/>
          <w:color w:val="1F497D" w:themeColor="text2"/>
        </w:rPr>
        <w:t>(3)</w:t>
      </w:r>
      <w:r w:rsidRPr="00D61BBB">
        <w:rPr>
          <w:color w:val="1F497D" w:themeColor="text2"/>
        </w:rPr>
        <w:t xml:space="preserve"> </w:t>
      </w:r>
      <w:r w:rsidRPr="00D61BBB">
        <w:rPr>
          <w:b/>
          <w:i/>
          <w:color w:val="1F497D" w:themeColor="text2"/>
        </w:rPr>
        <w:t xml:space="preserve">= </w:t>
      </w:r>
      <w:bookmarkEnd w:id="20"/>
      <w:r w:rsidR="00F73470">
        <w:rPr>
          <w:b/>
          <w:i/>
        </w:rPr>
        <w:t xml:space="preserve">Squatter’s rights aboligshed </w:t>
      </w:r>
      <w:r w:rsidRPr="00F73470">
        <w:rPr>
          <w:b/>
          <w:i/>
        </w:rPr>
        <w:t xml:space="preserve">for both private and crown land subject to small window before 1975 if first crown grant. </w:t>
      </w:r>
    </w:p>
    <w:p w:rsidR="00353EE2" w:rsidRPr="00F73470" w:rsidRDefault="00F73470" w:rsidP="00353EE2">
      <w:pPr>
        <w:pStyle w:val="Heading4"/>
        <w:rPr>
          <w:b/>
          <w:i/>
          <w:color w:val="1F497D" w:themeColor="text2"/>
        </w:rPr>
      </w:pPr>
      <w:r w:rsidRPr="00F73470">
        <w:rPr>
          <w:b/>
          <w:i/>
          <w:color w:val="1F497D" w:themeColor="text2"/>
        </w:rPr>
        <w:t>50.</w:t>
      </w:r>
      <w:r>
        <w:rPr>
          <w:i/>
          <w:color w:val="1F497D" w:themeColor="text2"/>
        </w:rPr>
        <w:t xml:space="preserve"> </w:t>
      </w:r>
      <w:r w:rsidRPr="00F73470">
        <w:rPr>
          <w:b/>
          <w:i/>
        </w:rPr>
        <w:t>Crown reservations: minerals, water/riparian rights, construction material</w:t>
      </w:r>
      <w:r w:rsidRPr="00F73470">
        <w:rPr>
          <w:b/>
          <w:i/>
          <w:color w:val="800000"/>
        </w:rPr>
        <w:t>, 1/20th of the land for public works with compensation</w:t>
      </w:r>
      <w:r w:rsidRPr="00F73470">
        <w:rPr>
          <w:b/>
          <w:i/>
        </w:rPr>
        <w:t>. (p. 6-4, 6-5).</w:t>
      </w:r>
    </w:p>
    <w:p w:rsidR="00D6719A" w:rsidRDefault="00D6719A" w:rsidP="00D6719A">
      <w:bookmarkStart w:id="21" w:name="_Toc259893822"/>
      <w:bookmarkStart w:id="22" w:name="_Toc227812861"/>
    </w:p>
    <w:p w:rsidR="00D6719A" w:rsidRPr="00D6719A" w:rsidRDefault="00353EE2" w:rsidP="00D6719A">
      <w:pPr>
        <w:rPr>
          <w:b/>
          <w:color w:val="1F497D" w:themeColor="text2"/>
          <w:u w:val="single"/>
        </w:rPr>
      </w:pPr>
      <w:r w:rsidRPr="00D6719A">
        <w:rPr>
          <w:b/>
          <w:color w:val="1F497D" w:themeColor="text2"/>
          <w:u w:val="single"/>
        </w:rPr>
        <w:t>Agricultural Land Commission Act</w:t>
      </w:r>
      <w:bookmarkEnd w:id="21"/>
      <w:r w:rsidRPr="00D6719A">
        <w:rPr>
          <w:b/>
          <w:color w:val="1F497D" w:themeColor="text2"/>
          <w:u w:val="single"/>
        </w:rPr>
        <w:t xml:space="preserve"> </w:t>
      </w:r>
    </w:p>
    <w:p w:rsidR="00F73470" w:rsidRPr="00D6719A" w:rsidRDefault="00F73470" w:rsidP="00D6719A">
      <w:pPr>
        <w:rPr>
          <w:b/>
          <w:u w:val="single"/>
        </w:rPr>
      </w:pPr>
    </w:p>
    <w:p w:rsidR="00353EE2" w:rsidRPr="00F73470" w:rsidRDefault="00F73470" w:rsidP="00D6719A">
      <w:bookmarkStart w:id="23" w:name="_Toc259893823"/>
      <w:r w:rsidRPr="00F73470">
        <w:t>A</w:t>
      </w:r>
      <w:r w:rsidR="00353EE2" w:rsidRPr="00D61BBB">
        <w:t>ll land issued after</w:t>
      </w:r>
      <w:r>
        <w:t xml:space="preserve"> June 29</w:t>
      </w:r>
      <w:r w:rsidR="00353EE2" w:rsidRPr="00D61BBB">
        <w:t xml:space="preserve"> 1973 </w:t>
      </w:r>
      <w:r>
        <w:t xml:space="preserve">is </w:t>
      </w:r>
      <w:r w:rsidR="00353EE2" w:rsidRPr="00D61BBB">
        <w:t xml:space="preserve">subject to </w:t>
      </w:r>
      <w:bookmarkEnd w:id="22"/>
      <w:r>
        <w:t xml:space="preserve">this Act. </w:t>
      </w:r>
      <w:r w:rsidRPr="00F73470">
        <w:t>The Act reserves certain tracts of land which cannot be used for non-farm purposes (i.e., subdivision, removal of soil or placement of fill) [s. 1,16,20,21,28</w:t>
      </w:r>
      <w:r>
        <w:t>]. All land deemed to be agricultural land issued after 1973 must bear an endorsement of being subject to the Act on its title (s 60). All land before 1973</w:t>
      </w:r>
      <w:r w:rsidR="00815E90">
        <w:t xml:space="preserve"> is subject to it by implication and without endorsement.</w:t>
      </w:r>
      <w:bookmarkEnd w:id="23"/>
    </w:p>
    <w:p w:rsidR="00353EE2" w:rsidRPr="00AF6044" w:rsidRDefault="00353EE2" w:rsidP="003B736C">
      <w:pPr>
        <w:pBdr>
          <w:bottom w:val="single" w:sz="12" w:space="1" w:color="auto"/>
        </w:pBdr>
      </w:pPr>
    </w:p>
    <w:p w:rsidR="00353EE2" w:rsidRPr="00AF6044" w:rsidRDefault="00353EE2" w:rsidP="00353EE2">
      <w:pPr>
        <w:rPr>
          <w:bCs/>
          <w:lang w:val="en-US"/>
        </w:rPr>
      </w:pPr>
      <w:bookmarkStart w:id="24" w:name="_Toc227944945"/>
    </w:p>
    <w:p w:rsidR="00E4481B" w:rsidRPr="00AF6044" w:rsidRDefault="00353EE2" w:rsidP="00C04FE8">
      <w:pPr>
        <w:pStyle w:val="Heading2"/>
        <w:rPr>
          <w:lang w:val="en-US"/>
        </w:rPr>
      </w:pPr>
      <w:bookmarkStart w:id="25" w:name="_Toc259911015"/>
      <w:r w:rsidRPr="00AF6044">
        <w:rPr>
          <w:lang w:val="en-US"/>
        </w:rPr>
        <w:t>The General Principle of Indefeasibility</w:t>
      </w:r>
      <w:bookmarkEnd w:id="24"/>
      <w:bookmarkEnd w:id="25"/>
    </w:p>
    <w:p w:rsidR="00E4481B" w:rsidRPr="00AF6044" w:rsidRDefault="00E4481B" w:rsidP="00E4481B">
      <w:pPr>
        <w:rPr>
          <w:bCs/>
          <w:lang w:val="en-US"/>
        </w:rPr>
      </w:pPr>
    </w:p>
    <w:p w:rsidR="00353EE2" w:rsidRPr="00815E90" w:rsidRDefault="00E4481B" w:rsidP="00E4481B">
      <w:pPr>
        <w:rPr>
          <w:bCs/>
          <w:lang w:val="en-CA"/>
        </w:rPr>
      </w:pPr>
      <w:r w:rsidRPr="00815E90">
        <w:rPr>
          <w:b/>
          <w:bCs/>
          <w:color w:val="800000"/>
          <w:lang w:val="en-CA"/>
        </w:rPr>
        <w:t>The registration of title is conclusive evidence at law and in equity of ownership</w:t>
      </w:r>
      <w:r w:rsidRPr="00815E90">
        <w:rPr>
          <w:bCs/>
          <w:lang w:val="en-CA"/>
        </w:rPr>
        <w:t xml:space="preserve"> (</w:t>
      </w:r>
      <w:r w:rsidRPr="00815E90">
        <w:rPr>
          <w:bCs/>
          <w:color w:val="1F497D" w:themeColor="text2"/>
          <w:lang w:val="en-CA"/>
        </w:rPr>
        <w:t>s 23</w:t>
      </w:r>
      <w:r w:rsidRPr="00815E90">
        <w:rPr>
          <w:bCs/>
          <w:lang w:val="en-CA"/>
        </w:rPr>
        <w:t>)</w:t>
      </w:r>
      <w:r w:rsidRPr="00815E90">
        <w:rPr>
          <w:bCs/>
          <w:i/>
          <w:lang w:val="en-CA"/>
        </w:rPr>
        <w:t>.</w:t>
      </w:r>
      <w:r w:rsidRPr="00815E90">
        <w:rPr>
          <w:bCs/>
          <w:lang w:val="en-CA"/>
        </w:rPr>
        <w:t xml:space="preserve"> Allowing investigation the right of a person to appear on the register when he holds a CIT would </w:t>
      </w:r>
      <w:r w:rsidRPr="00815E90">
        <w:rPr>
          <w:b/>
          <w:bCs/>
          <w:color w:val="800000"/>
          <w:lang w:val="en-CA"/>
        </w:rPr>
        <w:t>defeat the purpose of statute of registration</w:t>
      </w:r>
      <w:r w:rsidRPr="00815E90">
        <w:rPr>
          <w:bCs/>
          <w:lang w:val="en-CA"/>
        </w:rPr>
        <w:t xml:space="preserve">. Only way to challenge conclusiveness is through exceptions in </w:t>
      </w:r>
      <w:r w:rsidRPr="00815E90">
        <w:rPr>
          <w:bCs/>
          <w:color w:val="1F497D" w:themeColor="text2"/>
          <w:lang w:val="en-CA"/>
        </w:rPr>
        <w:t>s23</w:t>
      </w:r>
      <w:r w:rsidRPr="00AF6044">
        <w:rPr>
          <w:bCs/>
          <w:lang w:val="en-CA"/>
        </w:rPr>
        <w:t>.</w:t>
      </w:r>
      <w:r w:rsidR="00815E90">
        <w:rPr>
          <w:bCs/>
          <w:lang w:val="en-CA"/>
        </w:rPr>
        <w:t xml:space="preserve"> (</w:t>
      </w:r>
      <w:r w:rsidRPr="00815E90">
        <w:rPr>
          <w:bCs/>
          <w:i/>
          <w:color w:val="1F497D" w:themeColor="text2"/>
          <w:lang w:val="en-CA"/>
        </w:rPr>
        <w:t>Creelman v Hudson Bay</w:t>
      </w:r>
      <w:r w:rsidR="00815E90">
        <w:rPr>
          <w:bCs/>
          <w:lang w:val="en-CA"/>
        </w:rPr>
        <w:t>)</w:t>
      </w:r>
    </w:p>
    <w:p w:rsidR="00353EE2" w:rsidRPr="00AF6044" w:rsidRDefault="00353EE2" w:rsidP="00353EE2">
      <w:pPr>
        <w:pBdr>
          <w:bottom w:val="single" w:sz="12" w:space="1" w:color="auto"/>
        </w:pBdr>
        <w:rPr>
          <w:b/>
          <w:bCs/>
          <w:i/>
          <w:iCs/>
          <w:lang w:val="en-US"/>
        </w:rPr>
      </w:pPr>
      <w:bookmarkStart w:id="26" w:name="_Toc227944946"/>
    </w:p>
    <w:p w:rsidR="00353EE2" w:rsidRPr="002F0D02" w:rsidRDefault="00815E90" w:rsidP="00C04FE8">
      <w:pPr>
        <w:pStyle w:val="Heading3"/>
        <w:rPr>
          <w:b w:val="0"/>
          <w:lang w:val="en-US"/>
        </w:rPr>
      </w:pPr>
      <w:bookmarkStart w:id="27" w:name="_Toc259911016"/>
      <w:r w:rsidRPr="00815E90">
        <w:rPr>
          <w:highlight w:val="yellow"/>
          <w:lang w:val="en-US"/>
        </w:rPr>
        <w:t xml:space="preserve">CREELMAN V. HUDSON BAY INSURANCE CO </w:t>
      </w:r>
      <w:bookmarkEnd w:id="26"/>
      <w:r w:rsidR="002F0D02">
        <w:rPr>
          <w:b w:val="0"/>
          <w:lang w:val="en-US"/>
        </w:rPr>
        <w:t xml:space="preserve"> certificate of title provides indefeasibility</w:t>
      </w:r>
      <w:bookmarkEnd w:id="27"/>
    </w:p>
    <w:p w:rsidR="00815E90" w:rsidRDefault="00815E90" w:rsidP="00353EE2">
      <w:pPr>
        <w:rPr>
          <w:lang w:val="en-US"/>
        </w:rPr>
      </w:pPr>
    </w:p>
    <w:p w:rsidR="00815E90" w:rsidRDefault="00815E90" w:rsidP="00353EE2">
      <w:pPr>
        <w:rPr>
          <w:lang w:val="en-US"/>
        </w:rPr>
      </w:pPr>
      <w:r>
        <w:rPr>
          <w:lang w:val="en-US"/>
        </w:rPr>
        <w:t>FACTS:</w:t>
      </w:r>
    </w:p>
    <w:p w:rsidR="00353EE2" w:rsidRPr="00AF6044" w:rsidRDefault="00353EE2" w:rsidP="00353EE2">
      <w:pPr>
        <w:rPr>
          <w:lang w:val="en-US"/>
        </w:rPr>
      </w:pPr>
    </w:p>
    <w:p w:rsidR="00815E90" w:rsidRDefault="00353EE2" w:rsidP="00815E90">
      <w:pPr>
        <w:rPr>
          <w:lang w:val="en-US"/>
        </w:rPr>
      </w:pPr>
      <w:r w:rsidRPr="00AF6044">
        <w:rPr>
          <w:lang w:val="en-US"/>
        </w:rPr>
        <w:t>Hudson Bay (vendor) brought action for breach of contract of sale against Creelman (purchaser)</w:t>
      </w:r>
      <w:r w:rsidR="00815E90">
        <w:rPr>
          <w:lang w:val="en-US"/>
        </w:rPr>
        <w:t xml:space="preserve">. </w:t>
      </w:r>
    </w:p>
    <w:p w:rsidR="00815E90" w:rsidRDefault="00815E90" w:rsidP="00815E90">
      <w:pPr>
        <w:rPr>
          <w:lang w:val="en-US"/>
        </w:rPr>
      </w:pPr>
    </w:p>
    <w:p w:rsidR="00353EE2" w:rsidRPr="00AF6044" w:rsidRDefault="00353EE2" w:rsidP="00815E90">
      <w:pPr>
        <w:rPr>
          <w:lang w:val="en-US"/>
        </w:rPr>
      </w:pPr>
      <w:r w:rsidRPr="00AF6044">
        <w:rPr>
          <w:lang w:val="en-US"/>
        </w:rPr>
        <w:t xml:space="preserve">Creelman's defence: </w:t>
      </w:r>
      <w:r w:rsidR="00815E90">
        <w:rPr>
          <w:lang w:val="en-US"/>
        </w:rPr>
        <w:t>Under</w:t>
      </w:r>
      <w:r w:rsidRPr="00AF6044">
        <w:rPr>
          <w:lang w:val="en-US"/>
        </w:rPr>
        <w:t xml:space="preserve"> federal </w:t>
      </w:r>
      <w:r w:rsidR="00815E90">
        <w:rPr>
          <w:lang w:val="en-US"/>
        </w:rPr>
        <w:t>statute, Hudson Bay</w:t>
      </w:r>
      <w:r w:rsidRPr="00AF6044">
        <w:rPr>
          <w:lang w:val="en-US"/>
        </w:rPr>
        <w:t xml:space="preserve"> could not acquire or hold real property unless it was required for </w:t>
      </w:r>
      <w:r w:rsidR="00815E90">
        <w:rPr>
          <w:lang w:val="en-US"/>
        </w:rPr>
        <w:t xml:space="preserve">the </w:t>
      </w:r>
      <w:r w:rsidRPr="00AF6044">
        <w:rPr>
          <w:lang w:val="en-US"/>
        </w:rPr>
        <w:t>purposes, use or occu</w:t>
      </w:r>
      <w:r w:rsidR="00815E90">
        <w:rPr>
          <w:lang w:val="en-US"/>
        </w:rPr>
        <w:t>pation of that company; since Hudson Bay</w:t>
      </w:r>
      <w:r w:rsidRPr="00AF6044">
        <w:rPr>
          <w:lang w:val="en-US"/>
        </w:rPr>
        <w:t xml:space="preserve"> did not acquire land under these requirements, it had no power to hold or dispose of land</w:t>
      </w:r>
      <w:r w:rsidR="00815E90">
        <w:rPr>
          <w:lang w:val="en-US"/>
        </w:rPr>
        <w:t>. Trial judge found for Hudson Bay, Creelman appealed.</w:t>
      </w:r>
    </w:p>
    <w:p w:rsidR="00815E90" w:rsidRDefault="00815E90" w:rsidP="00353EE2">
      <w:pPr>
        <w:rPr>
          <w:lang w:val="en-US"/>
        </w:rPr>
      </w:pPr>
    </w:p>
    <w:p w:rsidR="00815E90" w:rsidRDefault="00815E90" w:rsidP="00353EE2">
      <w:pPr>
        <w:rPr>
          <w:lang w:val="en-US"/>
        </w:rPr>
      </w:pPr>
      <w:r>
        <w:rPr>
          <w:lang w:val="en-US"/>
        </w:rPr>
        <w:t>HELD:</w:t>
      </w:r>
    </w:p>
    <w:p w:rsidR="00815E90" w:rsidRDefault="00815E90" w:rsidP="00353EE2">
      <w:pPr>
        <w:rPr>
          <w:lang w:val="en-US"/>
        </w:rPr>
      </w:pPr>
    </w:p>
    <w:p w:rsidR="00815E90" w:rsidRPr="00AF6044" w:rsidRDefault="00815E90" w:rsidP="00815E90">
      <w:pPr>
        <w:rPr>
          <w:lang w:val="en-US"/>
        </w:rPr>
      </w:pPr>
      <w:r>
        <w:rPr>
          <w:lang w:val="en-US"/>
        </w:rPr>
        <w:t xml:space="preserve">Appeal dismissed. </w:t>
      </w:r>
      <w:r w:rsidRPr="00AF6044">
        <w:rPr>
          <w:lang w:val="en-US"/>
        </w:rPr>
        <w:t>Creelman bound to accept certificate and comply with all their obligations under the contract</w:t>
      </w:r>
    </w:p>
    <w:p w:rsidR="00815E90" w:rsidRDefault="00815E90" w:rsidP="00353EE2">
      <w:pPr>
        <w:rPr>
          <w:lang w:val="en-US"/>
        </w:rPr>
      </w:pPr>
    </w:p>
    <w:p w:rsidR="00815E90" w:rsidRDefault="00815E90" w:rsidP="00353EE2">
      <w:pPr>
        <w:rPr>
          <w:lang w:val="en-US"/>
        </w:rPr>
      </w:pPr>
    </w:p>
    <w:p w:rsidR="00815E90" w:rsidRDefault="00815E90" w:rsidP="00353EE2">
      <w:pPr>
        <w:rPr>
          <w:lang w:val="en-US"/>
        </w:rPr>
      </w:pPr>
      <w:r>
        <w:rPr>
          <w:lang w:val="en-US"/>
        </w:rPr>
        <w:t>RATIO:</w:t>
      </w:r>
    </w:p>
    <w:p w:rsidR="00353EE2" w:rsidRPr="00AF6044" w:rsidRDefault="00353EE2" w:rsidP="00353EE2">
      <w:pPr>
        <w:rPr>
          <w:lang w:val="en-US"/>
        </w:rPr>
      </w:pPr>
    </w:p>
    <w:p w:rsidR="00815E90" w:rsidRDefault="00353EE2" w:rsidP="00815E90">
      <w:pPr>
        <w:rPr>
          <w:lang w:val="en-US"/>
        </w:rPr>
      </w:pPr>
      <w:r w:rsidRPr="00AF6044">
        <w:rPr>
          <w:lang w:val="en-US"/>
        </w:rPr>
        <w:t>"Certificate [of title] which, while it remains unaltered or unchallenged upon the register, is one which every purchaser is bound to accept"</w:t>
      </w:r>
    </w:p>
    <w:p w:rsidR="00353EE2" w:rsidRPr="00AF6044" w:rsidRDefault="00353EE2" w:rsidP="00815E90">
      <w:pPr>
        <w:rPr>
          <w:lang w:val="en-US"/>
        </w:rPr>
      </w:pPr>
    </w:p>
    <w:p w:rsidR="00815E90" w:rsidRDefault="00353EE2" w:rsidP="00815E90">
      <w:pPr>
        <w:rPr>
          <w:lang w:val="en-US"/>
        </w:rPr>
      </w:pPr>
      <w:r w:rsidRPr="00AF6044">
        <w:rPr>
          <w:lang w:val="en-US"/>
        </w:rPr>
        <w:t>To claim otherwise would "defeat the very purpose and object of the statute of registration"</w:t>
      </w:r>
    </w:p>
    <w:p w:rsidR="00E4481B" w:rsidRPr="00AF6044" w:rsidRDefault="00E4481B" w:rsidP="00353EE2">
      <w:pPr>
        <w:pBdr>
          <w:bottom w:val="single" w:sz="12" w:space="1" w:color="auto"/>
        </w:pBdr>
        <w:rPr>
          <w:lang w:val="en-US"/>
        </w:rPr>
      </w:pPr>
    </w:p>
    <w:p w:rsidR="00353EE2" w:rsidRPr="00AF6044" w:rsidRDefault="00353EE2" w:rsidP="00353EE2">
      <w:pPr>
        <w:rPr>
          <w:lang w:val="en-US"/>
        </w:rPr>
      </w:pPr>
    </w:p>
    <w:p w:rsidR="00E4481B" w:rsidRPr="00AF6044" w:rsidRDefault="00E4481B" w:rsidP="003B736C"/>
    <w:p w:rsidR="00E4481B" w:rsidRPr="00815E90" w:rsidRDefault="00E4481B" w:rsidP="00C04FE8">
      <w:pPr>
        <w:pStyle w:val="Heading2"/>
      </w:pPr>
      <w:bookmarkStart w:id="28" w:name="_Toc259911017"/>
      <w:r w:rsidRPr="00815E90">
        <w:t>Indefeasibility and Adverse Possession</w:t>
      </w:r>
      <w:bookmarkEnd w:id="28"/>
    </w:p>
    <w:p w:rsidR="00E4481B" w:rsidRPr="00AF6044" w:rsidRDefault="00E4481B" w:rsidP="00E4481B">
      <w:pPr>
        <w:rPr>
          <w:b/>
          <w:u w:val="single"/>
        </w:rPr>
      </w:pPr>
    </w:p>
    <w:p w:rsidR="00BC05E5" w:rsidRPr="00AF6044" w:rsidRDefault="00BC05E5" w:rsidP="00BC05E5">
      <w:pPr>
        <w:rPr>
          <w:lang w:val="en-US"/>
        </w:rPr>
      </w:pPr>
      <w:r w:rsidRPr="00AF6044">
        <w:rPr>
          <w:lang w:val="en-US"/>
        </w:rPr>
        <w:t>Title by adverse possession ("squatter's title") – pre 1970s</w:t>
      </w:r>
    </w:p>
    <w:p w:rsidR="00EB1CCB" w:rsidRDefault="00BC05E5" w:rsidP="00BC05E5">
      <w:pPr>
        <w:numPr>
          <w:ilvl w:val="0"/>
          <w:numId w:val="4"/>
        </w:numPr>
        <w:rPr>
          <w:lang w:val="en-US"/>
        </w:rPr>
      </w:pPr>
      <w:r w:rsidRPr="00AF6044">
        <w:rPr>
          <w:lang w:val="en-US"/>
        </w:rPr>
        <w:t>Basis: if land owner did not bring action to recover possession of unregistered land from occupier within a specified period of time defined by statute, the right to do so was lost</w:t>
      </w:r>
    </w:p>
    <w:p w:rsidR="00BC05E5" w:rsidRPr="00AF6044" w:rsidRDefault="00EB1CCB" w:rsidP="00BC05E5">
      <w:pPr>
        <w:numPr>
          <w:ilvl w:val="0"/>
          <w:numId w:val="4"/>
        </w:numPr>
        <w:rPr>
          <w:lang w:val="en-US"/>
        </w:rPr>
      </w:pPr>
      <w:r>
        <w:rPr>
          <w:lang w:val="en-US"/>
        </w:rPr>
        <w:t>Adverse possession had to be: hostile, actual, continuous, exclusive, open and notorious</w:t>
      </w:r>
    </w:p>
    <w:p w:rsidR="00BC05E5" w:rsidRPr="00AF6044" w:rsidRDefault="00BC05E5" w:rsidP="00BC05E5">
      <w:pPr>
        <w:numPr>
          <w:ilvl w:val="0"/>
          <w:numId w:val="4"/>
        </w:numPr>
        <w:rPr>
          <w:lang w:val="en-US"/>
        </w:rPr>
      </w:pPr>
      <w:r w:rsidRPr="00AF6044">
        <w:rPr>
          <w:lang w:val="en-US"/>
        </w:rPr>
        <w:t>Allowed for efficient allocation of land resources</w:t>
      </w:r>
    </w:p>
    <w:p w:rsidR="00BC05E5" w:rsidRPr="00AF6044" w:rsidRDefault="00BC05E5" w:rsidP="00BC05E5">
      <w:pPr>
        <w:numPr>
          <w:ilvl w:val="0"/>
          <w:numId w:val="4"/>
        </w:numPr>
        <w:rPr>
          <w:lang w:val="en-US"/>
        </w:rPr>
      </w:pPr>
      <w:r w:rsidRPr="00AF6044">
        <w:rPr>
          <w:lang w:val="en-US"/>
        </w:rPr>
        <w:t>Wrongful occupier would thereafter hav</w:t>
      </w:r>
      <w:r w:rsidR="00815E90">
        <w:rPr>
          <w:lang w:val="en-US"/>
        </w:rPr>
        <w:t>e possessory title, which the Court</w:t>
      </w:r>
      <w:r w:rsidRPr="00AF6044">
        <w:rPr>
          <w:lang w:val="en-US"/>
        </w:rPr>
        <w:t xml:space="preserve"> protected</w:t>
      </w:r>
    </w:p>
    <w:p w:rsidR="00BC05E5" w:rsidRPr="00AF6044" w:rsidRDefault="00BC05E5" w:rsidP="00BC05E5">
      <w:pPr>
        <w:numPr>
          <w:ilvl w:val="0"/>
          <w:numId w:val="4"/>
        </w:numPr>
        <w:rPr>
          <w:lang w:val="en-US"/>
        </w:rPr>
      </w:pPr>
      <w:r w:rsidRPr="00815E90">
        <w:rPr>
          <w:i/>
          <w:color w:val="1F497D" w:themeColor="text2"/>
          <w:lang w:val="en-US"/>
        </w:rPr>
        <w:t>Statute of Limitations</w:t>
      </w:r>
      <w:r w:rsidRPr="00AF6044">
        <w:rPr>
          <w:lang w:val="en-US"/>
        </w:rPr>
        <w:t>: had to bring action against private individual within 20 years, against Crown within 60 years</w:t>
      </w:r>
    </w:p>
    <w:p w:rsidR="00BC05E5" w:rsidRPr="00AF6044" w:rsidRDefault="00BC05E5" w:rsidP="00BC05E5">
      <w:pPr>
        <w:numPr>
          <w:ilvl w:val="0"/>
          <w:numId w:val="4"/>
        </w:numPr>
        <w:rPr>
          <w:lang w:val="en-US"/>
        </w:rPr>
      </w:pPr>
      <w:r w:rsidRPr="00AF6044">
        <w:rPr>
          <w:lang w:val="en-US"/>
        </w:rPr>
        <w:t xml:space="preserve">Provisions applied to unregistered land only; </w:t>
      </w:r>
      <w:r w:rsidRPr="00AF6044">
        <w:rPr>
          <w:u w:val="single"/>
          <w:lang w:val="en-US"/>
        </w:rPr>
        <w:t>title cannot be acquired by adverse possession against registered land</w:t>
      </w:r>
    </w:p>
    <w:p w:rsidR="00BC05E5" w:rsidRPr="00AF6044" w:rsidRDefault="00BC05E5" w:rsidP="00BC05E5">
      <w:pPr>
        <w:rPr>
          <w:u w:val="single"/>
          <w:lang w:val="en-US"/>
        </w:rPr>
      </w:pPr>
    </w:p>
    <w:p w:rsidR="00BC05E5" w:rsidRPr="00AF6044" w:rsidRDefault="00BC05E5" w:rsidP="00BC05E5">
      <w:pPr>
        <w:rPr>
          <w:lang w:val="en-US"/>
        </w:rPr>
      </w:pPr>
      <w:r w:rsidRPr="00AF6044">
        <w:rPr>
          <w:lang w:val="en-US"/>
        </w:rPr>
        <w:t>Adverse possession – post 1970s</w:t>
      </w:r>
    </w:p>
    <w:p w:rsidR="00BC05E5" w:rsidRPr="00AF6044" w:rsidRDefault="00BC05E5" w:rsidP="00BC05E5">
      <w:pPr>
        <w:numPr>
          <w:ilvl w:val="0"/>
          <w:numId w:val="5"/>
        </w:numPr>
        <w:rPr>
          <w:lang w:val="en-US"/>
        </w:rPr>
      </w:pPr>
      <w:r w:rsidRPr="00AF6044">
        <w:rPr>
          <w:lang w:val="en-US"/>
        </w:rPr>
        <w:t>Doctrine largely eliminated, with saving clause for rights acquired before 1975</w:t>
      </w:r>
      <w:r w:rsidR="00EB1CCB">
        <w:rPr>
          <w:lang w:val="en-US"/>
        </w:rPr>
        <w:t>, and for adverse possession against the first owner</w:t>
      </w:r>
    </w:p>
    <w:p w:rsidR="00BC05E5" w:rsidRPr="00AF6044" w:rsidRDefault="00BC05E5" w:rsidP="00BC05E5">
      <w:pPr>
        <w:numPr>
          <w:ilvl w:val="0"/>
          <w:numId w:val="5"/>
        </w:numPr>
        <w:rPr>
          <w:lang w:val="en-US"/>
        </w:rPr>
      </w:pPr>
      <w:r w:rsidRPr="00AF6044">
        <w:rPr>
          <w:lang w:val="en-US"/>
        </w:rPr>
        <w:t>No claim in adverse possession against Crown land</w:t>
      </w:r>
    </w:p>
    <w:p w:rsidR="00EB1CCB" w:rsidRDefault="00BC05E5" w:rsidP="00BC05E5">
      <w:pPr>
        <w:numPr>
          <w:ilvl w:val="0"/>
          <w:numId w:val="5"/>
        </w:numPr>
        <w:rPr>
          <w:lang w:val="en-US"/>
        </w:rPr>
      </w:pPr>
      <w:r w:rsidRPr="00AF6044">
        <w:rPr>
          <w:lang w:val="en-US"/>
        </w:rPr>
        <w:t xml:space="preserve">Recent example: </w:t>
      </w:r>
      <w:r w:rsidRPr="00815E90">
        <w:rPr>
          <w:i/>
          <w:color w:val="1F497D" w:themeColor="text2"/>
          <w:lang w:val="en-US"/>
        </w:rPr>
        <w:t>Re Land Title Inquiry and CPR</w:t>
      </w:r>
      <w:r w:rsidRPr="00AF6044">
        <w:rPr>
          <w:i/>
          <w:lang w:val="en-US"/>
        </w:rPr>
        <w:t xml:space="preserve"> (2002 BCSC)</w:t>
      </w:r>
      <w:r w:rsidRPr="00AF6044">
        <w:rPr>
          <w:lang w:val="en-US"/>
        </w:rPr>
        <w:t xml:space="preserve"> – CPR succeeded in claim; ownership not clear (i.e. whether Crown or private land); Crown did not even appeal</w:t>
      </w:r>
    </w:p>
    <w:p w:rsidR="00BC05E5" w:rsidRPr="00AF6044" w:rsidRDefault="00BC05E5" w:rsidP="00BC05E5">
      <w:pPr>
        <w:rPr>
          <w:lang w:val="en-US"/>
        </w:rPr>
      </w:pPr>
    </w:p>
    <w:p w:rsidR="00BC05E5" w:rsidRPr="00AF6044" w:rsidRDefault="00BC05E5" w:rsidP="00BC05E5">
      <w:pPr>
        <w:rPr>
          <w:lang w:val="en-US"/>
        </w:rPr>
      </w:pPr>
      <w:r w:rsidRPr="00AF6044">
        <w:rPr>
          <w:lang w:val="en-US"/>
        </w:rPr>
        <w:t>Other points</w:t>
      </w:r>
    </w:p>
    <w:p w:rsidR="00BC05E5" w:rsidRPr="00AF6044" w:rsidRDefault="00BC05E5" w:rsidP="00BC05E5">
      <w:pPr>
        <w:numPr>
          <w:ilvl w:val="0"/>
          <w:numId w:val="6"/>
        </w:numPr>
        <w:rPr>
          <w:lang w:val="en-US"/>
        </w:rPr>
      </w:pPr>
      <w:r w:rsidRPr="00AF6044">
        <w:rPr>
          <w:lang w:val="en-US"/>
        </w:rPr>
        <w:t xml:space="preserve">General qualification in </w:t>
      </w:r>
      <w:r w:rsidR="00815E90">
        <w:rPr>
          <w:color w:val="1F497D" w:themeColor="text2"/>
          <w:lang w:val="en-US"/>
        </w:rPr>
        <w:t>s. 2(a), (</w:t>
      </w:r>
      <w:r w:rsidRPr="00815E90">
        <w:rPr>
          <w:color w:val="1F497D" w:themeColor="text2"/>
          <w:lang w:val="en-US"/>
        </w:rPr>
        <w:t xml:space="preserve">b) </w:t>
      </w:r>
      <w:r w:rsidRPr="00AF6044">
        <w:rPr>
          <w:lang w:val="en-US"/>
        </w:rPr>
        <w:t xml:space="preserve">of </w:t>
      </w:r>
      <w:r w:rsidRPr="00815E90">
        <w:rPr>
          <w:i/>
          <w:color w:val="1F497D" w:themeColor="text2"/>
          <w:lang w:val="en-US"/>
        </w:rPr>
        <w:t>Limitation Act</w:t>
      </w:r>
      <w:r w:rsidR="00815E90">
        <w:rPr>
          <w:lang w:val="en-US"/>
        </w:rPr>
        <w:t xml:space="preserve"> preserves right of Court</w:t>
      </w:r>
      <w:r w:rsidRPr="00AF6044">
        <w:rPr>
          <w:lang w:val="en-US"/>
        </w:rPr>
        <w:t xml:space="preserve"> to apply equitable doctrines</w:t>
      </w:r>
    </w:p>
    <w:p w:rsidR="00BC05E5" w:rsidRPr="00AF6044" w:rsidRDefault="00BC05E5" w:rsidP="00BC05E5">
      <w:pPr>
        <w:numPr>
          <w:ilvl w:val="1"/>
          <w:numId w:val="5"/>
        </w:numPr>
        <w:rPr>
          <w:lang w:val="en-US"/>
        </w:rPr>
      </w:pPr>
      <w:r w:rsidRPr="00815E90">
        <w:rPr>
          <w:b/>
          <w:color w:val="800000"/>
          <w:lang w:val="en-US"/>
        </w:rPr>
        <w:t>Doctrine of acquiescence</w:t>
      </w:r>
      <w:r w:rsidRPr="00AF6044">
        <w:rPr>
          <w:lang w:val="en-US"/>
        </w:rPr>
        <w:t xml:space="preserve"> – true owner makes it seem like he will not insist on his true rights </w:t>
      </w:r>
    </w:p>
    <w:p w:rsidR="00BC05E5" w:rsidRPr="00AF6044" w:rsidRDefault="00BC05E5" w:rsidP="00BC05E5">
      <w:pPr>
        <w:numPr>
          <w:ilvl w:val="1"/>
          <w:numId w:val="5"/>
        </w:numPr>
        <w:rPr>
          <w:lang w:val="en-US"/>
        </w:rPr>
      </w:pPr>
      <w:r w:rsidRPr="00815E90">
        <w:rPr>
          <w:b/>
          <w:color w:val="800000"/>
          <w:lang w:val="en-US"/>
        </w:rPr>
        <w:t>Doctrine of inexcusable delay ("laches")</w:t>
      </w:r>
      <w:r w:rsidRPr="00AF6044">
        <w:rPr>
          <w:lang w:val="en-US"/>
        </w:rPr>
        <w:t xml:space="preserve"> – </w:t>
      </w:r>
      <w:r w:rsidR="00815E90">
        <w:rPr>
          <w:lang w:val="en-US"/>
        </w:rPr>
        <w:t>true owner does not attempt to retain his interest in time</w:t>
      </w:r>
    </w:p>
    <w:p w:rsidR="00BC05E5" w:rsidRPr="00AF6044" w:rsidRDefault="00BC05E5" w:rsidP="00BC05E5">
      <w:pPr>
        <w:rPr>
          <w:lang w:val="en-US"/>
        </w:rPr>
      </w:pPr>
    </w:p>
    <w:p w:rsidR="00BC05E5" w:rsidRPr="00AF6044" w:rsidRDefault="00BC05E5" w:rsidP="00BC05E5">
      <w:pPr>
        <w:numPr>
          <w:ilvl w:val="0"/>
          <w:numId w:val="5"/>
        </w:numPr>
        <w:rPr>
          <w:lang w:val="en-US"/>
        </w:rPr>
      </w:pPr>
      <w:r w:rsidRPr="00815E90">
        <w:rPr>
          <w:color w:val="1F497D" w:themeColor="text2"/>
          <w:lang w:val="en-US"/>
        </w:rPr>
        <w:t>s. 36</w:t>
      </w:r>
      <w:r w:rsidRPr="00AF6044">
        <w:rPr>
          <w:lang w:val="en-US"/>
        </w:rPr>
        <w:t xml:space="preserve"> of Act addresses specific concerns </w:t>
      </w:r>
      <w:r w:rsidRPr="00815E90">
        <w:rPr>
          <w:b/>
          <w:color w:val="800000"/>
          <w:lang w:val="en-US"/>
        </w:rPr>
        <w:t>regarding encroachment or enclosure</w:t>
      </w:r>
    </w:p>
    <w:p w:rsidR="00BC05E5" w:rsidRPr="00AF6044" w:rsidRDefault="00BC05E5" w:rsidP="00BC05E5">
      <w:pPr>
        <w:numPr>
          <w:ilvl w:val="1"/>
          <w:numId w:val="5"/>
        </w:numPr>
        <w:rPr>
          <w:lang w:val="en-US"/>
        </w:rPr>
      </w:pPr>
      <w:r w:rsidRPr="00AF6044">
        <w:rPr>
          <w:lang w:val="en-US"/>
        </w:rPr>
        <w:t>C</w:t>
      </w:r>
      <w:r w:rsidR="00815E90">
        <w:rPr>
          <w:lang w:val="en-US"/>
        </w:rPr>
        <w:t>our</w:t>
      </w:r>
      <w:r w:rsidRPr="00AF6044">
        <w:rPr>
          <w:lang w:val="en-US"/>
        </w:rPr>
        <w:t>t may, on its discretion</w:t>
      </w:r>
      <w:r w:rsidR="00815E90">
        <w:rPr>
          <w:lang w:val="en-US"/>
        </w:rPr>
        <w:t xml:space="preserve"> (</w:t>
      </w:r>
      <w:r w:rsidR="00A149E7">
        <w:rPr>
          <w:i/>
          <w:color w:val="1F497D" w:themeColor="text2"/>
          <w:lang w:val="en-US"/>
        </w:rPr>
        <w:t>Kelsen</w:t>
      </w:r>
      <w:r w:rsidR="00815E90">
        <w:rPr>
          <w:lang w:val="en-US"/>
        </w:rPr>
        <w:t>)</w:t>
      </w:r>
      <w:r w:rsidRPr="00AF6044">
        <w:rPr>
          <w:lang w:val="en-US"/>
        </w:rPr>
        <w:t xml:space="preserve">: </w:t>
      </w:r>
    </w:p>
    <w:p w:rsidR="00BC05E5" w:rsidRPr="00AF6044" w:rsidRDefault="00BC05E5" w:rsidP="00BC05E5">
      <w:pPr>
        <w:numPr>
          <w:ilvl w:val="2"/>
          <w:numId w:val="5"/>
        </w:numPr>
        <w:rPr>
          <w:lang w:val="en-US"/>
        </w:rPr>
      </w:pPr>
      <w:r w:rsidRPr="00AF6044">
        <w:rPr>
          <w:lang w:val="en-US"/>
        </w:rPr>
        <w:t xml:space="preserve">1) </w:t>
      </w:r>
      <w:r w:rsidRPr="00AF6044">
        <w:rPr>
          <w:i/>
          <w:color w:val="800000"/>
          <w:lang w:val="en-US"/>
        </w:rPr>
        <w:t>grant an easemen</w:t>
      </w:r>
      <w:r w:rsidRPr="00AF6044">
        <w:rPr>
          <w:i/>
          <w:lang w:val="en-US"/>
        </w:rPr>
        <w:t>t</w:t>
      </w:r>
      <w:r w:rsidRPr="00AF6044">
        <w:rPr>
          <w:lang w:val="en-US"/>
        </w:rPr>
        <w:t xml:space="preserve"> (with compensation),</w:t>
      </w:r>
    </w:p>
    <w:p w:rsidR="00BC05E5" w:rsidRPr="00AF6044" w:rsidRDefault="00BC05E5" w:rsidP="00BC05E5">
      <w:pPr>
        <w:numPr>
          <w:ilvl w:val="2"/>
          <w:numId w:val="5"/>
        </w:numPr>
        <w:rPr>
          <w:lang w:val="en-US"/>
        </w:rPr>
      </w:pPr>
      <w:r w:rsidRPr="00AF6044">
        <w:rPr>
          <w:lang w:val="en-US"/>
        </w:rPr>
        <w:t>2</w:t>
      </w:r>
      <w:r w:rsidRPr="00AF6044">
        <w:rPr>
          <w:color w:val="800000"/>
          <w:lang w:val="en-US"/>
        </w:rPr>
        <w:t xml:space="preserve">) </w:t>
      </w:r>
      <w:r w:rsidRPr="00AF6044">
        <w:rPr>
          <w:i/>
          <w:color w:val="800000"/>
          <w:lang w:val="en-US"/>
        </w:rPr>
        <w:t>vest title</w:t>
      </w:r>
      <w:r w:rsidRPr="00AF6044">
        <w:rPr>
          <w:lang w:val="en-US"/>
        </w:rPr>
        <w:t xml:space="preserve"> (with compensation), </w:t>
      </w:r>
    </w:p>
    <w:p w:rsidR="00BC05E5" w:rsidRPr="00AF6044" w:rsidRDefault="00BC05E5" w:rsidP="00BC05E5">
      <w:pPr>
        <w:numPr>
          <w:ilvl w:val="2"/>
          <w:numId w:val="5"/>
        </w:numPr>
        <w:rPr>
          <w:lang w:val="en-US"/>
        </w:rPr>
      </w:pPr>
      <w:r w:rsidRPr="00AF6044">
        <w:rPr>
          <w:lang w:val="en-US"/>
        </w:rPr>
        <w:t xml:space="preserve">3) </w:t>
      </w:r>
      <w:r w:rsidRPr="00AF6044">
        <w:rPr>
          <w:i/>
          <w:color w:val="800000"/>
          <w:lang w:val="en-US"/>
        </w:rPr>
        <w:t>require removal</w:t>
      </w:r>
      <w:r w:rsidRPr="00AF6044">
        <w:rPr>
          <w:i/>
          <w:lang w:val="en-US"/>
        </w:rPr>
        <w:t xml:space="preserve"> </w:t>
      </w:r>
      <w:r w:rsidRPr="00AF6044">
        <w:rPr>
          <w:lang w:val="en-US"/>
        </w:rPr>
        <w:t>(injunction against encroaching party)</w:t>
      </w:r>
    </w:p>
    <w:p w:rsidR="00BC05E5" w:rsidRPr="00AF6044" w:rsidRDefault="00BC05E5" w:rsidP="00BC05E5">
      <w:pPr>
        <w:numPr>
          <w:ilvl w:val="1"/>
          <w:numId w:val="5"/>
        </w:numPr>
        <w:rPr>
          <w:lang w:val="en-US"/>
        </w:rPr>
      </w:pPr>
      <w:r w:rsidRPr="00AF6044">
        <w:rPr>
          <w:lang w:val="en-US"/>
        </w:rPr>
        <w:t xml:space="preserve">Case law indicates that </w:t>
      </w:r>
      <w:r w:rsidRPr="00A149E7">
        <w:rPr>
          <w:color w:val="1F497D" w:themeColor="text2"/>
          <w:lang w:val="en-US"/>
        </w:rPr>
        <w:t xml:space="preserve">s. 36 </w:t>
      </w:r>
      <w:r w:rsidRPr="00AF6044">
        <w:rPr>
          <w:lang w:val="en-US"/>
        </w:rPr>
        <w:t xml:space="preserve">requires </w:t>
      </w:r>
      <w:r w:rsidR="00A149E7">
        <w:rPr>
          <w:lang w:val="en-US"/>
        </w:rPr>
        <w:t>the Court</w:t>
      </w:r>
      <w:r w:rsidRPr="00AF6044">
        <w:rPr>
          <w:lang w:val="en-US"/>
        </w:rPr>
        <w:t xml:space="preserve"> to take a </w:t>
      </w:r>
      <w:r w:rsidRPr="00A149E7">
        <w:rPr>
          <w:color w:val="800000"/>
          <w:lang w:val="en-US"/>
        </w:rPr>
        <w:t>broad, equitable approach to disputes</w:t>
      </w:r>
      <w:r w:rsidRPr="00AF6044">
        <w:rPr>
          <w:lang w:val="en-US"/>
        </w:rPr>
        <w:t xml:space="preserve"> ("determining a balance of convenience between the parties")</w:t>
      </w:r>
    </w:p>
    <w:p w:rsidR="00BC05E5" w:rsidRPr="00AF6044" w:rsidRDefault="00BC05E5" w:rsidP="00BC05E5">
      <w:pPr>
        <w:numPr>
          <w:ilvl w:val="1"/>
          <w:numId w:val="5"/>
        </w:numPr>
        <w:rPr>
          <w:lang w:val="en-US"/>
        </w:rPr>
      </w:pPr>
      <w:r w:rsidRPr="00AF6044">
        <w:rPr>
          <w:lang w:val="en-US"/>
        </w:rPr>
        <w:t xml:space="preserve">Equitable doctrine of </w:t>
      </w:r>
      <w:r w:rsidRPr="00AF6044">
        <w:rPr>
          <w:i/>
          <w:color w:val="800000"/>
          <w:lang w:val="en-US"/>
        </w:rPr>
        <w:t>acquiescence</w:t>
      </w:r>
      <w:r w:rsidRPr="00AF6044">
        <w:rPr>
          <w:lang w:val="en-US"/>
        </w:rPr>
        <w:t xml:space="preserve"> or </w:t>
      </w:r>
      <w:r w:rsidRPr="00AF6044">
        <w:rPr>
          <w:i/>
          <w:color w:val="800000"/>
          <w:lang w:val="en-US"/>
        </w:rPr>
        <w:t>proprietary estoppel</w:t>
      </w:r>
      <w:r w:rsidRPr="00AF6044">
        <w:rPr>
          <w:lang w:val="en-US"/>
        </w:rPr>
        <w:t xml:space="preserve"> is relevant.</w:t>
      </w:r>
    </w:p>
    <w:p w:rsidR="00BC05E5" w:rsidRPr="00AF6044" w:rsidRDefault="00BC05E5" w:rsidP="00E4481B">
      <w:pPr>
        <w:rPr>
          <w:b/>
          <w:sz w:val="26"/>
          <w:u w:val="single"/>
        </w:rPr>
      </w:pPr>
    </w:p>
    <w:p w:rsidR="00BC05E5" w:rsidRPr="00815E90" w:rsidRDefault="00BC05E5" w:rsidP="00C04FE8">
      <w:pPr>
        <w:pStyle w:val="Heading2"/>
      </w:pPr>
      <w:bookmarkStart w:id="29" w:name="_Toc259911018"/>
      <w:r w:rsidRPr="00815E90">
        <w:t>Statutory Exceptions to Indefeasibility</w:t>
      </w:r>
      <w:bookmarkEnd w:id="29"/>
    </w:p>
    <w:p w:rsidR="00BC05E5" w:rsidRPr="00AF6044" w:rsidRDefault="00BC05E5" w:rsidP="00BC05E5"/>
    <w:p w:rsidR="00326D0A" w:rsidRPr="00AF6044" w:rsidRDefault="00326D0A" w:rsidP="00815E90">
      <w:pPr>
        <w:rPr>
          <w:lang w:val="en-US"/>
        </w:rPr>
      </w:pPr>
      <w:r w:rsidRPr="00AF6044">
        <w:rPr>
          <w:lang w:val="en-US"/>
        </w:rPr>
        <w:t xml:space="preserve">Exceptions set out in </w:t>
      </w:r>
      <w:r w:rsidRPr="00A149E7">
        <w:rPr>
          <w:color w:val="1F497D" w:themeColor="text2"/>
          <w:lang w:val="en-US"/>
        </w:rPr>
        <w:t>s. 23(2)</w:t>
      </w:r>
      <w:r w:rsidRPr="00AF6044">
        <w:rPr>
          <w:lang w:val="en-US"/>
        </w:rPr>
        <w:t xml:space="preserve">; can be divided into </w:t>
      </w:r>
      <w:r w:rsidRPr="00815E90">
        <w:rPr>
          <w:b/>
          <w:color w:val="800000"/>
          <w:lang w:val="en-US"/>
        </w:rPr>
        <w:t>three categories</w:t>
      </w:r>
    </w:p>
    <w:p w:rsidR="00326D0A" w:rsidRPr="00815E90" w:rsidRDefault="00326D0A" w:rsidP="00815E90">
      <w:pPr>
        <w:pStyle w:val="NoteLevel1"/>
        <w:numPr>
          <w:ilvl w:val="0"/>
          <w:numId w:val="41"/>
        </w:numPr>
        <w:rPr>
          <w:rFonts w:ascii="Baskerville Old Face" w:hAnsi="Baskerville Old Face"/>
          <w:lang w:val="en-US"/>
        </w:rPr>
      </w:pPr>
      <w:r w:rsidRPr="00815E90">
        <w:rPr>
          <w:rFonts w:ascii="Baskerville Old Face" w:hAnsi="Baskerville Old Face"/>
          <w:lang w:val="en-US"/>
        </w:rPr>
        <w:t>Reservations in Crown grants</w:t>
      </w:r>
    </w:p>
    <w:p w:rsidR="00326D0A" w:rsidRPr="00815E90" w:rsidRDefault="00326D0A" w:rsidP="00815E90">
      <w:pPr>
        <w:pStyle w:val="NoteLevel1"/>
        <w:numPr>
          <w:ilvl w:val="0"/>
          <w:numId w:val="41"/>
        </w:numPr>
        <w:rPr>
          <w:rFonts w:ascii="Baskerville Old Face" w:hAnsi="Baskerville Old Face"/>
          <w:lang w:val="en-US"/>
        </w:rPr>
      </w:pPr>
      <w:r w:rsidRPr="00815E90">
        <w:rPr>
          <w:rFonts w:ascii="Baskerville Old Face" w:hAnsi="Baskerville Old Face"/>
          <w:lang w:val="en-US"/>
        </w:rPr>
        <w:t>Public rights e.g. taxes, right to expropriate</w:t>
      </w:r>
    </w:p>
    <w:p w:rsidR="00326D0A" w:rsidRPr="00815E90" w:rsidRDefault="00326D0A" w:rsidP="00815E90">
      <w:pPr>
        <w:pStyle w:val="NoteLevel1"/>
        <w:numPr>
          <w:ilvl w:val="0"/>
          <w:numId w:val="41"/>
        </w:numPr>
        <w:rPr>
          <w:rFonts w:ascii="Baskerville Old Face" w:hAnsi="Baskerville Old Face"/>
          <w:lang w:val="en-US"/>
        </w:rPr>
      </w:pPr>
      <w:r w:rsidRPr="00815E90">
        <w:rPr>
          <w:rFonts w:ascii="Baskerville Old Face" w:hAnsi="Baskerville Old Face"/>
          <w:lang w:val="en-US"/>
        </w:rPr>
        <w:t>Restrictions operating in favor of private individuals (the focus of this section)</w:t>
      </w:r>
    </w:p>
    <w:p w:rsidR="00326D0A" w:rsidRPr="00AF6044" w:rsidRDefault="00326D0A" w:rsidP="00326D0A">
      <w:pPr>
        <w:ind w:left="360"/>
      </w:pPr>
    </w:p>
    <w:p w:rsidR="00326D0A" w:rsidRPr="00AF6044" w:rsidRDefault="00326D0A" w:rsidP="002F347C">
      <w:pPr>
        <w:pStyle w:val="Heading4"/>
      </w:pPr>
      <w:bookmarkStart w:id="30" w:name="_Toc227944949"/>
      <w:r w:rsidRPr="00A149E7">
        <w:t xml:space="preserve">Leases – </w:t>
      </w:r>
      <w:r w:rsidRPr="002F347C">
        <w:rPr>
          <w:color w:val="1F497D" w:themeColor="text2"/>
        </w:rPr>
        <w:t>Section 23(2)(d)</w:t>
      </w:r>
      <w:bookmarkEnd w:id="30"/>
      <w:r w:rsidRPr="00AF6044">
        <w:t xml:space="preserve"> </w:t>
      </w:r>
    </w:p>
    <w:p w:rsidR="00326D0A" w:rsidRPr="00AF6044" w:rsidRDefault="00326D0A" w:rsidP="00326D0A">
      <w:pPr>
        <w:rPr>
          <w:u w:val="single"/>
        </w:rPr>
      </w:pPr>
    </w:p>
    <w:p w:rsidR="00326D0A" w:rsidRPr="00AF6044" w:rsidRDefault="00326D0A" w:rsidP="003A60FA">
      <w:pPr>
        <w:pStyle w:val="ListParagraph"/>
        <w:numPr>
          <w:ilvl w:val="0"/>
          <w:numId w:val="7"/>
        </w:numPr>
        <w:ind w:hanging="371"/>
        <w:rPr>
          <w:lang w:val="en-US"/>
        </w:rPr>
      </w:pPr>
      <w:r w:rsidRPr="00AF6044">
        <w:rPr>
          <w:lang w:val="en-US"/>
        </w:rPr>
        <w:t xml:space="preserve">Lease or agreement to lease will be honored </w:t>
      </w:r>
      <w:r w:rsidR="00A149E7">
        <w:rPr>
          <w:lang w:val="en-US"/>
        </w:rPr>
        <w:t xml:space="preserve">as </w:t>
      </w:r>
      <w:r w:rsidR="00A149E7" w:rsidRPr="00A149E7">
        <w:rPr>
          <w:i/>
          <w:color w:val="800000"/>
          <w:lang w:val="en-US"/>
        </w:rPr>
        <w:t>in rem</w:t>
      </w:r>
      <w:r w:rsidR="00A149E7">
        <w:rPr>
          <w:lang w:val="en-US"/>
        </w:rPr>
        <w:t xml:space="preserve"> rights </w:t>
      </w:r>
      <w:r w:rsidRPr="00AF6044">
        <w:rPr>
          <w:lang w:val="en-US"/>
        </w:rPr>
        <w:t>for up to three years even though it's not registered, as long as there is actual occupation</w:t>
      </w:r>
      <w:r w:rsidR="00A149E7">
        <w:rPr>
          <w:lang w:val="en-US"/>
        </w:rPr>
        <w:t xml:space="preserve"> </w:t>
      </w:r>
    </w:p>
    <w:p w:rsidR="00326D0A" w:rsidRPr="00AF6044" w:rsidRDefault="00326D0A" w:rsidP="00326D0A">
      <w:pPr>
        <w:pStyle w:val="ListParagraph"/>
        <w:numPr>
          <w:ilvl w:val="0"/>
          <w:numId w:val="7"/>
        </w:numPr>
        <w:rPr>
          <w:lang w:val="en-US"/>
        </w:rPr>
      </w:pPr>
      <w:r w:rsidRPr="00AF6044">
        <w:rPr>
          <w:lang w:val="en-US"/>
        </w:rPr>
        <w:t>Leases longer than three years must be registered</w:t>
      </w:r>
      <w:r w:rsidR="00A149E7">
        <w:rPr>
          <w:lang w:val="en-US"/>
        </w:rPr>
        <w:t xml:space="preserve"> to grant </w:t>
      </w:r>
      <w:r w:rsidR="00A149E7" w:rsidRPr="00C04FE8">
        <w:rPr>
          <w:i/>
          <w:color w:val="800000"/>
          <w:lang w:val="en-US"/>
        </w:rPr>
        <w:t>in rem</w:t>
      </w:r>
      <w:r w:rsidR="00A149E7">
        <w:rPr>
          <w:lang w:val="en-US"/>
        </w:rPr>
        <w:t xml:space="preserve"> right.</w:t>
      </w:r>
    </w:p>
    <w:p w:rsidR="00326D0A" w:rsidRPr="00A149E7" w:rsidRDefault="00326D0A" w:rsidP="00326D0A">
      <w:pPr>
        <w:pStyle w:val="ListParagraph"/>
        <w:numPr>
          <w:ilvl w:val="0"/>
          <w:numId w:val="7"/>
        </w:numPr>
        <w:rPr>
          <w:color w:val="800000"/>
          <w:lang w:val="en-US"/>
        </w:rPr>
      </w:pPr>
      <w:r w:rsidRPr="00A149E7">
        <w:rPr>
          <w:color w:val="800000"/>
          <w:lang w:val="en-US"/>
        </w:rPr>
        <w:t>Example: 2 year lease with option to renew for 2 years has to be registered. Based on total term, not initial term of lease</w:t>
      </w:r>
    </w:p>
    <w:p w:rsidR="00326D0A" w:rsidRPr="00AF6044" w:rsidRDefault="00326D0A" w:rsidP="00326D0A">
      <w:pPr>
        <w:pStyle w:val="ListParagraph"/>
        <w:numPr>
          <w:ilvl w:val="0"/>
          <w:numId w:val="7"/>
        </w:numPr>
        <w:rPr>
          <w:lang w:val="en-US"/>
        </w:rPr>
      </w:pPr>
      <w:r w:rsidRPr="00AF6044">
        <w:rPr>
          <w:lang w:val="en-US"/>
        </w:rPr>
        <w:t>Rationale: prefer not to clutter up system by registering large number of short-term leases</w:t>
      </w:r>
    </w:p>
    <w:p w:rsidR="00326D0A" w:rsidRPr="00AF6044" w:rsidRDefault="00326D0A" w:rsidP="00326D0A"/>
    <w:p w:rsidR="00326D0A" w:rsidRPr="00A149E7" w:rsidRDefault="00326D0A" w:rsidP="002F347C">
      <w:pPr>
        <w:pStyle w:val="Heading4"/>
      </w:pPr>
      <w:r w:rsidRPr="00A149E7">
        <w:t xml:space="preserve">Charges and Other Entries – </w:t>
      </w:r>
      <w:r w:rsidRPr="00A149E7">
        <w:rPr>
          <w:color w:val="1F497D" w:themeColor="text2"/>
        </w:rPr>
        <w:t>Section 23(2)(g</w:t>
      </w:r>
      <w:r w:rsidRPr="00A149E7">
        <w:t>)</w:t>
      </w:r>
    </w:p>
    <w:p w:rsidR="00326D0A" w:rsidRPr="00AF6044" w:rsidRDefault="00326D0A" w:rsidP="00326D0A"/>
    <w:p w:rsidR="007F7E40" w:rsidRPr="00AF6044" w:rsidRDefault="007F7E40" w:rsidP="007F7E40">
      <w:pPr>
        <w:numPr>
          <w:ilvl w:val="0"/>
          <w:numId w:val="8"/>
        </w:numPr>
        <w:rPr>
          <w:lang w:val="en-US"/>
        </w:rPr>
      </w:pPr>
      <w:r w:rsidRPr="00AF6044">
        <w:t>L</w:t>
      </w:r>
      <w:r w:rsidR="00326D0A" w:rsidRPr="00AF6044">
        <w:t xml:space="preserve">ien gets priority over </w:t>
      </w:r>
      <w:r w:rsidRPr="00AF6044">
        <w:t xml:space="preserve">any </w:t>
      </w:r>
      <w:r w:rsidRPr="00AF6044">
        <w:rPr>
          <w:lang w:val="en-US"/>
        </w:rPr>
        <w:t>judgment, executions, attachments, and receiving orders recovered, issued, or made after that date</w:t>
      </w:r>
    </w:p>
    <w:p w:rsidR="00874AE8" w:rsidRPr="00AF6044" w:rsidRDefault="007F7E40" w:rsidP="007F7E40">
      <w:pPr>
        <w:numPr>
          <w:ilvl w:val="0"/>
          <w:numId w:val="8"/>
        </w:numPr>
        <w:rPr>
          <w:lang w:val="en-US"/>
        </w:rPr>
      </w:pPr>
      <w:r w:rsidRPr="00AF6044">
        <w:rPr>
          <w:lang w:val="en-US"/>
        </w:rPr>
        <w:t xml:space="preserve">Liens are subject to limitations set out in their enabling statutes. </w:t>
      </w:r>
      <w:r w:rsidRPr="00AF6044">
        <w:rPr>
          <w:i/>
          <w:color w:val="1F497D" w:themeColor="text2"/>
          <w:lang w:val="en-US"/>
        </w:rPr>
        <w:t>Builders Lien Act</w:t>
      </w:r>
      <w:r w:rsidRPr="00AF6044">
        <w:rPr>
          <w:i/>
          <w:lang w:val="en-US"/>
        </w:rPr>
        <w:t xml:space="preserve"> </w:t>
      </w:r>
      <w:r w:rsidRPr="00AF6044">
        <w:rPr>
          <w:lang w:val="en-US"/>
        </w:rPr>
        <w:t xml:space="preserve">limits claims to those made within </w:t>
      </w:r>
      <w:r w:rsidRPr="00A149E7">
        <w:rPr>
          <w:color w:val="800000"/>
          <w:lang w:val="en-US"/>
        </w:rPr>
        <w:t>45 days of certification of completed work, amongst other time limits</w:t>
      </w:r>
      <w:r w:rsidRPr="00AF6044">
        <w:rPr>
          <w:lang w:val="en-US"/>
        </w:rPr>
        <w:t>. (</w:t>
      </w:r>
      <w:r w:rsidRPr="00AF6044">
        <w:rPr>
          <w:i/>
          <w:color w:val="1F497D" w:themeColor="text2"/>
          <w:lang w:val="en-US"/>
        </w:rPr>
        <w:t>Carr v Rayward</w:t>
      </w:r>
      <w:r w:rsidRPr="00AF6044">
        <w:rPr>
          <w:lang w:val="en-US"/>
        </w:rPr>
        <w:t>)</w:t>
      </w:r>
    </w:p>
    <w:p w:rsidR="00874AE8" w:rsidRPr="00AF6044" w:rsidRDefault="00874AE8" w:rsidP="00874AE8">
      <w:pPr>
        <w:pStyle w:val="ListParagraph"/>
        <w:numPr>
          <w:ilvl w:val="0"/>
          <w:numId w:val="8"/>
        </w:numPr>
        <w:spacing w:after="200" w:line="276" w:lineRule="auto"/>
        <w:rPr>
          <w:sz w:val="20"/>
        </w:rPr>
      </w:pPr>
      <w:r w:rsidRPr="00AF6044">
        <w:rPr>
          <w:sz w:val="20"/>
        </w:rPr>
        <w:t>In BC a new owner’s liability limited to 10% of contract if acting in good faith.  If acting in bad faith (knew contractor not paid) then new owner liable for full cost.</w:t>
      </w:r>
    </w:p>
    <w:p w:rsidR="007F7E40" w:rsidRPr="00AF6044" w:rsidRDefault="007F7E40" w:rsidP="00A149E7">
      <w:pPr>
        <w:ind w:left="360"/>
        <w:rPr>
          <w:lang w:val="en-US"/>
        </w:rPr>
      </w:pPr>
    </w:p>
    <w:p w:rsidR="007F7E40" w:rsidRPr="00AF6044" w:rsidRDefault="007F7E40" w:rsidP="00193372">
      <w:pPr>
        <w:rPr>
          <w:lang w:val="en-US"/>
        </w:rPr>
      </w:pPr>
    </w:p>
    <w:p w:rsidR="007F7E40" w:rsidRPr="00AF6044" w:rsidRDefault="007F7E40" w:rsidP="007F7E40">
      <w:pPr>
        <w:pBdr>
          <w:bottom w:val="single" w:sz="12" w:space="1" w:color="auto"/>
        </w:pBdr>
        <w:rPr>
          <w:lang w:val="en-US"/>
        </w:rPr>
      </w:pPr>
    </w:p>
    <w:p w:rsidR="007F7E40" w:rsidRPr="00A5460F" w:rsidRDefault="007F7E40" w:rsidP="00C04FE8">
      <w:pPr>
        <w:pStyle w:val="Heading3"/>
        <w:rPr>
          <w:b w:val="0"/>
          <w:lang w:val="en-US"/>
        </w:rPr>
      </w:pPr>
      <w:bookmarkStart w:id="31" w:name="_Toc259911019"/>
      <w:r w:rsidRPr="00815E90">
        <w:rPr>
          <w:highlight w:val="yellow"/>
          <w:lang w:val="en-US"/>
        </w:rPr>
        <w:t>CARR v RAYWARD</w:t>
      </w:r>
      <w:r w:rsidR="00A5460F">
        <w:rPr>
          <w:lang w:val="en-US"/>
        </w:rPr>
        <w:t xml:space="preserve"> </w:t>
      </w:r>
      <w:r w:rsidR="00A5460F">
        <w:rPr>
          <w:b w:val="0"/>
          <w:lang w:val="en-US"/>
        </w:rPr>
        <w:t>s23 provides a builders lien limits indefeasibility</w:t>
      </w:r>
      <w:bookmarkEnd w:id="31"/>
    </w:p>
    <w:p w:rsidR="007F7E40" w:rsidRPr="00AF6044" w:rsidRDefault="007F7E40" w:rsidP="007F7E40">
      <w:pPr>
        <w:rPr>
          <w:lang w:val="en-US"/>
        </w:rPr>
      </w:pPr>
    </w:p>
    <w:p w:rsidR="007F7E40" w:rsidRPr="00AF6044" w:rsidRDefault="00815E90" w:rsidP="007F7E40">
      <w:pPr>
        <w:rPr>
          <w:lang w:val="en-US"/>
        </w:rPr>
      </w:pPr>
      <w:r w:rsidRPr="00AF6044">
        <w:rPr>
          <w:lang w:val="en-US"/>
        </w:rPr>
        <w:t>FACTS:</w:t>
      </w:r>
    </w:p>
    <w:p w:rsidR="007F7E40" w:rsidRPr="00AF6044" w:rsidRDefault="007F7E40" w:rsidP="007F7E40">
      <w:pPr>
        <w:rPr>
          <w:lang w:val="en-US"/>
        </w:rPr>
      </w:pPr>
    </w:p>
    <w:p w:rsidR="007F7E40" w:rsidRPr="00AF6044" w:rsidRDefault="007F7E40" w:rsidP="007F7E40">
      <w:pPr>
        <w:rPr>
          <w:lang w:val="en-US"/>
        </w:rPr>
      </w:pPr>
      <w:r w:rsidRPr="00AF6044">
        <w:rPr>
          <w:lang w:val="en-US"/>
        </w:rPr>
        <w:t xml:space="preserve">Carr took a contract to do plumbing and filed his lien before the completion of the work, but after the land had been sold to the defendant, Bell, and a clear certificate of indefeasible title issued in his name. </w:t>
      </w:r>
    </w:p>
    <w:p w:rsidR="007F7E40" w:rsidRPr="00AF6044" w:rsidRDefault="007F7E40" w:rsidP="007F7E40">
      <w:pPr>
        <w:rPr>
          <w:lang w:val="en-US"/>
        </w:rPr>
      </w:pPr>
    </w:p>
    <w:p w:rsidR="007F7E40" w:rsidRPr="00AF6044" w:rsidRDefault="00815E90" w:rsidP="007F7E40">
      <w:pPr>
        <w:rPr>
          <w:lang w:val="en-US"/>
        </w:rPr>
      </w:pPr>
      <w:r w:rsidRPr="00AF6044">
        <w:rPr>
          <w:lang w:val="en-US"/>
        </w:rPr>
        <w:t>HELD:</w:t>
      </w:r>
    </w:p>
    <w:p w:rsidR="007F7E40" w:rsidRPr="00AF6044" w:rsidRDefault="007F7E40" w:rsidP="007F7E40">
      <w:pPr>
        <w:rPr>
          <w:lang w:val="en-US"/>
        </w:rPr>
      </w:pPr>
    </w:p>
    <w:p w:rsidR="007F7E40" w:rsidRPr="00AF6044" w:rsidRDefault="007F7E40" w:rsidP="007F7E40">
      <w:pPr>
        <w:rPr>
          <w:lang w:val="en-US"/>
        </w:rPr>
      </w:pPr>
      <w:r w:rsidRPr="00AF6044">
        <w:rPr>
          <w:lang w:val="en-US"/>
        </w:rPr>
        <w:t xml:space="preserve">Defendant lost. He was liable to pay for work done. </w:t>
      </w:r>
    </w:p>
    <w:p w:rsidR="007F7E40" w:rsidRPr="00AF6044" w:rsidRDefault="007F7E40" w:rsidP="007F7E40">
      <w:pPr>
        <w:rPr>
          <w:lang w:val="en-US"/>
        </w:rPr>
      </w:pPr>
    </w:p>
    <w:p w:rsidR="007F7E40" w:rsidRPr="00AF6044" w:rsidRDefault="00815E90" w:rsidP="007F7E40">
      <w:pPr>
        <w:rPr>
          <w:lang w:val="en-US"/>
        </w:rPr>
      </w:pPr>
      <w:r w:rsidRPr="00AF6044">
        <w:rPr>
          <w:lang w:val="en-US"/>
        </w:rPr>
        <w:t xml:space="preserve">RATIO: </w:t>
      </w:r>
    </w:p>
    <w:p w:rsidR="007F7E40" w:rsidRPr="00AF6044" w:rsidRDefault="007F7E40" w:rsidP="00326D0A"/>
    <w:p w:rsidR="007F7E40" w:rsidRPr="00AF6044" w:rsidRDefault="007F7E40" w:rsidP="00326D0A">
      <w:pPr>
        <w:pBdr>
          <w:bottom w:val="single" w:sz="12" w:space="1" w:color="auto"/>
        </w:pBdr>
        <w:rPr>
          <w:lang w:val="en-US"/>
        </w:rPr>
      </w:pPr>
      <w:r w:rsidRPr="00AF6044">
        <w:rPr>
          <w:lang w:val="en-US"/>
        </w:rPr>
        <w:t xml:space="preserve">Land Title Act expressly limits indefeasibility subject to list of factors in section 23, of which builders lien is one. </w:t>
      </w:r>
      <w:r w:rsidRPr="00AF6044">
        <w:rPr>
          <w:lang w:val="en-US"/>
        </w:rPr>
        <w:br/>
      </w:r>
    </w:p>
    <w:p w:rsidR="007F7E40" w:rsidRPr="00AF6044" w:rsidRDefault="007F7E40" w:rsidP="00326D0A">
      <w:pPr>
        <w:rPr>
          <w:lang w:val="en-US"/>
        </w:rPr>
      </w:pPr>
    </w:p>
    <w:p w:rsidR="00193372" w:rsidRPr="00A149E7" w:rsidRDefault="00193372" w:rsidP="002F347C">
      <w:pPr>
        <w:pStyle w:val="Heading4"/>
      </w:pPr>
      <w:r w:rsidRPr="00A149E7">
        <w:t>Boundaries</w:t>
      </w:r>
      <w:r w:rsidR="00A149E7" w:rsidRPr="00A149E7">
        <w:t xml:space="preserve"> – </w:t>
      </w:r>
      <w:r w:rsidR="00A149E7" w:rsidRPr="002F347C">
        <w:rPr>
          <w:color w:val="1F497D" w:themeColor="text2"/>
        </w:rPr>
        <w:t>Section 23(2)(h)</w:t>
      </w:r>
      <w:r w:rsidR="002F347C">
        <w:rPr>
          <w:color w:val="1F497D" w:themeColor="text2"/>
        </w:rPr>
        <w:t xml:space="preserve"> </w:t>
      </w:r>
      <w:r w:rsidR="002F347C" w:rsidRPr="002F347C">
        <w:rPr>
          <w:color w:val="800000"/>
        </w:rPr>
        <w:t>– indeafisibility does not extend to the location on the ground, survey should be undertaken, conveyancers have no duty to ascertain or advise on the dimensions of the property</w:t>
      </w:r>
    </w:p>
    <w:p w:rsidR="00193372" w:rsidRPr="00AF6044" w:rsidRDefault="00193372" w:rsidP="00326D0A"/>
    <w:p w:rsidR="00193372" w:rsidRPr="00AF6044" w:rsidRDefault="00193372" w:rsidP="00326D0A">
      <w:r w:rsidRPr="00AF6044">
        <w:t xml:space="preserve">For each parcel of land under the Torrens system, there are </w:t>
      </w:r>
      <w:r w:rsidRPr="00A149E7">
        <w:rPr>
          <w:b/>
          <w:color w:val="800000"/>
        </w:rPr>
        <w:t>two fundamental documents</w:t>
      </w:r>
      <w:r w:rsidRPr="00AF6044">
        <w:t>:</w:t>
      </w:r>
    </w:p>
    <w:p w:rsidR="00193372" w:rsidRPr="00AF6044" w:rsidRDefault="00193372" w:rsidP="00326D0A"/>
    <w:p w:rsidR="00193372" w:rsidRPr="00AF6044" w:rsidRDefault="00193372" w:rsidP="00193372">
      <w:pPr>
        <w:pStyle w:val="ListParagraph"/>
        <w:numPr>
          <w:ilvl w:val="0"/>
          <w:numId w:val="9"/>
        </w:numPr>
      </w:pPr>
      <w:r w:rsidRPr="00A149E7">
        <w:rPr>
          <w:b/>
          <w:color w:val="800000"/>
        </w:rPr>
        <w:t>Certificate of title</w:t>
      </w:r>
      <w:r w:rsidRPr="00AF6044">
        <w:t>: describes the legal title including the various charges and refers to related documents</w:t>
      </w:r>
    </w:p>
    <w:p w:rsidR="00CE3061" w:rsidRPr="00AF6044" w:rsidRDefault="00193372" w:rsidP="00193372">
      <w:pPr>
        <w:pStyle w:val="ListParagraph"/>
        <w:numPr>
          <w:ilvl w:val="0"/>
          <w:numId w:val="9"/>
        </w:numPr>
      </w:pPr>
      <w:r w:rsidRPr="00A149E7">
        <w:rPr>
          <w:b/>
          <w:color w:val="800000"/>
        </w:rPr>
        <w:t>The Map or Plan</w:t>
      </w:r>
      <w:r w:rsidRPr="00AF6044">
        <w:t xml:space="preserve"> that depicts the parcel and its physical dimensions</w:t>
      </w:r>
    </w:p>
    <w:p w:rsidR="00CE3061" w:rsidRPr="00AF6044" w:rsidRDefault="00CE3061" w:rsidP="00CE3061"/>
    <w:p w:rsidR="0020187A" w:rsidRPr="00AF6044" w:rsidRDefault="00CE3061" w:rsidP="00CE3061">
      <w:r w:rsidRPr="00AF6044">
        <w:t xml:space="preserve">Indefeasibility </w:t>
      </w:r>
      <w:r w:rsidR="0020187A" w:rsidRPr="00AF6044">
        <w:t>and boundaries</w:t>
      </w:r>
    </w:p>
    <w:p w:rsidR="00CE3061" w:rsidRPr="00AF6044" w:rsidRDefault="00CE3061" w:rsidP="00CE3061"/>
    <w:p w:rsidR="00CE3061" w:rsidRPr="00AF6044" w:rsidRDefault="00CE3061" w:rsidP="00CE3061">
      <w:pPr>
        <w:pStyle w:val="ListParagraph"/>
        <w:numPr>
          <w:ilvl w:val="0"/>
          <w:numId w:val="10"/>
        </w:numPr>
      </w:pPr>
      <w:r w:rsidRPr="00AF6044">
        <w:t xml:space="preserve">refers to the conclusive </w:t>
      </w:r>
      <w:r w:rsidRPr="00A149E7">
        <w:rPr>
          <w:i/>
          <w:color w:val="800000"/>
        </w:rPr>
        <w:t>legal effect</w:t>
      </w:r>
      <w:r w:rsidRPr="00A149E7">
        <w:rPr>
          <w:color w:val="800000"/>
        </w:rPr>
        <w:t xml:space="preserve"> of the title</w:t>
      </w:r>
      <w:r w:rsidRPr="00AF6044">
        <w:t>,</w:t>
      </w:r>
    </w:p>
    <w:p w:rsidR="00CE3061" w:rsidRPr="00AF6044" w:rsidRDefault="00CE3061" w:rsidP="00CE3061">
      <w:pPr>
        <w:pStyle w:val="ListParagraph"/>
        <w:numPr>
          <w:ilvl w:val="0"/>
          <w:numId w:val="10"/>
        </w:numPr>
      </w:pPr>
      <w:r w:rsidRPr="00A149E7">
        <w:rPr>
          <w:color w:val="800000"/>
        </w:rPr>
        <w:t xml:space="preserve">does </w:t>
      </w:r>
      <w:r w:rsidRPr="00A149E7">
        <w:rPr>
          <w:b/>
          <w:color w:val="800000"/>
        </w:rPr>
        <w:t>not</w:t>
      </w:r>
      <w:r w:rsidRPr="00A149E7">
        <w:rPr>
          <w:color w:val="800000"/>
        </w:rPr>
        <w:t xml:space="preserve"> extend to the location on the ground</w:t>
      </w:r>
      <w:r w:rsidRPr="00AF6044">
        <w:t xml:space="preserve"> of the boundaries as depicted in the registered map or plan (</w:t>
      </w:r>
      <w:r w:rsidRPr="00AF6044">
        <w:rPr>
          <w:i/>
          <w:color w:val="1F497D" w:themeColor="text2"/>
        </w:rPr>
        <w:t>Phillips v Keefe</w:t>
      </w:r>
      <w:r w:rsidRPr="00AF6044">
        <w:rPr>
          <w:i/>
        </w:rPr>
        <w:t xml:space="preserve">, </w:t>
      </w:r>
      <w:r w:rsidRPr="00AF6044">
        <w:t>2012 BCCA 123)</w:t>
      </w:r>
    </w:p>
    <w:p w:rsidR="00CE3061" w:rsidRPr="00AF6044" w:rsidRDefault="00CE3061" w:rsidP="00CE3061">
      <w:pPr>
        <w:pStyle w:val="ListParagraph"/>
        <w:numPr>
          <w:ilvl w:val="0"/>
          <w:numId w:val="10"/>
        </w:numPr>
      </w:pPr>
      <w:r w:rsidRPr="00AF6044">
        <w:t>a survey should be undertaken (</w:t>
      </w:r>
      <w:r w:rsidRPr="00AF6044">
        <w:rPr>
          <w:i/>
          <w:color w:val="1F497D" w:themeColor="text2"/>
        </w:rPr>
        <w:t>Fowler v Henry</w:t>
      </w:r>
      <w:r w:rsidRPr="00AF6044">
        <w:rPr>
          <w:i/>
        </w:rPr>
        <w:t xml:space="preserve"> </w:t>
      </w:r>
      <w:r w:rsidRPr="00AF6044">
        <w:t>1902)</w:t>
      </w:r>
    </w:p>
    <w:p w:rsidR="00CE3061" w:rsidRPr="00AF6044" w:rsidRDefault="00CE3061" w:rsidP="00CE3061">
      <w:pPr>
        <w:pStyle w:val="ListParagraph"/>
        <w:numPr>
          <w:ilvl w:val="0"/>
          <w:numId w:val="10"/>
        </w:numPr>
      </w:pPr>
      <w:r w:rsidRPr="00AF6044">
        <w:t>Surveyors determine boundaries by applying a hierarchy of evidentiary factors</w:t>
      </w:r>
    </w:p>
    <w:p w:rsidR="00CE3061" w:rsidRPr="00AF6044" w:rsidRDefault="00CE3061" w:rsidP="00CE3061"/>
    <w:p w:rsidR="0020187A" w:rsidRPr="00AF6044" w:rsidRDefault="0020187A" w:rsidP="00CE3061">
      <w:r w:rsidRPr="00AF6044">
        <w:t xml:space="preserve">Role of Conveyancer </w:t>
      </w:r>
    </w:p>
    <w:p w:rsidR="0020187A" w:rsidRPr="00AF6044" w:rsidRDefault="0020187A" w:rsidP="00CE3061"/>
    <w:p w:rsidR="0020187A" w:rsidRPr="00AF6044" w:rsidRDefault="0020187A" w:rsidP="0020187A">
      <w:pPr>
        <w:pStyle w:val="ListParagraph"/>
        <w:numPr>
          <w:ilvl w:val="0"/>
          <w:numId w:val="11"/>
        </w:numPr>
      </w:pPr>
      <w:r w:rsidRPr="00AF6044">
        <w:t xml:space="preserve">a conveyancer is a lawyer in charge of ascertaining the </w:t>
      </w:r>
      <w:r w:rsidRPr="00A149E7">
        <w:rPr>
          <w:color w:val="800000"/>
        </w:rPr>
        <w:t>status of the legal title</w:t>
      </w:r>
    </w:p>
    <w:p w:rsidR="0020187A" w:rsidRPr="00AF6044" w:rsidRDefault="0020187A" w:rsidP="0020187A">
      <w:pPr>
        <w:pStyle w:val="ListParagraph"/>
        <w:numPr>
          <w:ilvl w:val="0"/>
          <w:numId w:val="11"/>
        </w:numPr>
      </w:pPr>
      <w:r w:rsidRPr="00AF6044">
        <w:t xml:space="preserve">In </w:t>
      </w:r>
      <w:r w:rsidRPr="00AF6044">
        <w:rPr>
          <w:i/>
          <w:color w:val="1F497D" w:themeColor="text2"/>
        </w:rPr>
        <w:t>Winrob v Street</w:t>
      </w:r>
      <w:r w:rsidRPr="00AF6044">
        <w:t xml:space="preserve"> the plaintiff sued his conveyancer in professional negligence for not checking the accuracy of the plan for the land he had purchased. The Map was wrong in its dimensions and the plaintiff’s new fence and hedge extended 26 feet onto City property, the City charged rent. Plaintiff wanted to claim rent and loss of lot size from defendant. </w:t>
      </w:r>
    </w:p>
    <w:p w:rsidR="0020187A" w:rsidRPr="00A149E7" w:rsidRDefault="0020187A" w:rsidP="0020187A">
      <w:pPr>
        <w:pStyle w:val="ListParagraph"/>
        <w:numPr>
          <w:ilvl w:val="1"/>
          <w:numId w:val="11"/>
        </w:numPr>
        <w:rPr>
          <w:color w:val="800000"/>
        </w:rPr>
      </w:pPr>
      <w:r w:rsidRPr="00A149E7">
        <w:rPr>
          <w:color w:val="800000"/>
        </w:rPr>
        <w:t xml:space="preserve">Conveyancers have no duty to ascertain or advise on the dimensions of the property, which are outside the lawyer’s expertise. </w:t>
      </w:r>
    </w:p>
    <w:p w:rsidR="0020187A" w:rsidRPr="00AF6044" w:rsidRDefault="0020187A" w:rsidP="0020187A">
      <w:pPr>
        <w:pStyle w:val="ListParagraph"/>
        <w:numPr>
          <w:ilvl w:val="1"/>
          <w:numId w:val="11"/>
        </w:numPr>
      </w:pPr>
      <w:r w:rsidRPr="00AF6044">
        <w:t xml:space="preserve">The client must give and the conveyancer must accept a </w:t>
      </w:r>
      <w:r w:rsidRPr="00A149E7">
        <w:rPr>
          <w:color w:val="800000"/>
        </w:rPr>
        <w:t>special instruction</w:t>
      </w:r>
      <w:r w:rsidRPr="00AF6044">
        <w:t xml:space="preserve"> to become responsible for verifying dimensions. </w:t>
      </w:r>
    </w:p>
    <w:p w:rsidR="00772724" w:rsidRPr="00AF6044" w:rsidRDefault="00772724" w:rsidP="00772724">
      <w:pPr>
        <w:rPr>
          <w:b/>
        </w:rPr>
      </w:pPr>
    </w:p>
    <w:p w:rsidR="00772724" w:rsidRPr="00A149E7" w:rsidRDefault="00A149E7" w:rsidP="002F347C">
      <w:pPr>
        <w:pStyle w:val="Heading4"/>
      </w:pPr>
      <w:r w:rsidRPr="00A149E7">
        <w:t xml:space="preserve">Fraud – </w:t>
      </w:r>
      <w:r w:rsidR="00772724" w:rsidRPr="002F347C">
        <w:rPr>
          <w:color w:val="1F497D" w:themeColor="text2"/>
        </w:rPr>
        <w:t>Section 23(2)(i)</w:t>
      </w:r>
      <w:r w:rsidR="00772724" w:rsidRPr="00A149E7">
        <w:t xml:space="preserve"> </w:t>
      </w:r>
    </w:p>
    <w:p w:rsidR="00772724" w:rsidRPr="00AF6044" w:rsidRDefault="00772724" w:rsidP="00772724"/>
    <w:p w:rsidR="0032575D" w:rsidRPr="00AF6044" w:rsidRDefault="0032575D" w:rsidP="0032575D">
      <w:pPr>
        <w:numPr>
          <w:ilvl w:val="0"/>
          <w:numId w:val="12"/>
        </w:numPr>
        <w:rPr>
          <w:lang w:val="en-US"/>
        </w:rPr>
      </w:pPr>
      <w:r w:rsidRPr="00AF6044">
        <w:rPr>
          <w:lang w:val="en-US"/>
        </w:rPr>
        <w:t xml:space="preserve">Indefeasibility is subject to "the right of </w:t>
      </w:r>
      <w:r w:rsidRPr="00A149E7">
        <w:rPr>
          <w:b/>
          <w:color w:val="800000"/>
          <w:lang w:val="en-US"/>
        </w:rPr>
        <w:t>a person deprived of land</w:t>
      </w:r>
      <w:r w:rsidRPr="00AF6044">
        <w:rPr>
          <w:lang w:val="en-US"/>
        </w:rPr>
        <w:t xml:space="preserve"> to show fraud, including forgery, in which the registered owner has participated in any degree</w:t>
      </w:r>
    </w:p>
    <w:p w:rsidR="0032575D" w:rsidRPr="00AF6044" w:rsidRDefault="0032575D" w:rsidP="0032575D">
      <w:pPr>
        <w:rPr>
          <w:lang w:val="en-US"/>
        </w:rPr>
      </w:pPr>
    </w:p>
    <w:p w:rsidR="0032575D" w:rsidRPr="00AF6044" w:rsidRDefault="0032575D" w:rsidP="0032575D">
      <w:pPr>
        <w:rPr>
          <w:lang w:val="en-US"/>
        </w:rPr>
      </w:pPr>
      <w:r w:rsidRPr="00AF6044">
        <w:rPr>
          <w:lang w:val="en-US"/>
        </w:rPr>
        <w:t xml:space="preserve">Example:  </w:t>
      </w:r>
      <w:r w:rsidRPr="00AF6044">
        <w:rPr>
          <w:color w:val="800000"/>
          <w:sz w:val="20"/>
          <w:lang w:val="en-US"/>
        </w:rPr>
        <w:t>A (innocent owner of the fee) to B (fraudster) to C (innocent victim)</w:t>
      </w:r>
    </w:p>
    <w:p w:rsidR="0032575D" w:rsidRPr="00AF6044" w:rsidRDefault="0032575D" w:rsidP="0032575D">
      <w:pPr>
        <w:rPr>
          <w:lang w:val="en-US"/>
        </w:rPr>
      </w:pPr>
    </w:p>
    <w:p w:rsidR="0032575D" w:rsidRPr="00AF6044" w:rsidRDefault="0032575D" w:rsidP="00A149E7">
      <w:pPr>
        <w:rPr>
          <w:lang w:val="en-US"/>
        </w:rPr>
      </w:pPr>
      <w:r w:rsidRPr="00AF6044">
        <w:rPr>
          <w:lang w:val="en-US"/>
        </w:rPr>
        <w:t xml:space="preserve">Should A be </w:t>
      </w:r>
      <w:r w:rsidR="002F347C">
        <w:rPr>
          <w:lang w:val="en-US"/>
        </w:rPr>
        <w:t>able to recover Blackacre from C</w:t>
      </w:r>
      <w:r w:rsidRPr="00AF6044">
        <w:rPr>
          <w:lang w:val="en-US"/>
        </w:rPr>
        <w:t>?</w:t>
      </w:r>
    </w:p>
    <w:p w:rsidR="0032575D" w:rsidRPr="00AF6044" w:rsidRDefault="0032575D" w:rsidP="0032575D">
      <w:pPr>
        <w:rPr>
          <w:lang w:val="en-US"/>
        </w:rPr>
      </w:pPr>
    </w:p>
    <w:p w:rsidR="0032575D" w:rsidRPr="00AF6044" w:rsidRDefault="0032575D" w:rsidP="0032575D">
      <w:pPr>
        <w:numPr>
          <w:ilvl w:val="0"/>
          <w:numId w:val="12"/>
        </w:numPr>
        <w:rPr>
          <w:lang w:val="en-US"/>
        </w:rPr>
      </w:pPr>
      <w:r w:rsidRPr="00AF6044">
        <w:rPr>
          <w:lang w:val="en-US"/>
        </w:rPr>
        <w:t xml:space="preserve">At common law, </w:t>
      </w:r>
      <w:r w:rsidRPr="00AF6044">
        <w:rPr>
          <w:i/>
          <w:lang w:val="en-US"/>
        </w:rPr>
        <w:t>nemo dat</w:t>
      </w:r>
      <w:r w:rsidRPr="00AF6044">
        <w:rPr>
          <w:lang w:val="en-US"/>
        </w:rPr>
        <w:t>: a void instrument leads to a series of void transactions</w:t>
      </w:r>
    </w:p>
    <w:p w:rsidR="0032575D" w:rsidRPr="00AF6044" w:rsidRDefault="0032575D" w:rsidP="0032575D">
      <w:pPr>
        <w:rPr>
          <w:lang w:val="en-US"/>
        </w:rPr>
      </w:pPr>
    </w:p>
    <w:p w:rsidR="0032575D" w:rsidRPr="00AF6044" w:rsidRDefault="0032575D" w:rsidP="0032575D">
      <w:pPr>
        <w:numPr>
          <w:ilvl w:val="0"/>
          <w:numId w:val="12"/>
        </w:numPr>
        <w:rPr>
          <w:lang w:val="en-US"/>
        </w:rPr>
      </w:pPr>
      <w:r w:rsidRPr="00AF6044">
        <w:rPr>
          <w:lang w:val="en-US"/>
        </w:rPr>
        <w:t xml:space="preserve">In a Torrens system: </w:t>
      </w:r>
      <w:r w:rsidRPr="00AF6044">
        <w:rPr>
          <w:i/>
          <w:lang w:val="en-US"/>
        </w:rPr>
        <w:t>two approaches reflected in case law</w:t>
      </w:r>
    </w:p>
    <w:p w:rsidR="0032575D" w:rsidRPr="00AF6044" w:rsidRDefault="0032575D" w:rsidP="0032575D">
      <w:pPr>
        <w:rPr>
          <w:lang w:val="en-US"/>
        </w:rPr>
      </w:pPr>
    </w:p>
    <w:p w:rsidR="0032575D" w:rsidRPr="00AF6044" w:rsidRDefault="0032575D" w:rsidP="0032575D">
      <w:pPr>
        <w:numPr>
          <w:ilvl w:val="1"/>
          <w:numId w:val="12"/>
        </w:numPr>
        <w:rPr>
          <w:lang w:val="en-US"/>
        </w:rPr>
      </w:pPr>
      <w:r w:rsidRPr="00AF6044">
        <w:rPr>
          <w:b/>
          <w:color w:val="800000"/>
          <w:lang w:val="en-US"/>
        </w:rPr>
        <w:t>Immediate indefeasibility</w:t>
      </w:r>
      <w:r w:rsidRPr="00AF6044">
        <w:rPr>
          <w:lang w:val="en-US"/>
        </w:rPr>
        <w:t xml:space="preserve"> (see </w:t>
      </w:r>
      <w:r w:rsidRPr="00AF6044">
        <w:rPr>
          <w:i/>
          <w:color w:val="1F497D" w:themeColor="text2"/>
          <w:lang w:val="en-US"/>
        </w:rPr>
        <w:t>Frazer v. Walker</w:t>
      </w:r>
      <w:r w:rsidRPr="00AF6044">
        <w:rPr>
          <w:lang w:val="en-US"/>
        </w:rPr>
        <w:t>)</w:t>
      </w:r>
    </w:p>
    <w:p w:rsidR="0032575D" w:rsidRPr="00AF6044" w:rsidRDefault="0032575D" w:rsidP="0032575D">
      <w:pPr>
        <w:numPr>
          <w:ilvl w:val="2"/>
          <w:numId w:val="12"/>
        </w:numPr>
        <w:rPr>
          <w:lang w:val="en-US"/>
        </w:rPr>
      </w:pPr>
      <w:r w:rsidRPr="00AF6044">
        <w:rPr>
          <w:lang w:val="en-US"/>
        </w:rPr>
        <w:t>Application of general Torrens principles</w:t>
      </w:r>
    </w:p>
    <w:p w:rsidR="0032575D" w:rsidRPr="00AF6044" w:rsidRDefault="0032575D" w:rsidP="0032575D">
      <w:pPr>
        <w:numPr>
          <w:ilvl w:val="2"/>
          <w:numId w:val="12"/>
        </w:numPr>
        <w:rPr>
          <w:lang w:val="en-US"/>
        </w:rPr>
      </w:pPr>
      <w:r w:rsidRPr="00AF6044">
        <w:rPr>
          <w:lang w:val="en-US"/>
        </w:rPr>
        <w:t>If purchaser has not participated in forgery/fraud, he has guarantee of indefeasibility as soon as he is on title (i.e. the indefeasibility is immediate)</w:t>
      </w:r>
    </w:p>
    <w:p w:rsidR="0032575D" w:rsidRPr="00AF6044" w:rsidRDefault="0032575D" w:rsidP="0032575D">
      <w:pPr>
        <w:numPr>
          <w:ilvl w:val="2"/>
          <w:numId w:val="12"/>
        </w:numPr>
        <w:rPr>
          <w:lang w:val="en-US"/>
        </w:rPr>
      </w:pPr>
      <w:r w:rsidRPr="00AF6044">
        <w:rPr>
          <w:lang w:val="en-US"/>
        </w:rPr>
        <w:t>Example: C is protected. A will have to seek recovery against the Fund</w:t>
      </w:r>
    </w:p>
    <w:p w:rsidR="0032575D" w:rsidRPr="00AF6044" w:rsidRDefault="0032575D" w:rsidP="0032575D">
      <w:pPr>
        <w:numPr>
          <w:ilvl w:val="1"/>
          <w:numId w:val="12"/>
        </w:numPr>
        <w:rPr>
          <w:lang w:val="en-US"/>
        </w:rPr>
      </w:pPr>
      <w:r w:rsidRPr="00AF6044">
        <w:rPr>
          <w:b/>
          <w:color w:val="800000"/>
          <w:lang w:val="en-US"/>
        </w:rPr>
        <w:t>Deferred indefeasibility</w:t>
      </w:r>
      <w:r w:rsidRPr="00AF6044">
        <w:rPr>
          <w:lang w:val="en-US"/>
        </w:rPr>
        <w:t xml:space="preserve"> (see </w:t>
      </w:r>
      <w:r w:rsidRPr="00AF6044">
        <w:rPr>
          <w:i/>
          <w:color w:val="1F497D" w:themeColor="text2"/>
          <w:lang w:val="en-US"/>
        </w:rPr>
        <w:t>Gibbs v. Messer</w:t>
      </w:r>
      <w:r w:rsidRPr="00AF6044">
        <w:rPr>
          <w:lang w:val="en-US"/>
        </w:rPr>
        <w:t>)</w:t>
      </w:r>
    </w:p>
    <w:p w:rsidR="0032575D" w:rsidRPr="00AF6044" w:rsidRDefault="0032575D" w:rsidP="0032575D">
      <w:pPr>
        <w:numPr>
          <w:ilvl w:val="2"/>
          <w:numId w:val="12"/>
        </w:numPr>
        <w:rPr>
          <w:lang w:val="en-US"/>
        </w:rPr>
      </w:pPr>
      <w:r w:rsidRPr="00AF6044">
        <w:rPr>
          <w:lang w:val="en-US"/>
        </w:rPr>
        <w:t>Forgery treated</w:t>
      </w:r>
      <w:r w:rsidR="00A149E7">
        <w:rPr>
          <w:lang w:val="en-US"/>
        </w:rPr>
        <w:t xml:space="preserve"> as</w:t>
      </w:r>
      <w:r w:rsidRPr="00AF6044">
        <w:rPr>
          <w:lang w:val="en-US"/>
        </w:rPr>
        <w:t xml:space="preserve"> an exception to general Torrens principles</w:t>
      </w:r>
    </w:p>
    <w:p w:rsidR="0032575D" w:rsidRPr="00AF6044" w:rsidRDefault="0032575D" w:rsidP="0032575D">
      <w:pPr>
        <w:numPr>
          <w:ilvl w:val="2"/>
          <w:numId w:val="12"/>
        </w:numPr>
        <w:rPr>
          <w:lang w:val="en-US"/>
        </w:rPr>
      </w:pPr>
      <w:r w:rsidRPr="00AF6044">
        <w:rPr>
          <w:lang w:val="en-US"/>
        </w:rPr>
        <w:t>Person taking title through a forged instrument, even if completely innocent, does not have indefeasible title</w:t>
      </w:r>
    </w:p>
    <w:p w:rsidR="0032575D" w:rsidRPr="00AF6044" w:rsidRDefault="0032575D" w:rsidP="0032575D">
      <w:pPr>
        <w:numPr>
          <w:ilvl w:val="2"/>
          <w:numId w:val="12"/>
        </w:numPr>
        <w:rPr>
          <w:lang w:val="en-US"/>
        </w:rPr>
      </w:pPr>
      <w:r w:rsidRPr="00AF6044">
        <w:rPr>
          <w:lang w:val="en-US"/>
        </w:rPr>
        <w:t>However, he can give good root of title to a subsequent purchaser (i.e. the indefeasibility is deferred until such a purchaser takes place)</w:t>
      </w:r>
    </w:p>
    <w:p w:rsidR="0032575D" w:rsidRPr="00AF6044" w:rsidRDefault="0032575D" w:rsidP="0032575D">
      <w:pPr>
        <w:numPr>
          <w:ilvl w:val="2"/>
          <w:numId w:val="12"/>
        </w:numPr>
        <w:rPr>
          <w:lang w:val="en-US"/>
        </w:rPr>
      </w:pPr>
      <w:r w:rsidRPr="00AF6044">
        <w:rPr>
          <w:lang w:val="en-US"/>
        </w:rPr>
        <w:t>Example: A could recover property from C, but if C transferred FS to D, D would then have indefeasible title. A will have to claim against Fund. C has no protection!</w:t>
      </w:r>
    </w:p>
    <w:p w:rsidR="0032575D" w:rsidRPr="00AF6044" w:rsidRDefault="0032575D" w:rsidP="0032575D">
      <w:pPr>
        <w:rPr>
          <w:lang w:val="en-US"/>
        </w:rPr>
      </w:pPr>
    </w:p>
    <w:p w:rsidR="001853A3" w:rsidRPr="00AF6044" w:rsidRDefault="001853A3" w:rsidP="00772724"/>
    <w:p w:rsidR="001853A3" w:rsidRPr="00AF6044" w:rsidRDefault="001853A3" w:rsidP="00772724">
      <w:pPr>
        <w:rPr>
          <w:i/>
          <w:color w:val="1F497D" w:themeColor="text2"/>
        </w:rPr>
      </w:pPr>
      <w:r w:rsidRPr="00AF6044">
        <w:t xml:space="preserve">Legislature of BC tried to resolve the uncertainty in the law from the conflicting approaches through </w:t>
      </w:r>
      <w:r w:rsidRPr="00AF6044">
        <w:rPr>
          <w:color w:val="1F497D" w:themeColor="text2"/>
        </w:rPr>
        <w:t>Section 25.1</w:t>
      </w:r>
      <w:r w:rsidRPr="00AF6044">
        <w:t xml:space="preserve"> of </w:t>
      </w:r>
      <w:r w:rsidRPr="00AF6044">
        <w:rPr>
          <w:i/>
          <w:color w:val="1F497D" w:themeColor="text2"/>
        </w:rPr>
        <w:t>Land Title Act</w:t>
      </w:r>
    </w:p>
    <w:p w:rsidR="001853A3" w:rsidRPr="00AF6044" w:rsidRDefault="001853A3" w:rsidP="00772724">
      <w:pPr>
        <w:rPr>
          <w:color w:val="1F497D" w:themeColor="text2"/>
        </w:rPr>
      </w:pPr>
    </w:p>
    <w:p w:rsidR="001853A3" w:rsidRPr="00AF6044" w:rsidRDefault="001853A3" w:rsidP="00772724">
      <w:r w:rsidRPr="00B70FDF">
        <w:rPr>
          <w:color w:val="1F497D" w:themeColor="text2"/>
        </w:rPr>
        <w:t>25.1 (1)</w:t>
      </w:r>
      <w:r w:rsidRPr="00AF6044">
        <w:t xml:space="preserve"> Subject to this section, a person who purports to acquire land or an estate or interest in the land </w:t>
      </w:r>
      <w:r w:rsidRPr="00AF6044">
        <w:rPr>
          <w:b/>
          <w:color w:val="800000"/>
        </w:rPr>
        <w:t>by registration of a void instrument does not acquire</w:t>
      </w:r>
      <w:r w:rsidRPr="00AF6044">
        <w:t xml:space="preserve"> any estate or interest in the land or registration of the instrument. [</w:t>
      </w:r>
      <w:r w:rsidRPr="00AF6044">
        <w:rPr>
          <w:b/>
          <w:i/>
        </w:rPr>
        <w:t>deferred indefeasibility</w:t>
      </w:r>
      <w:r w:rsidR="00AF5D94" w:rsidRPr="00AF6044">
        <w:rPr>
          <w:b/>
          <w:i/>
        </w:rPr>
        <w:t>, nemo dat</w:t>
      </w:r>
      <w:r w:rsidRPr="00AF6044">
        <w:t>]</w:t>
      </w:r>
    </w:p>
    <w:p w:rsidR="001853A3" w:rsidRPr="00AF6044" w:rsidRDefault="001853A3" w:rsidP="00772724"/>
    <w:p w:rsidR="001853A3" w:rsidRPr="00AF6044" w:rsidRDefault="001853A3" w:rsidP="00772724">
      <w:r w:rsidRPr="00B70FDF">
        <w:rPr>
          <w:color w:val="1F497D" w:themeColor="text2"/>
        </w:rPr>
        <w:t>(2)</w:t>
      </w:r>
      <w:r w:rsidRPr="00AF6044">
        <w:t xml:space="preserve"> Even though an instrument purporting to transfer a </w:t>
      </w:r>
      <w:r w:rsidRPr="00AF6044">
        <w:rPr>
          <w:b/>
          <w:color w:val="800000"/>
        </w:rPr>
        <w:t>fee simple estate</w:t>
      </w:r>
      <w:r w:rsidRPr="00AF6044">
        <w:t xml:space="preserve"> is void, a transferee who </w:t>
      </w:r>
    </w:p>
    <w:p w:rsidR="001853A3" w:rsidRPr="00AF6044" w:rsidRDefault="001853A3" w:rsidP="00772724"/>
    <w:p w:rsidR="001853A3" w:rsidRPr="00AF6044" w:rsidRDefault="001853A3" w:rsidP="001853A3">
      <w:pPr>
        <w:pStyle w:val="ListParagraph"/>
        <w:numPr>
          <w:ilvl w:val="0"/>
          <w:numId w:val="13"/>
        </w:numPr>
      </w:pPr>
      <w:r w:rsidRPr="00AF6044">
        <w:t xml:space="preserve">is named in the instrument, and </w:t>
      </w:r>
    </w:p>
    <w:p w:rsidR="001853A3" w:rsidRPr="00AF6044" w:rsidRDefault="001853A3" w:rsidP="001853A3">
      <w:pPr>
        <w:pStyle w:val="ListParagraph"/>
        <w:numPr>
          <w:ilvl w:val="0"/>
          <w:numId w:val="13"/>
        </w:numPr>
      </w:pPr>
      <w:r w:rsidRPr="00AF6044">
        <w:t xml:space="preserve">in </w:t>
      </w:r>
      <w:r w:rsidRPr="00AF6044">
        <w:rPr>
          <w:b/>
          <w:color w:val="800000"/>
        </w:rPr>
        <w:t>good faith and for valuable consideration</w:t>
      </w:r>
      <w:r w:rsidRPr="00AF6044">
        <w:t>, purports to acquire the estate,</w:t>
      </w:r>
    </w:p>
    <w:p w:rsidR="001853A3" w:rsidRPr="00AF6044" w:rsidRDefault="001853A3" w:rsidP="001853A3"/>
    <w:p w:rsidR="001853A3" w:rsidRPr="00AF6044" w:rsidRDefault="001853A3" w:rsidP="001853A3">
      <w:r w:rsidRPr="00AF6044">
        <w:t xml:space="preserve">Is </w:t>
      </w:r>
      <w:r w:rsidRPr="00AF6044">
        <w:rPr>
          <w:b/>
          <w:color w:val="800000"/>
        </w:rPr>
        <w:t>deemed to have acquired</w:t>
      </w:r>
      <w:r w:rsidRPr="00AF6044">
        <w:t xml:space="preserve"> that estate on registration of that instrument. [</w:t>
      </w:r>
      <w:r w:rsidRPr="002369F8">
        <w:rPr>
          <w:b/>
          <w:i/>
          <w:color w:val="800000"/>
        </w:rPr>
        <w:t>immediate indefeasibility</w:t>
      </w:r>
      <w:r w:rsidRPr="00AF6044">
        <w:t>]</w:t>
      </w:r>
    </w:p>
    <w:p w:rsidR="001853A3" w:rsidRPr="00AF6044" w:rsidRDefault="001853A3" w:rsidP="001853A3"/>
    <w:p w:rsidR="00AF5D94" w:rsidRPr="00AF6044" w:rsidRDefault="00B70FDF" w:rsidP="001853A3">
      <w:r w:rsidRPr="00B70FDF">
        <w:rPr>
          <w:color w:val="1F497D" w:themeColor="text2"/>
        </w:rPr>
        <w:t>25.</w:t>
      </w:r>
      <w:r w:rsidR="00CF0A7A" w:rsidRPr="00B70FDF">
        <w:rPr>
          <w:color w:val="1F497D" w:themeColor="text2"/>
        </w:rPr>
        <w:t>1 (3)</w:t>
      </w:r>
      <w:r w:rsidR="00CF0A7A" w:rsidRPr="00AF6044">
        <w:t xml:space="preserve"> extends protection to fee simple holders of </w:t>
      </w:r>
      <w:r w:rsidR="00CF0A7A" w:rsidRPr="00AF6044">
        <w:rPr>
          <w:i/>
        </w:rPr>
        <w:t>registered</w:t>
      </w:r>
      <w:r w:rsidR="00CF0A7A" w:rsidRPr="00AF6044">
        <w:t xml:space="preserve"> instruments that have been deemed void before the comin</w:t>
      </w:r>
      <w:r w:rsidR="00FA2027">
        <w:t>g into force of the section (</w:t>
      </w:r>
      <w:r w:rsidR="00FA2027" w:rsidRPr="00FA2027">
        <w:rPr>
          <w:color w:val="1F497D" w:themeColor="text2"/>
        </w:rPr>
        <w:t>25.1</w:t>
      </w:r>
      <w:r w:rsidR="00FA2027">
        <w:t>)</w:t>
      </w:r>
      <w:r w:rsidR="00CF0A7A" w:rsidRPr="00AF6044">
        <w:t>.</w:t>
      </w:r>
    </w:p>
    <w:p w:rsidR="00AF5D94" w:rsidRPr="00AF6044" w:rsidRDefault="00AF5D94" w:rsidP="001853A3"/>
    <w:p w:rsidR="007C02B7" w:rsidRPr="00AF6044" w:rsidRDefault="00AF5D94" w:rsidP="001853A3">
      <w:r w:rsidRPr="00AF6044">
        <w:t xml:space="preserve">Only BFPV Registered Fee Simple Holders are protected, all other BFPV registered interests only have a </w:t>
      </w:r>
      <w:r w:rsidRPr="002369F8">
        <w:rPr>
          <w:i/>
          <w:color w:val="800000"/>
        </w:rPr>
        <w:t>rebuttable presumption</w:t>
      </w:r>
      <w:r w:rsidRPr="00AF6044">
        <w:t xml:space="preserve"> of entitlement (</w:t>
      </w:r>
      <w:r w:rsidRPr="00AF6044">
        <w:rPr>
          <w:i/>
          <w:color w:val="1F497D" w:themeColor="text2"/>
        </w:rPr>
        <w:t>Credit Foncier Franco-Canadien v Bennett</w:t>
      </w:r>
      <w:r w:rsidR="007C02B7" w:rsidRPr="00AF6044">
        <w:rPr>
          <w:i/>
        </w:rPr>
        <w:t>,</w:t>
      </w:r>
      <w:r w:rsidR="007C02B7" w:rsidRPr="00AF6044">
        <w:rPr>
          <w:i/>
          <w:color w:val="1F497D" w:themeColor="text2"/>
        </w:rPr>
        <w:t xml:space="preserve"> Gill v Bucholtz</w:t>
      </w:r>
      <w:r w:rsidRPr="00AF6044">
        <w:t>)</w:t>
      </w:r>
    </w:p>
    <w:p w:rsidR="007C02B7" w:rsidRPr="00AF6044" w:rsidRDefault="007C02B7" w:rsidP="001853A3"/>
    <w:p w:rsidR="00CF0A7A" w:rsidRPr="00AF6044" w:rsidRDefault="007C02B7" w:rsidP="001853A3">
      <w:r w:rsidRPr="00AF6044">
        <w:t xml:space="preserve">In </w:t>
      </w:r>
      <w:r w:rsidRPr="00AF6044">
        <w:rPr>
          <w:i/>
          <w:color w:val="1F497D" w:themeColor="text2"/>
        </w:rPr>
        <w:t>First West Credit Union v Giesbrecht</w:t>
      </w:r>
      <w:r w:rsidRPr="00AF6044">
        <w:t xml:space="preserve"> 2013 BCCA, court emphasized difference between fraud as forgery and other types of fraud that render a transaction voidable. You have to be previous registered owner to be “a person deprived of land” pursuant </w:t>
      </w:r>
      <w:r w:rsidRPr="00AF6044">
        <w:rPr>
          <w:color w:val="1F497D" w:themeColor="text2"/>
        </w:rPr>
        <w:t>Section 23(2)(i)</w:t>
      </w:r>
      <w:r w:rsidRPr="00AF6044">
        <w:t xml:space="preserve">, to claim that a transfer is void, or it has to be a forgery which makes it void </w:t>
      </w:r>
      <w:r w:rsidRPr="00AF6044">
        <w:rPr>
          <w:i/>
        </w:rPr>
        <w:t>per se</w:t>
      </w:r>
      <w:r w:rsidRPr="00AF6044">
        <w:t xml:space="preserve">. Other types of fraudulent actions, like misrepresentation make a transfer voidable, but not </w:t>
      </w:r>
      <w:r w:rsidRPr="00AF6044">
        <w:rPr>
          <w:i/>
        </w:rPr>
        <w:t>void</w:t>
      </w:r>
      <w:r w:rsidRPr="00AF6044">
        <w:t>, and so it stands in effect until it is made void.</w:t>
      </w:r>
    </w:p>
    <w:p w:rsidR="00CF0A7A" w:rsidRPr="00AF6044" w:rsidRDefault="00CF0A7A" w:rsidP="001853A3">
      <w:pPr>
        <w:pBdr>
          <w:bottom w:val="single" w:sz="12" w:space="1" w:color="auto"/>
        </w:pBdr>
      </w:pPr>
    </w:p>
    <w:p w:rsidR="00CF0A7A" w:rsidRPr="002A7294" w:rsidRDefault="00CF0A7A" w:rsidP="003A60FA">
      <w:pPr>
        <w:pStyle w:val="Heading3"/>
      </w:pPr>
      <w:bookmarkStart w:id="32" w:name="_Toc259911020"/>
      <w:r w:rsidRPr="00AF6044">
        <w:rPr>
          <w:highlight w:val="yellow"/>
        </w:rPr>
        <w:t>GILL v BUCHOLTZ</w:t>
      </w:r>
      <w:r w:rsidR="004909E1">
        <w:t xml:space="preserve"> </w:t>
      </w:r>
      <w:r w:rsidR="004909E1" w:rsidRPr="003A60FA">
        <w:rPr>
          <w:b w:val="0"/>
        </w:rPr>
        <w:t xml:space="preserve">all BFPV interests lower than FS only give rise to </w:t>
      </w:r>
      <w:r w:rsidR="004909E1" w:rsidRPr="003A60FA">
        <w:rPr>
          <w:b w:val="0"/>
          <w:i/>
        </w:rPr>
        <w:t>rebuttable presumption of entitlement</w:t>
      </w:r>
      <w:r w:rsidR="002A7294" w:rsidRPr="003A60FA">
        <w:rPr>
          <w:b w:val="0"/>
          <w:i/>
        </w:rPr>
        <w:t xml:space="preserve"> </w:t>
      </w:r>
      <w:r w:rsidR="002A7294" w:rsidRPr="003A60FA">
        <w:rPr>
          <w:b w:val="0"/>
        </w:rPr>
        <w:t>/ First West Credit Union note (void vs voidable)</w:t>
      </w:r>
      <w:bookmarkEnd w:id="32"/>
    </w:p>
    <w:p w:rsidR="00CF0A7A" w:rsidRPr="00AF6044" w:rsidRDefault="00CF0A7A" w:rsidP="001853A3"/>
    <w:p w:rsidR="00CF0A7A" w:rsidRPr="00AF6044" w:rsidRDefault="00B70FDF" w:rsidP="001853A3">
      <w:r w:rsidRPr="00AF6044">
        <w:t>FACTS:</w:t>
      </w:r>
    </w:p>
    <w:p w:rsidR="00CF0A7A" w:rsidRPr="00AF6044" w:rsidRDefault="00CF0A7A" w:rsidP="001853A3"/>
    <w:p w:rsidR="00283CAF" w:rsidRPr="00AF6044" w:rsidRDefault="00283CAF" w:rsidP="001853A3">
      <w:r w:rsidRPr="00AF6044">
        <w:t xml:space="preserve">Gill is the victim of fraud on the part of B. B then takes out a mortgage on the property payable to Bucholtz. Gill discovers fraud, files a caveat and lis pendens. Gill has his property restored but sues Bucholtz to get mortgage off title. </w:t>
      </w:r>
    </w:p>
    <w:p w:rsidR="00283CAF" w:rsidRPr="00AF6044" w:rsidRDefault="00283CAF" w:rsidP="001853A3"/>
    <w:p w:rsidR="00283CAF" w:rsidRPr="00AF6044" w:rsidRDefault="00283CAF" w:rsidP="001853A3">
      <w:r w:rsidRPr="00AF6044">
        <w:t xml:space="preserve">Bucholtz win at trial, trial judge thinks </w:t>
      </w:r>
      <w:r w:rsidRPr="00AF6044">
        <w:rPr>
          <w:i/>
        </w:rPr>
        <w:t xml:space="preserve">LTA </w:t>
      </w:r>
      <w:r w:rsidRPr="00AF6044">
        <w:t>grants immediate defeasibility for all bona fide registered property interests. Gill appeal</w:t>
      </w:r>
    </w:p>
    <w:p w:rsidR="00283CAF" w:rsidRPr="00AF6044" w:rsidRDefault="00283CAF" w:rsidP="001853A3"/>
    <w:p w:rsidR="00283CAF" w:rsidRPr="00AF6044" w:rsidRDefault="00B70FDF" w:rsidP="001853A3">
      <w:r w:rsidRPr="00AF6044">
        <w:t>HELD</w:t>
      </w:r>
      <w:r w:rsidR="00283CAF" w:rsidRPr="00AF6044">
        <w:t>:</w:t>
      </w:r>
    </w:p>
    <w:p w:rsidR="00283CAF" w:rsidRPr="00AF6044" w:rsidRDefault="00283CAF" w:rsidP="001853A3"/>
    <w:p w:rsidR="00283CAF" w:rsidRPr="00AF6044" w:rsidRDefault="00283CAF" w:rsidP="001853A3">
      <w:r w:rsidRPr="00AF6044">
        <w:t xml:space="preserve">Appeal allowed. </w:t>
      </w:r>
    </w:p>
    <w:p w:rsidR="00283CAF" w:rsidRPr="00AF6044" w:rsidRDefault="00283CAF" w:rsidP="001853A3"/>
    <w:p w:rsidR="00283CAF" w:rsidRPr="00AF6044" w:rsidRDefault="00B70FDF" w:rsidP="001853A3">
      <w:r w:rsidRPr="00AF6044">
        <w:t>RATIO</w:t>
      </w:r>
      <w:r w:rsidR="00283CAF" w:rsidRPr="00AF6044">
        <w:t>:</w:t>
      </w:r>
    </w:p>
    <w:p w:rsidR="00283CAF" w:rsidRPr="00AF6044" w:rsidRDefault="00283CAF" w:rsidP="001853A3"/>
    <w:p w:rsidR="002A7294" w:rsidRDefault="00283CAF" w:rsidP="001853A3">
      <w:r w:rsidRPr="00AF6044">
        <w:t xml:space="preserve">Only bona fide purchasers for value registered owners (fee simple holders) have immediate </w:t>
      </w:r>
      <w:r w:rsidR="007C02B7" w:rsidRPr="00AF6044">
        <w:t>in</w:t>
      </w:r>
      <w:r w:rsidRPr="00AF6044">
        <w:t xml:space="preserve">defeasibility and are protected from innocent victim of fraud previous registered owner. </w:t>
      </w:r>
      <w:r w:rsidR="007C02B7" w:rsidRPr="00AF6044">
        <w:t xml:space="preserve">All lower interests are subject to deferred indefeasibility, </w:t>
      </w:r>
      <w:r w:rsidR="007C02B7" w:rsidRPr="00AF6044">
        <w:rPr>
          <w:i/>
        </w:rPr>
        <w:t>nemo dat</w:t>
      </w:r>
      <w:r w:rsidR="007C02B7" w:rsidRPr="00AF6044">
        <w:t xml:space="preserve"> applies and since their interests were granted by a void instrument, then they only get a </w:t>
      </w:r>
      <w:r w:rsidR="007C02B7" w:rsidRPr="00AF6044">
        <w:rPr>
          <w:i/>
        </w:rPr>
        <w:t>rebuttable presumption of entitlement</w:t>
      </w:r>
      <w:r w:rsidR="007C02B7" w:rsidRPr="00AF6044">
        <w:t>.</w:t>
      </w:r>
    </w:p>
    <w:p w:rsidR="002A7294" w:rsidRDefault="002A7294" w:rsidP="001853A3"/>
    <w:p w:rsidR="002A7294" w:rsidRPr="00AF6044" w:rsidRDefault="002A7294" w:rsidP="002A7294">
      <w:r w:rsidRPr="00AF6044">
        <w:t xml:space="preserve">In </w:t>
      </w:r>
      <w:r w:rsidRPr="00AF6044">
        <w:rPr>
          <w:i/>
          <w:color w:val="1F497D" w:themeColor="text2"/>
        </w:rPr>
        <w:t>First West Credit Union v Giesbrecht</w:t>
      </w:r>
      <w:r w:rsidRPr="00AF6044">
        <w:t xml:space="preserve"> 2013 BCCA, court emphasized difference between fraud as forgery and other types of fraud that render a transaction voidable. You have to be previous registered owner to be “a person deprived of land” pursuant </w:t>
      </w:r>
      <w:r w:rsidRPr="00AF6044">
        <w:rPr>
          <w:color w:val="1F497D" w:themeColor="text2"/>
        </w:rPr>
        <w:t>Section 23(2)(i)</w:t>
      </w:r>
      <w:r w:rsidRPr="00AF6044">
        <w:t xml:space="preserve">, to claim that a transfer is void, or it has to be a forgery which makes it void </w:t>
      </w:r>
      <w:r w:rsidRPr="00AF6044">
        <w:rPr>
          <w:i/>
        </w:rPr>
        <w:t>per se</w:t>
      </w:r>
      <w:r w:rsidRPr="00AF6044">
        <w:t xml:space="preserve">. Other types of fraudulent actions, like misrepresentation make a transfer voidable, but not </w:t>
      </w:r>
      <w:r w:rsidRPr="00AF6044">
        <w:rPr>
          <w:i/>
        </w:rPr>
        <w:t>void</w:t>
      </w:r>
      <w:r w:rsidRPr="00AF6044">
        <w:t>, and so it stands in effect until it is made void.</w:t>
      </w:r>
    </w:p>
    <w:p w:rsidR="007C02B7" w:rsidRPr="00AF6044" w:rsidRDefault="007C02B7" w:rsidP="001853A3">
      <w:pPr>
        <w:pBdr>
          <w:bottom w:val="single" w:sz="12" w:space="1" w:color="auto"/>
        </w:pBdr>
      </w:pPr>
    </w:p>
    <w:p w:rsidR="007C02B7" w:rsidRPr="00AF6044" w:rsidRDefault="007C02B7" w:rsidP="001853A3"/>
    <w:p w:rsidR="00874AE8" w:rsidRPr="00AF6044" w:rsidRDefault="00874AE8" w:rsidP="001853A3">
      <w:pPr>
        <w:rPr>
          <w:b/>
          <w:sz w:val="22"/>
          <w:u w:val="single"/>
        </w:rPr>
      </w:pPr>
    </w:p>
    <w:p w:rsidR="00874AE8" w:rsidRPr="009A3B0F" w:rsidRDefault="00874AE8" w:rsidP="009A3B0F">
      <w:pPr>
        <w:pStyle w:val="Heading2"/>
        <w:rPr>
          <w:b w:val="0"/>
        </w:rPr>
      </w:pPr>
      <w:bookmarkStart w:id="33" w:name="_Toc259911021"/>
      <w:r w:rsidRPr="00AF6044">
        <w:t>Notice of Unregistered Interests</w:t>
      </w:r>
      <w:r w:rsidR="009A3B0F">
        <w:t xml:space="preserve"> – </w:t>
      </w:r>
      <w:r w:rsidR="009A3B0F" w:rsidRPr="009A3B0F">
        <w:rPr>
          <w:b w:val="0"/>
        </w:rPr>
        <w:t>curtain principles abolishes equitable doctrine of notice</w:t>
      </w:r>
      <w:r w:rsidR="00B37448">
        <w:rPr>
          <w:b w:val="0"/>
        </w:rPr>
        <w:t xml:space="preserve"> (replaces with “notice+”)</w:t>
      </w:r>
      <w:bookmarkEnd w:id="33"/>
    </w:p>
    <w:p w:rsidR="00874AE8" w:rsidRPr="00AF6044" w:rsidRDefault="00874AE8" w:rsidP="001853A3">
      <w:pPr>
        <w:rPr>
          <w:b/>
          <w:sz w:val="22"/>
          <w:u w:val="single"/>
        </w:rPr>
      </w:pPr>
    </w:p>
    <w:p w:rsidR="008C6269" w:rsidRPr="00AF6044" w:rsidRDefault="008C6269" w:rsidP="001853A3">
      <w:r w:rsidRPr="00AF6044">
        <w:t>The abolition of the equitable doctrine of notice is one of the hallmark principles of the Torrens System (“</w:t>
      </w:r>
      <w:r w:rsidRPr="00B70FDF">
        <w:rPr>
          <w:color w:val="800000"/>
        </w:rPr>
        <w:t>curtain</w:t>
      </w:r>
      <w:r w:rsidRPr="00AF6044">
        <w:t>”).</w:t>
      </w:r>
    </w:p>
    <w:p w:rsidR="008C6269" w:rsidRPr="00AF6044" w:rsidRDefault="008C6269" w:rsidP="001853A3"/>
    <w:p w:rsidR="00874AE8" w:rsidRPr="00AF6044" w:rsidRDefault="00874AE8" w:rsidP="001853A3">
      <w:r w:rsidRPr="00AF6044">
        <w:rPr>
          <w:color w:val="1F497D" w:themeColor="text2"/>
        </w:rPr>
        <w:t>Land Title Act s 29</w:t>
      </w:r>
      <w:r w:rsidRPr="00AF6044">
        <w:t xml:space="preserve"> says that despite any rule of law or equity to the contrary, a person contracting or dealing with or taking or proposing to take from a registered owner a transfer of land or any lesser charge on the land is not affected by a notice (express, implied or constructive) of an unregistered interest affecting the land or charge other than:</w:t>
      </w:r>
    </w:p>
    <w:p w:rsidR="00874AE8" w:rsidRPr="00AF6044" w:rsidRDefault="00874AE8" w:rsidP="001853A3"/>
    <w:p w:rsidR="00874AE8" w:rsidRPr="00AF6044" w:rsidRDefault="00874AE8" w:rsidP="00874AE8">
      <w:pPr>
        <w:pStyle w:val="ListParagraph"/>
        <w:numPr>
          <w:ilvl w:val="0"/>
          <w:numId w:val="14"/>
        </w:numPr>
      </w:pPr>
      <w:r w:rsidRPr="00AF6044">
        <w:t>lease &lt; 3 years</w:t>
      </w:r>
    </w:p>
    <w:p w:rsidR="00874AE8" w:rsidRPr="00AF6044" w:rsidRDefault="00874AE8" w:rsidP="00874AE8">
      <w:pPr>
        <w:pStyle w:val="ListParagraph"/>
        <w:numPr>
          <w:ilvl w:val="0"/>
          <w:numId w:val="14"/>
        </w:numPr>
      </w:pPr>
      <w:r w:rsidRPr="00AF6044">
        <w:t>an interest, the registration of which is pending</w:t>
      </w:r>
    </w:p>
    <w:p w:rsidR="00874AE8" w:rsidRPr="00AF6044" w:rsidRDefault="00874AE8" w:rsidP="00874AE8">
      <w:pPr>
        <w:pStyle w:val="ListParagraph"/>
        <w:numPr>
          <w:ilvl w:val="0"/>
          <w:numId w:val="14"/>
        </w:numPr>
      </w:pPr>
      <w:r w:rsidRPr="00AF6044">
        <w:t xml:space="preserve">the title of a person against which the fee simple title is void under </w:t>
      </w:r>
      <w:r w:rsidRPr="00AF6044">
        <w:rPr>
          <w:color w:val="1F497D" w:themeColor="text2"/>
        </w:rPr>
        <w:t>section 23(4)</w:t>
      </w:r>
    </w:p>
    <w:p w:rsidR="00874AE8" w:rsidRPr="00AF6044" w:rsidRDefault="00874AE8" w:rsidP="00874AE8"/>
    <w:p w:rsidR="00944972" w:rsidRPr="00AF6044" w:rsidRDefault="008C6269" w:rsidP="00874AE8">
      <w:r w:rsidRPr="00AF6044">
        <w:t>However, the case law shows the Courts being unwilling to let people use the Land Title Act as a</w:t>
      </w:r>
      <w:r w:rsidR="00D9027F">
        <w:t>n</w:t>
      </w:r>
      <w:r w:rsidRPr="00AF6044">
        <w:t xml:space="preserve"> instrument of fraud and hide behind it to get rid of unregistered interests (</w:t>
      </w:r>
      <w:r w:rsidRPr="00AF6044">
        <w:rPr>
          <w:i/>
          <w:color w:val="1F497D" w:themeColor="text2"/>
        </w:rPr>
        <w:t>McCaig</w:t>
      </w:r>
      <w:r w:rsidRPr="00AF6044">
        <w:t xml:space="preserve">). </w:t>
      </w:r>
    </w:p>
    <w:p w:rsidR="00944972" w:rsidRPr="00AF6044" w:rsidRDefault="00944972" w:rsidP="00874AE8"/>
    <w:p w:rsidR="00944972" w:rsidRPr="00AF6044" w:rsidRDefault="00944972" w:rsidP="00944972">
      <w:pPr>
        <w:rPr>
          <w:lang w:val="en-CA"/>
        </w:rPr>
      </w:pPr>
      <w:r w:rsidRPr="00AF6044">
        <w:rPr>
          <w:lang w:val="en-CA"/>
        </w:rPr>
        <w:t>.</w:t>
      </w:r>
    </w:p>
    <w:p w:rsidR="00944972" w:rsidRPr="00AF6044" w:rsidRDefault="00944972" w:rsidP="00944972">
      <w:pPr>
        <w:numPr>
          <w:ilvl w:val="0"/>
          <w:numId w:val="16"/>
        </w:numPr>
        <w:rPr>
          <w:lang w:val="en-CA"/>
        </w:rPr>
      </w:pPr>
      <w:r w:rsidRPr="00AF6044">
        <w:rPr>
          <w:lang w:val="en-CA"/>
        </w:rPr>
        <w:t xml:space="preserve">Privy Council in </w:t>
      </w:r>
      <w:r w:rsidRPr="00AF6044">
        <w:rPr>
          <w:i/>
          <w:color w:val="1F497D" w:themeColor="text2"/>
          <w:lang w:val="en-CA"/>
        </w:rPr>
        <w:t>Assets Company vs. Mere Roihi</w:t>
      </w:r>
      <w:r w:rsidRPr="00AF6044">
        <w:rPr>
          <w:lang w:val="en-CA"/>
        </w:rPr>
        <w:t xml:space="preserve"> said that Torrens Act meant actual fraud, dishonesty of some sort, not constructive or equitable fraud.  It’s not just behaving negligently or carelessly, it is actual fraud or dishonesty, deliberately carrying out the purpose. </w:t>
      </w:r>
    </w:p>
    <w:p w:rsidR="00944972" w:rsidRPr="00AF6044" w:rsidRDefault="00944972" w:rsidP="00944972">
      <w:pPr>
        <w:numPr>
          <w:ilvl w:val="0"/>
          <w:numId w:val="16"/>
        </w:numPr>
        <w:rPr>
          <w:lang w:val="en-CA"/>
        </w:rPr>
      </w:pPr>
      <w:r w:rsidRPr="00D128DE">
        <w:rPr>
          <w:b/>
          <w:color w:val="800000"/>
          <w:lang w:val="en-CA"/>
        </w:rPr>
        <w:t xml:space="preserve">If an agent commits fraud on behalf of registered owner, than that fraud is attributed to registered owner. </w:t>
      </w:r>
      <w:r w:rsidRPr="00AF6044">
        <w:rPr>
          <w:lang w:val="en-CA"/>
        </w:rPr>
        <w:t xml:space="preserve"> The agent must be acting FOR the principal in committing the fraud.  If the principal is the victim of the fraud, then that is not attributable</w:t>
      </w:r>
      <w:r w:rsidR="00D128DE">
        <w:rPr>
          <w:lang w:val="en-CA"/>
        </w:rPr>
        <w:t xml:space="preserve">. This is called </w:t>
      </w:r>
      <w:r w:rsidR="00D128DE" w:rsidRPr="00D128DE">
        <w:rPr>
          <w:b/>
          <w:i/>
          <w:color w:val="800000"/>
          <w:lang w:val="en-CA"/>
        </w:rPr>
        <w:t>imputed notice</w:t>
      </w:r>
      <w:r w:rsidR="00D128DE">
        <w:rPr>
          <w:lang w:val="en-CA"/>
        </w:rPr>
        <w:t xml:space="preserve"> (</w:t>
      </w:r>
      <w:r w:rsidR="00D128DE" w:rsidRPr="00D128DE">
        <w:rPr>
          <w:i/>
          <w:color w:val="1F497D" w:themeColor="text2"/>
          <w:lang w:val="en-CA"/>
        </w:rPr>
        <w:t>Greveling</w:t>
      </w:r>
      <w:r w:rsidR="00D128DE">
        <w:rPr>
          <w:lang w:val="en-CA"/>
        </w:rPr>
        <w:t>)</w:t>
      </w:r>
      <w:r w:rsidRPr="00AF6044">
        <w:rPr>
          <w:lang w:val="en-CA"/>
        </w:rPr>
        <w:t xml:space="preserve">.  </w:t>
      </w:r>
    </w:p>
    <w:p w:rsidR="00EC69CC" w:rsidRPr="00AF6044" w:rsidRDefault="00944972" w:rsidP="00EC69CC">
      <w:pPr>
        <w:numPr>
          <w:ilvl w:val="0"/>
          <w:numId w:val="16"/>
        </w:numPr>
      </w:pPr>
      <w:r w:rsidRPr="00AF6044">
        <w:rPr>
          <w:lang w:val="en-CA"/>
        </w:rPr>
        <w:t>Agent must be acting in the scope of authority of the principal for it to be attributable</w:t>
      </w:r>
    </w:p>
    <w:p w:rsidR="0091791D" w:rsidRDefault="00EC69CC" w:rsidP="00874AE8">
      <w:pPr>
        <w:numPr>
          <w:ilvl w:val="0"/>
          <w:numId w:val="16"/>
        </w:numPr>
      </w:pPr>
      <w:r w:rsidRPr="00AF6044">
        <w:rPr>
          <w:color w:val="800000"/>
        </w:rPr>
        <w:t xml:space="preserve">Fraud requires </w:t>
      </w:r>
      <w:r w:rsidRPr="00AF6044">
        <w:rPr>
          <w:b/>
          <w:color w:val="800000"/>
        </w:rPr>
        <w:t>direct proof</w:t>
      </w:r>
      <w:r w:rsidRPr="00AF6044">
        <w:rPr>
          <w:color w:val="800000"/>
        </w:rPr>
        <w:t xml:space="preserve"> and cannot be presumed</w:t>
      </w:r>
      <w:r w:rsidRPr="00AF6044">
        <w:t xml:space="preserve"> (</w:t>
      </w:r>
      <w:r w:rsidRPr="00AF6044">
        <w:rPr>
          <w:i/>
          <w:color w:val="1F497D" w:themeColor="text2"/>
        </w:rPr>
        <w:t>Hudson Bay Co</w:t>
      </w:r>
      <w:r w:rsidR="00D128DE" w:rsidRPr="00D128DE">
        <w:t xml:space="preserve">, </w:t>
      </w:r>
      <w:r w:rsidR="00D128DE">
        <w:rPr>
          <w:i/>
          <w:color w:val="1F497D" w:themeColor="text2"/>
        </w:rPr>
        <w:t>Re Saville Row</w:t>
      </w:r>
      <w:r w:rsidRPr="00AF6044">
        <w:t>).</w:t>
      </w:r>
      <w:r w:rsidR="0091791D">
        <w:t xml:space="preserve"> </w:t>
      </w:r>
    </w:p>
    <w:p w:rsidR="008C6269" w:rsidRPr="00AF6044" w:rsidRDefault="0091791D" w:rsidP="00874AE8">
      <w:pPr>
        <w:numPr>
          <w:ilvl w:val="0"/>
          <w:numId w:val="16"/>
        </w:numPr>
      </w:pPr>
      <w:r>
        <w:rPr>
          <w:color w:val="800000"/>
        </w:rPr>
        <w:t xml:space="preserve">Fraud in equity is </w:t>
      </w:r>
      <w:r w:rsidR="00511C14">
        <w:rPr>
          <w:color w:val="800000"/>
        </w:rPr>
        <w:t xml:space="preserve">a principle of common morality. </w:t>
      </w:r>
      <w:r w:rsidR="00511C14" w:rsidRPr="00511C14">
        <w:t>(</w:t>
      </w:r>
      <w:r w:rsidR="00511C14" w:rsidRPr="00511C14">
        <w:rPr>
          <w:i/>
          <w:color w:val="1F497D" w:themeColor="text2"/>
        </w:rPr>
        <w:t>Stiles v Tod Mountain Development</w:t>
      </w:r>
      <w:r w:rsidR="00511C14" w:rsidRPr="00511C14">
        <w:rPr>
          <w:color w:val="1F497D" w:themeColor="text2"/>
        </w:rPr>
        <w:t>)</w:t>
      </w:r>
    </w:p>
    <w:p w:rsidR="008C6269" w:rsidRPr="00AF6044" w:rsidRDefault="008C6269" w:rsidP="008C6269">
      <w:pPr>
        <w:numPr>
          <w:ilvl w:val="0"/>
          <w:numId w:val="15"/>
        </w:numPr>
        <w:rPr>
          <w:lang w:val="en-US"/>
        </w:rPr>
      </w:pPr>
      <w:r w:rsidRPr="00AF6044">
        <w:rPr>
          <w:lang w:val="en-US"/>
        </w:rPr>
        <w:t>Several important themes from cases</w:t>
      </w:r>
    </w:p>
    <w:p w:rsidR="00944972" w:rsidRPr="00AF6044" w:rsidRDefault="008C6269" w:rsidP="008C6269">
      <w:pPr>
        <w:numPr>
          <w:ilvl w:val="1"/>
          <w:numId w:val="15"/>
        </w:numPr>
        <w:rPr>
          <w:lang w:val="en-US"/>
        </w:rPr>
      </w:pPr>
      <w:r w:rsidRPr="00AF6044">
        <w:rPr>
          <w:lang w:val="en-US"/>
        </w:rPr>
        <w:t>What is the effect of the timing of the notice?</w:t>
      </w:r>
    </w:p>
    <w:p w:rsidR="008C6269" w:rsidRPr="00AF6044" w:rsidRDefault="00944972" w:rsidP="00944972">
      <w:pPr>
        <w:numPr>
          <w:ilvl w:val="2"/>
          <w:numId w:val="15"/>
        </w:numPr>
        <w:rPr>
          <w:lang w:val="en-US"/>
        </w:rPr>
      </w:pPr>
      <w:r w:rsidRPr="00AF6044">
        <w:rPr>
          <w:lang w:val="en-US"/>
        </w:rPr>
        <w:t>If</w:t>
      </w:r>
      <w:r w:rsidR="00EC69CC" w:rsidRPr="00AF6044">
        <w:rPr>
          <w:lang w:val="en-US"/>
        </w:rPr>
        <w:t xml:space="preserve"> express</w:t>
      </w:r>
      <w:r w:rsidRPr="00AF6044">
        <w:rPr>
          <w:lang w:val="en-US"/>
        </w:rPr>
        <w:t xml:space="preserve"> notice occurs </w:t>
      </w:r>
      <w:r w:rsidRPr="00770CC5">
        <w:rPr>
          <w:b/>
          <w:i/>
          <w:color w:val="800000"/>
          <w:lang w:val="en-US"/>
        </w:rPr>
        <w:t>before</w:t>
      </w:r>
      <w:r w:rsidRPr="00770CC5">
        <w:rPr>
          <w:color w:val="800000"/>
          <w:lang w:val="en-US"/>
        </w:rPr>
        <w:t xml:space="preserve"> </w:t>
      </w:r>
      <w:r w:rsidRPr="00AF6044">
        <w:rPr>
          <w:lang w:val="en-US"/>
        </w:rPr>
        <w:t>purchase and sale agreement then the Court can deem it to be fraudulent since it can be read as deliberately trying to bury the unregistered interest through registration.</w:t>
      </w:r>
      <w:r w:rsidR="00EC69CC" w:rsidRPr="00AF6044">
        <w:rPr>
          <w:lang w:val="en-US"/>
        </w:rPr>
        <w:t xml:space="preserve"> (</w:t>
      </w:r>
      <w:r w:rsidR="00EC69CC" w:rsidRPr="00AF6044">
        <w:rPr>
          <w:i/>
          <w:color w:val="1F497D" w:themeColor="text2"/>
          <w:lang w:val="en-US"/>
        </w:rPr>
        <w:t>Hudson Bay</w:t>
      </w:r>
      <w:r w:rsidR="00EC69CC" w:rsidRPr="00AF6044">
        <w:rPr>
          <w:lang w:val="en-US"/>
        </w:rPr>
        <w:t>)</w:t>
      </w:r>
    </w:p>
    <w:p w:rsidR="008C6269" w:rsidRPr="00AF6044" w:rsidRDefault="008C6269" w:rsidP="008C6269">
      <w:pPr>
        <w:rPr>
          <w:i/>
          <w:color w:val="800000"/>
          <w:sz w:val="16"/>
          <w:lang w:val="en-US"/>
        </w:rPr>
      </w:pPr>
      <w:r w:rsidRPr="00AF6044">
        <w:rPr>
          <w:i/>
          <w:color w:val="800000"/>
          <w:sz w:val="16"/>
          <w:lang w:val="en-US"/>
        </w:rPr>
        <w:t>Prior to negotiations—During negotiations but prior to K—</w:t>
      </w:r>
      <w:r w:rsidRPr="00AF6044">
        <w:rPr>
          <w:b/>
          <w:i/>
          <w:color w:val="800000"/>
          <w:sz w:val="16"/>
          <w:u w:val="single"/>
          <w:lang w:val="en-US"/>
        </w:rPr>
        <w:t>After K but prior to completion</w:t>
      </w:r>
      <w:r w:rsidR="00531B80">
        <w:rPr>
          <w:b/>
          <w:i/>
          <w:color w:val="800000"/>
          <w:sz w:val="16"/>
          <w:u w:val="single"/>
          <w:lang w:val="en-US"/>
        </w:rPr>
        <w:t xml:space="preserve"> [breaking point]</w:t>
      </w:r>
      <w:r w:rsidRPr="00AF6044">
        <w:rPr>
          <w:i/>
          <w:color w:val="800000"/>
          <w:sz w:val="16"/>
          <w:lang w:val="en-US"/>
        </w:rPr>
        <w:t>—Prior to application—Prior to registration</w:t>
      </w:r>
    </w:p>
    <w:p w:rsidR="008C6269" w:rsidRPr="00AF6044" w:rsidRDefault="008C6269" w:rsidP="008C6269">
      <w:pPr>
        <w:rPr>
          <w:i/>
          <w:color w:val="800000"/>
          <w:sz w:val="16"/>
          <w:lang w:val="en-US"/>
        </w:rPr>
      </w:pPr>
    </w:p>
    <w:p w:rsidR="008C6269" w:rsidRPr="00AF6044" w:rsidRDefault="008C6269" w:rsidP="008C6269">
      <w:pPr>
        <w:numPr>
          <w:ilvl w:val="1"/>
          <w:numId w:val="15"/>
        </w:numPr>
        <w:rPr>
          <w:lang w:val="en-US"/>
        </w:rPr>
      </w:pPr>
      <w:r w:rsidRPr="00AF6044">
        <w:rPr>
          <w:lang w:val="en-US"/>
        </w:rPr>
        <w:t>Does notice in and of itself constitute fraud if the purchaser subsequently seeks to disregard unregistered interest ("</w:t>
      </w:r>
      <w:r w:rsidRPr="00B70FDF">
        <w:rPr>
          <w:color w:val="800000"/>
          <w:lang w:val="en-US"/>
        </w:rPr>
        <w:t>notice</w:t>
      </w:r>
      <w:r w:rsidRPr="00AF6044">
        <w:rPr>
          <w:lang w:val="en-US"/>
        </w:rPr>
        <w:t>") OR must there be an element of dishonest conduct that goes beyond mere notice ("</w:t>
      </w:r>
      <w:r w:rsidRPr="00B70FDF">
        <w:rPr>
          <w:color w:val="800000"/>
          <w:lang w:val="en-US"/>
        </w:rPr>
        <w:t>notice plus</w:t>
      </w:r>
      <w:r w:rsidRPr="00AF6044">
        <w:rPr>
          <w:lang w:val="en-US"/>
        </w:rPr>
        <w:t xml:space="preserve">")? </w:t>
      </w:r>
    </w:p>
    <w:p w:rsidR="008C6269" w:rsidRPr="00AF6044" w:rsidRDefault="008C6269" w:rsidP="008C6269">
      <w:pPr>
        <w:numPr>
          <w:ilvl w:val="2"/>
          <w:numId w:val="15"/>
        </w:numPr>
        <w:rPr>
          <w:lang w:val="en-US"/>
        </w:rPr>
      </w:pPr>
      <w:r w:rsidRPr="00AF6044">
        <w:rPr>
          <w:lang w:val="en-US"/>
        </w:rPr>
        <w:t>In BC, has to be more than notice (i.e. "notice plus")</w:t>
      </w:r>
      <w:r w:rsidR="00917924">
        <w:rPr>
          <w:lang w:val="en-US"/>
        </w:rPr>
        <w:t xml:space="preserve"> (</w:t>
      </w:r>
      <w:r w:rsidR="00917924" w:rsidRPr="00917924">
        <w:rPr>
          <w:i/>
          <w:color w:val="1F497D" w:themeColor="text2"/>
          <w:lang w:val="en-US"/>
        </w:rPr>
        <w:t>City Savings</w:t>
      </w:r>
      <w:r w:rsidR="00917924">
        <w:rPr>
          <w:lang w:val="en-US"/>
        </w:rPr>
        <w:t>)</w:t>
      </w:r>
      <w:r w:rsidRPr="00AF6044">
        <w:rPr>
          <w:lang w:val="en-US"/>
        </w:rPr>
        <w:t xml:space="preserve">; </w:t>
      </w:r>
      <w:r w:rsidRPr="00AF6044">
        <w:rPr>
          <w:i/>
          <w:color w:val="1F497D" w:themeColor="text2"/>
          <w:lang w:val="en-US"/>
        </w:rPr>
        <w:t>McCaig</w:t>
      </w:r>
      <w:r w:rsidRPr="00AF6044">
        <w:rPr>
          <w:lang w:val="en-US"/>
        </w:rPr>
        <w:t xml:space="preserve"> – promise to honor option, Jabin was safe even if he knew about option after signing.</w:t>
      </w:r>
    </w:p>
    <w:p w:rsidR="008C6269" w:rsidRPr="00AF6044" w:rsidRDefault="008C6269" w:rsidP="008C6269">
      <w:pPr>
        <w:numPr>
          <w:ilvl w:val="1"/>
          <w:numId w:val="15"/>
        </w:numPr>
        <w:rPr>
          <w:lang w:val="en-US"/>
        </w:rPr>
      </w:pPr>
      <w:r w:rsidRPr="00AF6044">
        <w:rPr>
          <w:lang w:val="en-US"/>
        </w:rPr>
        <w:t>Must notice be express or can it be constructive?</w:t>
      </w:r>
    </w:p>
    <w:p w:rsidR="008C6269" w:rsidRPr="00AF6044" w:rsidRDefault="008C6269" w:rsidP="008C6269">
      <w:pPr>
        <w:numPr>
          <w:ilvl w:val="2"/>
          <w:numId w:val="15"/>
        </w:numPr>
        <w:rPr>
          <w:lang w:val="en-US"/>
        </w:rPr>
      </w:pPr>
      <w:r w:rsidRPr="00917924">
        <w:rPr>
          <w:i/>
          <w:color w:val="1F497D" w:themeColor="text2"/>
          <w:lang w:val="en-US"/>
        </w:rPr>
        <w:t>Szab</w:t>
      </w:r>
      <w:r w:rsidR="00D128DE">
        <w:rPr>
          <w:i/>
          <w:color w:val="1F497D" w:themeColor="text2"/>
          <w:lang w:val="en-US"/>
        </w:rPr>
        <w:t>o</w:t>
      </w:r>
      <w:r w:rsidRPr="00AF6044">
        <w:rPr>
          <w:lang w:val="en-US"/>
        </w:rPr>
        <w:t xml:space="preserve"> constructive might be enough, but has to be "</w:t>
      </w:r>
      <w:r w:rsidRPr="00AF6044">
        <w:rPr>
          <w:u w:val="single"/>
          <w:lang w:val="en-US"/>
        </w:rPr>
        <w:t>constructive plus</w:t>
      </w:r>
      <w:r w:rsidRPr="00AF6044">
        <w:rPr>
          <w:lang w:val="en-US"/>
        </w:rPr>
        <w:t>" (+ timing or + fraud)</w:t>
      </w:r>
    </w:p>
    <w:p w:rsidR="008C6269" w:rsidRPr="00AF6044" w:rsidRDefault="008C6269" w:rsidP="008C6269">
      <w:pPr>
        <w:pBdr>
          <w:bottom w:val="single" w:sz="12" w:space="1" w:color="auto"/>
        </w:pBdr>
        <w:rPr>
          <w:lang w:val="en-US"/>
        </w:rPr>
      </w:pPr>
    </w:p>
    <w:p w:rsidR="008C6269" w:rsidRPr="00AF6044" w:rsidRDefault="008C6269" w:rsidP="008C6269">
      <w:pPr>
        <w:rPr>
          <w:lang w:val="en-US"/>
        </w:rPr>
      </w:pPr>
    </w:p>
    <w:p w:rsidR="008C6269" w:rsidRPr="000F23E9" w:rsidRDefault="008C6269" w:rsidP="003A60FA">
      <w:pPr>
        <w:pStyle w:val="Heading3"/>
        <w:rPr>
          <w:lang w:val="en-US"/>
        </w:rPr>
      </w:pPr>
      <w:bookmarkStart w:id="34" w:name="_Toc259911022"/>
      <w:r w:rsidRPr="00BF238A">
        <w:rPr>
          <w:highlight w:val="yellow"/>
          <w:lang w:val="en-US"/>
        </w:rPr>
        <w:t>HUDSON’S BAY CO. V KEARNS AND ROWLING (1895)</w:t>
      </w:r>
      <w:r w:rsidR="000F23E9">
        <w:rPr>
          <w:lang w:val="en-US"/>
        </w:rPr>
        <w:t xml:space="preserve"> </w:t>
      </w:r>
      <w:r w:rsidR="000F23E9" w:rsidRPr="003A60FA">
        <w:rPr>
          <w:b w:val="0"/>
          <w:lang w:val="en-US"/>
        </w:rPr>
        <w:t>fraud requires direct proof, BPFV is protected from any kind of notice, except express notice of unregistered interest before purchase and sale agreement, in which case something more than purchase is needed</w:t>
      </w:r>
      <w:bookmarkEnd w:id="34"/>
    </w:p>
    <w:p w:rsidR="008C6269" w:rsidRPr="00AF6044" w:rsidRDefault="008C6269" w:rsidP="00874AE8"/>
    <w:p w:rsidR="008C6269" w:rsidRPr="00AF6044" w:rsidRDefault="00B70FDF" w:rsidP="00874AE8">
      <w:r w:rsidRPr="00AF6044">
        <w:t>FACTS</w:t>
      </w:r>
      <w:r w:rsidR="008C6269" w:rsidRPr="00AF6044">
        <w:t>:</w:t>
      </w:r>
    </w:p>
    <w:p w:rsidR="008C6269" w:rsidRPr="00AF6044" w:rsidRDefault="008C6269" w:rsidP="00874AE8"/>
    <w:p w:rsidR="00B70FDF" w:rsidRDefault="00EC69CC" w:rsidP="00B70FDF">
      <w:pPr>
        <w:rPr>
          <w:lang w:val="en-US"/>
        </w:rPr>
      </w:pPr>
      <w:r w:rsidRPr="00AF6044">
        <w:rPr>
          <w:lang w:val="en-US"/>
        </w:rPr>
        <w:t>Kearns agreed to mortgage her property with Hudson’s Bay Co as security for her debt, delivered title deeds to their solicitor. Mortgage documents took 15 months to prepare.</w:t>
      </w:r>
    </w:p>
    <w:p w:rsidR="00EC69CC" w:rsidRPr="00AF6044" w:rsidRDefault="00EC69CC" w:rsidP="00B70FDF">
      <w:pPr>
        <w:rPr>
          <w:lang w:val="en-US"/>
        </w:rPr>
      </w:pPr>
    </w:p>
    <w:p w:rsidR="00B70FDF" w:rsidRDefault="00EC69CC" w:rsidP="00B70FDF">
      <w:pPr>
        <w:rPr>
          <w:lang w:val="en-US"/>
        </w:rPr>
      </w:pPr>
      <w:r w:rsidRPr="00AF6044">
        <w:rPr>
          <w:lang w:val="en-US"/>
        </w:rPr>
        <w:t>In the meantime, Kearns sold Fee Simple to Rowling.</w:t>
      </w:r>
    </w:p>
    <w:p w:rsidR="00EC69CC" w:rsidRPr="00AF6044" w:rsidRDefault="00EC69CC" w:rsidP="00B70FDF">
      <w:pPr>
        <w:rPr>
          <w:lang w:val="en-US"/>
        </w:rPr>
      </w:pPr>
    </w:p>
    <w:p w:rsidR="00B70FDF" w:rsidRDefault="00EC69CC" w:rsidP="00B70FDF">
      <w:pPr>
        <w:rPr>
          <w:lang w:val="en-US"/>
        </w:rPr>
      </w:pPr>
      <w:r w:rsidRPr="00AF6044">
        <w:rPr>
          <w:lang w:val="en-US"/>
        </w:rPr>
        <w:t>Rowling did not know about unregistered interest until after he made the first payment, and then he should have known something was fishy but went ahead with the second payment and registered.</w:t>
      </w:r>
    </w:p>
    <w:p w:rsidR="00EC69CC" w:rsidRPr="00AF6044" w:rsidRDefault="00EC69CC" w:rsidP="00B70FDF">
      <w:pPr>
        <w:rPr>
          <w:lang w:val="en-US"/>
        </w:rPr>
      </w:pPr>
    </w:p>
    <w:p w:rsidR="00B70FDF" w:rsidRDefault="00B70FDF" w:rsidP="00B70FDF">
      <w:pPr>
        <w:rPr>
          <w:lang w:val="en-US"/>
        </w:rPr>
      </w:pPr>
      <w:r>
        <w:rPr>
          <w:lang w:val="en-US"/>
        </w:rPr>
        <w:t>ISSUE</w:t>
      </w:r>
      <w:r w:rsidR="00EC69CC" w:rsidRPr="00AF6044">
        <w:rPr>
          <w:lang w:val="en-US"/>
        </w:rPr>
        <w:t xml:space="preserve">: </w:t>
      </w:r>
    </w:p>
    <w:p w:rsidR="00B70FDF" w:rsidRDefault="00B70FDF" w:rsidP="00B70FDF">
      <w:pPr>
        <w:rPr>
          <w:lang w:val="en-US"/>
        </w:rPr>
      </w:pPr>
    </w:p>
    <w:p w:rsidR="00EC69CC" w:rsidRPr="00AF6044" w:rsidRDefault="00EC69CC" w:rsidP="00B70FDF">
      <w:pPr>
        <w:rPr>
          <w:lang w:val="en-US"/>
        </w:rPr>
      </w:pPr>
      <w:r w:rsidRPr="00AF6044">
        <w:rPr>
          <w:lang w:val="en-US"/>
        </w:rPr>
        <w:t>Whether an equitable mortgage by deposit of title deeds can acquire a better title than a purchaser for valuable consideration</w:t>
      </w:r>
    </w:p>
    <w:p w:rsidR="00B70FDF" w:rsidRDefault="00B70FDF" w:rsidP="00EC69CC">
      <w:pPr>
        <w:rPr>
          <w:lang w:val="en-US"/>
        </w:rPr>
      </w:pPr>
    </w:p>
    <w:p w:rsidR="00EC69CC" w:rsidRPr="00AF6044" w:rsidRDefault="00EC69CC" w:rsidP="00EC69CC">
      <w:pPr>
        <w:rPr>
          <w:lang w:val="en-US"/>
        </w:rPr>
      </w:pPr>
      <w:r w:rsidRPr="00AF6044">
        <w:rPr>
          <w:lang w:val="en-US"/>
        </w:rPr>
        <w:t>H</w:t>
      </w:r>
      <w:r w:rsidR="00B70FDF">
        <w:rPr>
          <w:lang w:val="en-US"/>
        </w:rPr>
        <w:t>ELD</w:t>
      </w:r>
      <w:r w:rsidRPr="00AF6044">
        <w:rPr>
          <w:lang w:val="en-US"/>
        </w:rPr>
        <w:t>:</w:t>
      </w:r>
    </w:p>
    <w:p w:rsidR="00EC69CC" w:rsidRPr="00AF6044" w:rsidRDefault="00EC69CC" w:rsidP="00EC69CC">
      <w:pPr>
        <w:rPr>
          <w:lang w:val="en-US"/>
        </w:rPr>
      </w:pPr>
    </w:p>
    <w:p w:rsidR="00EC69CC" w:rsidRPr="00AF6044" w:rsidRDefault="00B70FDF" w:rsidP="00EC69CC">
      <w:pPr>
        <w:rPr>
          <w:lang w:val="en-US"/>
        </w:rPr>
      </w:pPr>
      <w:r>
        <w:rPr>
          <w:rFonts w:ascii="Times New Roman" w:hAnsi="Times New Roman" w:cs="Times New Roman"/>
          <w:lang w:val="en-US"/>
        </w:rPr>
        <w:t>Rowling is Protected.</w:t>
      </w:r>
    </w:p>
    <w:p w:rsidR="00EC69CC" w:rsidRPr="00AF6044" w:rsidRDefault="00EC69CC" w:rsidP="00EC69CC">
      <w:pPr>
        <w:rPr>
          <w:lang w:val="en-US"/>
        </w:rPr>
      </w:pPr>
    </w:p>
    <w:p w:rsidR="00EC69CC" w:rsidRPr="00AF6044" w:rsidRDefault="00B70FDF" w:rsidP="00EC69CC">
      <w:pPr>
        <w:rPr>
          <w:lang w:val="en-US"/>
        </w:rPr>
      </w:pPr>
      <w:r w:rsidRPr="00AF6044">
        <w:rPr>
          <w:lang w:val="en-US"/>
        </w:rPr>
        <w:t>RATIO</w:t>
      </w:r>
      <w:r w:rsidR="00EC69CC" w:rsidRPr="00AF6044">
        <w:rPr>
          <w:lang w:val="en-US"/>
        </w:rPr>
        <w:t>:</w:t>
      </w:r>
    </w:p>
    <w:p w:rsidR="00EC69CC" w:rsidRPr="00AF6044" w:rsidRDefault="00EC69CC" w:rsidP="00EC69CC">
      <w:pPr>
        <w:rPr>
          <w:lang w:val="en-US"/>
        </w:rPr>
      </w:pPr>
    </w:p>
    <w:p w:rsidR="00B70FDF" w:rsidRDefault="00EC69CC" w:rsidP="00B70FDF">
      <w:pPr>
        <w:rPr>
          <w:lang w:val="en-US"/>
        </w:rPr>
      </w:pPr>
      <w:r w:rsidRPr="00B70FDF">
        <w:rPr>
          <w:lang w:val="en-US"/>
        </w:rPr>
        <w:t>Fraud requires direct proof</w:t>
      </w:r>
      <w:r w:rsidR="00B70FDF">
        <w:rPr>
          <w:lang w:val="en-US"/>
        </w:rPr>
        <w:t>.</w:t>
      </w:r>
    </w:p>
    <w:p w:rsidR="00EC69CC" w:rsidRPr="00B70FDF" w:rsidRDefault="00EC69CC" w:rsidP="00B70FDF">
      <w:pPr>
        <w:rPr>
          <w:lang w:val="en-US"/>
        </w:rPr>
      </w:pPr>
    </w:p>
    <w:p w:rsidR="00EC69CC" w:rsidRPr="00B70FDF" w:rsidRDefault="00EC69CC" w:rsidP="00B70FDF">
      <w:pPr>
        <w:rPr>
          <w:lang w:val="en-US"/>
        </w:rPr>
      </w:pPr>
      <w:r w:rsidRPr="00B70FDF">
        <w:rPr>
          <w:lang w:val="en-US"/>
        </w:rPr>
        <w:t xml:space="preserve">Purchaser for value is protected under Torrens system from any kind of notice, </w:t>
      </w:r>
      <w:r w:rsidRPr="00B70FDF">
        <w:rPr>
          <w:i/>
          <w:lang w:val="en-US"/>
        </w:rPr>
        <w:t>except express notice of unregistered interest before purchase and sale agreement</w:t>
      </w:r>
      <w:r w:rsidR="00B15B22" w:rsidRPr="00B70FDF">
        <w:rPr>
          <w:lang w:val="en-US"/>
        </w:rPr>
        <w:t xml:space="preserve"> in which case something more than just that notice is needed (</w:t>
      </w:r>
      <w:r w:rsidR="00B15B22" w:rsidRPr="00B70FDF">
        <w:rPr>
          <w:i/>
          <w:color w:val="1F497D" w:themeColor="text2"/>
          <w:lang w:val="en-US"/>
        </w:rPr>
        <w:t>Vancouver City Centre</w:t>
      </w:r>
      <w:r w:rsidR="00B15B22" w:rsidRPr="00B70FDF">
        <w:rPr>
          <w:lang w:val="en-US"/>
        </w:rPr>
        <w:t>)</w:t>
      </w:r>
      <w:r w:rsidRPr="00B70FDF">
        <w:rPr>
          <w:lang w:val="en-US"/>
        </w:rPr>
        <w:t>.</w:t>
      </w:r>
    </w:p>
    <w:p w:rsidR="00EC69CC" w:rsidRPr="00AF6044" w:rsidRDefault="00EC69CC" w:rsidP="00EC69CC">
      <w:pPr>
        <w:pBdr>
          <w:bottom w:val="single" w:sz="12" w:space="1" w:color="auto"/>
        </w:pBdr>
        <w:rPr>
          <w:lang w:val="en-US"/>
        </w:rPr>
      </w:pPr>
    </w:p>
    <w:p w:rsidR="00EC69CC" w:rsidRPr="00AF6044" w:rsidRDefault="00EC69CC" w:rsidP="00EC69CC">
      <w:pPr>
        <w:rPr>
          <w:lang w:val="en-US"/>
        </w:rPr>
      </w:pPr>
    </w:p>
    <w:p w:rsidR="00AF6044" w:rsidRPr="0053057A" w:rsidRDefault="00AF6044" w:rsidP="003A60FA">
      <w:pPr>
        <w:pStyle w:val="Heading3"/>
        <w:rPr>
          <w:lang w:val="en-US"/>
        </w:rPr>
      </w:pPr>
      <w:bookmarkStart w:id="35" w:name="_Toc259911023"/>
      <w:r w:rsidRPr="00AF6044">
        <w:rPr>
          <w:highlight w:val="yellow"/>
          <w:lang w:val="en-US"/>
        </w:rPr>
        <w:t>VANCOUVER CITY SAVINGS CREDIT UNION v SERVING FOR SUCCESS CONSULTING 2011 BCSC</w:t>
      </w:r>
      <w:r w:rsidR="0053057A">
        <w:rPr>
          <w:lang w:val="en-US"/>
        </w:rPr>
        <w:t xml:space="preserve"> </w:t>
      </w:r>
      <w:r w:rsidR="0053057A" w:rsidRPr="003A60FA">
        <w:rPr>
          <w:b w:val="0"/>
          <w:lang w:val="en-US"/>
        </w:rPr>
        <w:t>something more (deliberate dishonesty, ulterior motive) than actual notice of unregistered interest is required to constitute equitable fraud</w:t>
      </w:r>
      <w:bookmarkEnd w:id="35"/>
    </w:p>
    <w:p w:rsidR="00AF6044" w:rsidRPr="00AF6044" w:rsidRDefault="00AF6044" w:rsidP="00874AE8">
      <w:pPr>
        <w:rPr>
          <w:lang w:val="en-US"/>
        </w:rPr>
      </w:pPr>
    </w:p>
    <w:p w:rsidR="00AF6044" w:rsidRDefault="00B70FDF" w:rsidP="00874AE8">
      <w:pPr>
        <w:rPr>
          <w:lang w:val="en-US"/>
        </w:rPr>
      </w:pPr>
      <w:r w:rsidRPr="00AF6044">
        <w:rPr>
          <w:lang w:val="en-US"/>
        </w:rPr>
        <w:t>FACTS</w:t>
      </w:r>
      <w:r>
        <w:rPr>
          <w:lang w:val="en-US"/>
        </w:rPr>
        <w:t>:</w:t>
      </w:r>
    </w:p>
    <w:p w:rsidR="00BF238A" w:rsidRDefault="00BF238A" w:rsidP="00874AE8">
      <w:pPr>
        <w:rPr>
          <w:lang w:val="en-US"/>
        </w:rPr>
      </w:pPr>
    </w:p>
    <w:p w:rsidR="00BF238A" w:rsidRPr="00B70FDF" w:rsidRDefault="00BF238A" w:rsidP="00B70FDF">
      <w:pPr>
        <w:rPr>
          <w:lang w:val="en-US"/>
        </w:rPr>
      </w:pPr>
      <w:r w:rsidRPr="00B70FDF">
        <w:rPr>
          <w:lang w:val="en-US"/>
        </w:rPr>
        <w:t>City Centre bought a hotel in Victoria which had the ∂’s business in it under an unregistered lease for 5 years with an option for 5 more years.</w:t>
      </w:r>
    </w:p>
    <w:p w:rsidR="00BF238A" w:rsidRPr="00B70FDF" w:rsidRDefault="00BF238A" w:rsidP="00B70FDF">
      <w:pPr>
        <w:rPr>
          <w:lang w:val="en-US"/>
        </w:rPr>
      </w:pPr>
      <w:r w:rsidRPr="00B70FDF">
        <w:rPr>
          <w:lang w:val="en-US"/>
        </w:rPr>
        <w:t>City Centre then took a mortgage from City Savings (π) which was registered on the title.</w:t>
      </w:r>
    </w:p>
    <w:p w:rsidR="00BF238A" w:rsidRPr="00B70FDF" w:rsidRDefault="00BF238A" w:rsidP="00B70FDF">
      <w:pPr>
        <w:rPr>
          <w:lang w:val="en-US"/>
        </w:rPr>
      </w:pPr>
      <w:r w:rsidRPr="00B70FDF">
        <w:rPr>
          <w:lang w:val="en-US"/>
        </w:rPr>
        <w:t>City Centre defaulted.</w:t>
      </w:r>
    </w:p>
    <w:p w:rsidR="00917924" w:rsidRPr="00B70FDF" w:rsidRDefault="00BF238A" w:rsidP="00B70FDF">
      <w:pPr>
        <w:rPr>
          <w:lang w:val="en-US"/>
        </w:rPr>
      </w:pPr>
      <w:r w:rsidRPr="00B70FDF">
        <w:rPr>
          <w:rFonts w:ascii="Times New Roman" w:hAnsi="Times New Roman" w:cs="Times New Roman"/>
          <w:lang w:val="en-US"/>
        </w:rPr>
        <w:t>Cit</w:t>
      </w:r>
      <w:r w:rsidR="00917924" w:rsidRPr="00B70FDF">
        <w:rPr>
          <w:rFonts w:ascii="Times New Roman" w:hAnsi="Times New Roman" w:cs="Times New Roman"/>
          <w:lang w:val="en-US"/>
        </w:rPr>
        <w:t>y Savings foreclosed, and wanted to evict the ∂s to appease the purchaser</w:t>
      </w:r>
    </w:p>
    <w:p w:rsidR="00917924" w:rsidRPr="00B70FDF" w:rsidRDefault="00917924" w:rsidP="00B70FDF">
      <w:pPr>
        <w:rPr>
          <w:lang w:val="en-US"/>
        </w:rPr>
      </w:pPr>
      <w:r w:rsidRPr="00B70FDF">
        <w:rPr>
          <w:rFonts w:ascii="Times New Roman" w:hAnsi="Times New Roman" w:cs="Times New Roman"/>
          <w:lang w:val="en-US"/>
        </w:rPr>
        <w:t>∂s agreed that while their interests were only enforceable against City Centre, that for the π to require them to vacate would constitute equitable fraud since they had actual knowledge of their unregistered interest before they loaned City Centre money and definitely before they registered.</w:t>
      </w:r>
    </w:p>
    <w:p w:rsidR="00917924" w:rsidRDefault="00917924" w:rsidP="00917924">
      <w:pPr>
        <w:rPr>
          <w:lang w:val="en-US"/>
        </w:rPr>
      </w:pPr>
    </w:p>
    <w:p w:rsidR="00917924" w:rsidRDefault="00B70FDF" w:rsidP="00917924">
      <w:pPr>
        <w:rPr>
          <w:lang w:val="en-US"/>
        </w:rPr>
      </w:pPr>
      <w:r>
        <w:rPr>
          <w:lang w:val="en-US"/>
        </w:rPr>
        <w:t>ISSUE:</w:t>
      </w:r>
    </w:p>
    <w:p w:rsidR="00917924" w:rsidRDefault="00917924" w:rsidP="00917924">
      <w:pPr>
        <w:rPr>
          <w:lang w:val="en-US"/>
        </w:rPr>
      </w:pPr>
    </w:p>
    <w:p w:rsidR="00917924" w:rsidRPr="00B70FDF" w:rsidRDefault="00917924" w:rsidP="00B70FDF">
      <w:pPr>
        <w:ind w:left="360"/>
        <w:rPr>
          <w:lang w:val="en-US"/>
        </w:rPr>
      </w:pPr>
      <w:r w:rsidRPr="00B70FDF">
        <w:rPr>
          <w:lang w:val="en-US"/>
        </w:rPr>
        <w:t>Is actual notice of unregistered prior to registration enough to constitute equitable fraud if the registered party seeks to extinguish the interest after?</w:t>
      </w:r>
    </w:p>
    <w:p w:rsidR="00917924" w:rsidRDefault="00917924" w:rsidP="00917924">
      <w:pPr>
        <w:rPr>
          <w:lang w:val="en-US"/>
        </w:rPr>
      </w:pPr>
    </w:p>
    <w:p w:rsidR="00B70FDF" w:rsidRDefault="00B70FDF" w:rsidP="00917924">
      <w:pPr>
        <w:rPr>
          <w:lang w:val="en-US"/>
        </w:rPr>
      </w:pPr>
      <w:r>
        <w:rPr>
          <w:lang w:val="en-US"/>
        </w:rPr>
        <w:t>HELD:</w:t>
      </w:r>
    </w:p>
    <w:p w:rsidR="00917924" w:rsidRDefault="00917924" w:rsidP="00917924">
      <w:pPr>
        <w:rPr>
          <w:lang w:val="en-US"/>
        </w:rPr>
      </w:pPr>
    </w:p>
    <w:p w:rsidR="00B70FDF" w:rsidRDefault="00917924" w:rsidP="00B70FDF">
      <w:pPr>
        <w:rPr>
          <w:lang w:val="en-US"/>
        </w:rPr>
      </w:pPr>
      <w:r w:rsidRPr="00B70FDF">
        <w:rPr>
          <w:lang w:val="en-US"/>
        </w:rPr>
        <w:t xml:space="preserve">Plaintiffs get their declaration and order of eviction. </w:t>
      </w:r>
    </w:p>
    <w:p w:rsidR="00917924" w:rsidRPr="00B70FDF" w:rsidRDefault="00917924" w:rsidP="00B70FDF">
      <w:pPr>
        <w:rPr>
          <w:lang w:val="en-US"/>
        </w:rPr>
      </w:pPr>
    </w:p>
    <w:p w:rsidR="00917924" w:rsidRDefault="00B70FDF" w:rsidP="00917924">
      <w:pPr>
        <w:rPr>
          <w:lang w:val="en-US"/>
        </w:rPr>
      </w:pPr>
      <w:r>
        <w:rPr>
          <w:lang w:val="en-US"/>
        </w:rPr>
        <w:t>RATIO:</w:t>
      </w:r>
    </w:p>
    <w:p w:rsidR="00917924" w:rsidRDefault="00917924" w:rsidP="00917924">
      <w:pPr>
        <w:rPr>
          <w:lang w:val="en-US"/>
        </w:rPr>
      </w:pPr>
    </w:p>
    <w:p w:rsidR="00B70FDF" w:rsidRDefault="00917924" w:rsidP="00B70FDF">
      <w:pPr>
        <w:rPr>
          <w:lang w:val="en-US"/>
        </w:rPr>
      </w:pPr>
      <w:r w:rsidRPr="00B70FDF">
        <w:rPr>
          <w:lang w:val="en-US"/>
        </w:rPr>
        <w:t xml:space="preserve">Something more (deliberate dishonesty, ulterior motive) than actual notice of unregistered interest is required to constitute equitable fraud. </w:t>
      </w:r>
    </w:p>
    <w:p w:rsidR="00917924" w:rsidRPr="00B70FDF" w:rsidRDefault="00917924" w:rsidP="00B70FDF">
      <w:pPr>
        <w:rPr>
          <w:lang w:val="en-US"/>
        </w:rPr>
      </w:pPr>
    </w:p>
    <w:p w:rsidR="00917924" w:rsidRPr="00B70FDF" w:rsidRDefault="00917924" w:rsidP="00B70FDF">
      <w:pPr>
        <w:rPr>
          <w:lang w:val="en-US"/>
        </w:rPr>
      </w:pPr>
      <w:r w:rsidRPr="00B70FDF">
        <w:rPr>
          <w:lang w:val="en-US"/>
        </w:rPr>
        <w:t>The critical time to assess the party’s knowledge is before purchase or at the latest before registration.</w:t>
      </w:r>
    </w:p>
    <w:p w:rsidR="00B70FDF" w:rsidRDefault="00917924" w:rsidP="00B70FDF">
      <w:pPr>
        <w:rPr>
          <w:lang w:val="en-US"/>
        </w:rPr>
      </w:pPr>
      <w:r w:rsidRPr="00B70FDF">
        <w:rPr>
          <w:lang w:val="en-US"/>
        </w:rPr>
        <w:t>Equitable fraud is a principle of common morality (</w:t>
      </w:r>
      <w:r w:rsidRPr="00B70FDF">
        <w:rPr>
          <w:i/>
          <w:color w:val="1F497D" w:themeColor="text2"/>
          <w:lang w:val="en-US"/>
        </w:rPr>
        <w:t>Siles</w:t>
      </w:r>
      <w:r w:rsidRPr="00B70FDF">
        <w:rPr>
          <w:lang w:val="en-US"/>
        </w:rPr>
        <w:t>)</w:t>
      </w:r>
    </w:p>
    <w:p w:rsidR="00917924" w:rsidRPr="00B70FDF" w:rsidRDefault="00917924" w:rsidP="00B70FDF">
      <w:pPr>
        <w:rPr>
          <w:lang w:val="en-US"/>
        </w:rPr>
      </w:pPr>
    </w:p>
    <w:p w:rsidR="00B70FDF" w:rsidRDefault="00917924" w:rsidP="00B70FDF">
      <w:pPr>
        <w:rPr>
          <w:lang w:val="en-US"/>
        </w:rPr>
      </w:pPr>
      <w:r w:rsidRPr="00B70FDF">
        <w:rPr>
          <w:lang w:val="en-US"/>
        </w:rPr>
        <w:t>Constructed notice triggers a higher duty to ascertain existence of unregistered interest on the part of the purchaser (</w:t>
      </w:r>
      <w:r w:rsidRPr="00B70FDF">
        <w:rPr>
          <w:i/>
          <w:color w:val="1F497D" w:themeColor="text2"/>
          <w:lang w:val="en-US"/>
        </w:rPr>
        <w:t>Szabo</w:t>
      </w:r>
      <w:r w:rsidRPr="00B70FDF">
        <w:rPr>
          <w:lang w:val="en-US"/>
        </w:rPr>
        <w:t xml:space="preserve">) </w:t>
      </w:r>
    </w:p>
    <w:p w:rsidR="00917924" w:rsidRPr="00B70FDF" w:rsidRDefault="00917924" w:rsidP="00B70FDF">
      <w:pPr>
        <w:rPr>
          <w:lang w:val="en-US"/>
        </w:rPr>
      </w:pPr>
    </w:p>
    <w:p w:rsidR="00AF6044" w:rsidRPr="00B70FDF" w:rsidRDefault="00917924" w:rsidP="00B70FDF">
      <w:pPr>
        <w:rPr>
          <w:lang w:val="en-US"/>
        </w:rPr>
      </w:pPr>
      <w:r w:rsidRPr="00B70FDF">
        <w:rPr>
          <w:lang w:val="en-US"/>
        </w:rPr>
        <w:t xml:space="preserve">Something beyond the ordinary course of business dealings is required for fraud. </w:t>
      </w:r>
    </w:p>
    <w:p w:rsidR="00917924" w:rsidRDefault="00917924" w:rsidP="00874AE8">
      <w:pPr>
        <w:pBdr>
          <w:bottom w:val="single" w:sz="12" w:space="1" w:color="auto"/>
        </w:pBdr>
        <w:rPr>
          <w:lang w:val="en-US"/>
        </w:rPr>
      </w:pPr>
    </w:p>
    <w:p w:rsidR="00917924" w:rsidRDefault="00917924" w:rsidP="00874AE8">
      <w:pPr>
        <w:rPr>
          <w:lang w:val="en-US"/>
        </w:rPr>
      </w:pPr>
    </w:p>
    <w:p w:rsidR="00D61861" w:rsidRPr="003A60FA" w:rsidRDefault="00D128DE" w:rsidP="003A60FA">
      <w:pPr>
        <w:pStyle w:val="Heading3"/>
        <w:rPr>
          <w:b w:val="0"/>
          <w:lang w:val="en-US"/>
        </w:rPr>
      </w:pPr>
      <w:bookmarkStart w:id="36" w:name="_Toc259911024"/>
      <w:r w:rsidRPr="00D128DE">
        <w:rPr>
          <w:highlight w:val="yellow"/>
          <w:lang w:val="en-US"/>
        </w:rPr>
        <w:t>GRE</w:t>
      </w:r>
      <w:r w:rsidR="00D61861" w:rsidRPr="00D128DE">
        <w:rPr>
          <w:highlight w:val="yellow"/>
          <w:lang w:val="en-US"/>
        </w:rPr>
        <w:t xml:space="preserve">VELING v </w:t>
      </w:r>
      <w:r w:rsidRPr="00D128DE">
        <w:rPr>
          <w:highlight w:val="yellow"/>
          <w:lang w:val="en-US"/>
        </w:rPr>
        <w:t>GREVELING</w:t>
      </w:r>
      <w:r w:rsidR="00D61861" w:rsidRPr="00D128DE">
        <w:rPr>
          <w:highlight w:val="yellow"/>
          <w:lang w:val="en-US"/>
        </w:rPr>
        <w:t xml:space="preserve"> 1950 BCCA</w:t>
      </w:r>
      <w:r w:rsidR="00F43CFB">
        <w:rPr>
          <w:lang w:val="en-US"/>
        </w:rPr>
        <w:t xml:space="preserve"> – </w:t>
      </w:r>
      <w:r w:rsidR="00F43CFB" w:rsidRPr="003A60FA">
        <w:rPr>
          <w:b w:val="0"/>
          <w:lang w:val="en-US"/>
        </w:rPr>
        <w:t>knowledge of agent (lawyer) is imputed to the principal unless the principal himself was a victim of fraud.</w:t>
      </w:r>
      <w:bookmarkEnd w:id="36"/>
    </w:p>
    <w:p w:rsidR="00D61861" w:rsidRDefault="00D61861" w:rsidP="00874AE8">
      <w:pPr>
        <w:rPr>
          <w:lang w:val="en-US"/>
        </w:rPr>
      </w:pPr>
    </w:p>
    <w:p w:rsidR="00D61861" w:rsidRDefault="00D61861" w:rsidP="00874AE8">
      <w:pPr>
        <w:rPr>
          <w:lang w:val="en-US"/>
        </w:rPr>
      </w:pPr>
      <w:r>
        <w:rPr>
          <w:lang w:val="en-US"/>
        </w:rPr>
        <w:t>FACTS:</w:t>
      </w:r>
    </w:p>
    <w:p w:rsidR="00D61861" w:rsidRDefault="00D61861" w:rsidP="00874AE8">
      <w:pPr>
        <w:rPr>
          <w:lang w:val="en-US"/>
        </w:rPr>
      </w:pPr>
    </w:p>
    <w:p w:rsidR="00E72FA1" w:rsidRPr="00B70FDF" w:rsidRDefault="00D61861" w:rsidP="00B70FDF">
      <w:pPr>
        <w:rPr>
          <w:lang w:val="en-US"/>
        </w:rPr>
      </w:pPr>
      <w:r w:rsidRPr="00B70FDF">
        <w:rPr>
          <w:lang w:val="en-US"/>
        </w:rPr>
        <w:t xml:space="preserve">Mrs. </w:t>
      </w:r>
      <w:r w:rsidR="00D128DE" w:rsidRPr="00B70FDF">
        <w:rPr>
          <w:lang w:val="en-US"/>
        </w:rPr>
        <w:t>Greveling</w:t>
      </w:r>
      <w:r w:rsidRPr="00B70FDF">
        <w:rPr>
          <w:lang w:val="en-US"/>
        </w:rPr>
        <w:t xml:space="preserve"> was the registered fee simple holder. She made a transfer to her husband, Mr. </w:t>
      </w:r>
      <w:r w:rsidR="00D128DE" w:rsidRPr="00B70FDF">
        <w:rPr>
          <w:lang w:val="en-US"/>
        </w:rPr>
        <w:t>Greveling</w:t>
      </w:r>
      <w:r w:rsidRPr="00B70FDF">
        <w:rPr>
          <w:lang w:val="en-US"/>
        </w:rPr>
        <w:t xml:space="preserve">, which was unregistered. She subsequently sold the property to Mr. Blackburn, who registered. Mrs. </w:t>
      </w:r>
      <w:r w:rsidR="00D128DE" w:rsidRPr="00B70FDF">
        <w:rPr>
          <w:lang w:val="en-US"/>
        </w:rPr>
        <w:t>Greveling</w:t>
      </w:r>
      <w:r w:rsidRPr="00B70FDF">
        <w:rPr>
          <w:lang w:val="en-US"/>
        </w:rPr>
        <w:t xml:space="preserve">’s lawyers was also the acting lawyer for Blackburn. Mr. </w:t>
      </w:r>
      <w:r w:rsidR="00D128DE" w:rsidRPr="00B70FDF">
        <w:rPr>
          <w:lang w:val="en-US"/>
        </w:rPr>
        <w:t>Greveling</w:t>
      </w:r>
      <w:r w:rsidRPr="00B70FDF">
        <w:rPr>
          <w:lang w:val="en-US"/>
        </w:rPr>
        <w:t xml:space="preserve"> sued his wife and Blackburn.</w:t>
      </w:r>
    </w:p>
    <w:p w:rsidR="00D61861" w:rsidRPr="00B70FDF" w:rsidRDefault="00E72FA1" w:rsidP="00B70FDF">
      <w:pPr>
        <w:rPr>
          <w:lang w:val="en-US"/>
        </w:rPr>
      </w:pPr>
      <w:r w:rsidRPr="00B70FDF">
        <w:rPr>
          <w:lang w:val="en-US"/>
        </w:rPr>
        <w:t xml:space="preserve">Court split in 2:1 majority. The majority found that Mr. Grievling had a valid claim against his wife, but not Mr. Blackburn. </w:t>
      </w:r>
    </w:p>
    <w:p w:rsidR="00D61861" w:rsidRDefault="00D61861" w:rsidP="00D61861">
      <w:pPr>
        <w:rPr>
          <w:lang w:val="en-US"/>
        </w:rPr>
      </w:pPr>
    </w:p>
    <w:p w:rsidR="00E72FA1" w:rsidRDefault="00E72FA1" w:rsidP="00D61861">
      <w:pPr>
        <w:rPr>
          <w:lang w:val="en-US"/>
        </w:rPr>
      </w:pPr>
      <w:r>
        <w:rPr>
          <w:lang w:val="en-US"/>
        </w:rPr>
        <w:t>ISSUE:</w:t>
      </w:r>
    </w:p>
    <w:p w:rsidR="00E72FA1" w:rsidRDefault="00E72FA1" w:rsidP="00D61861">
      <w:pPr>
        <w:rPr>
          <w:lang w:val="en-US"/>
        </w:rPr>
      </w:pPr>
    </w:p>
    <w:p w:rsidR="00E72FA1" w:rsidRDefault="00E72FA1" w:rsidP="00D61861">
      <w:pPr>
        <w:rPr>
          <w:lang w:val="en-US"/>
        </w:rPr>
      </w:pPr>
      <w:r>
        <w:rPr>
          <w:lang w:val="en-US"/>
        </w:rPr>
        <w:t>Could Mrs. Grievling’s lawyer’s knowledge of her transfer to her husband be imputed to Mr. Blackburn. If so, does this constitute fraud on his part?</w:t>
      </w:r>
    </w:p>
    <w:p w:rsidR="00E72FA1" w:rsidRDefault="00E72FA1" w:rsidP="00D61861">
      <w:pPr>
        <w:rPr>
          <w:lang w:val="en-US"/>
        </w:rPr>
      </w:pPr>
    </w:p>
    <w:p w:rsidR="00E72FA1" w:rsidRDefault="00E72FA1" w:rsidP="00D61861">
      <w:pPr>
        <w:rPr>
          <w:lang w:val="en-US"/>
        </w:rPr>
      </w:pPr>
      <w:r>
        <w:rPr>
          <w:lang w:val="en-US"/>
        </w:rPr>
        <w:t>HELD:</w:t>
      </w:r>
    </w:p>
    <w:p w:rsidR="00E72FA1" w:rsidRDefault="00E72FA1" w:rsidP="00D61861">
      <w:pPr>
        <w:rPr>
          <w:lang w:val="en-US"/>
        </w:rPr>
      </w:pPr>
    </w:p>
    <w:p w:rsidR="00E72FA1" w:rsidRDefault="00E72FA1" w:rsidP="00D61861">
      <w:pPr>
        <w:rPr>
          <w:lang w:val="en-US"/>
        </w:rPr>
      </w:pPr>
      <w:r>
        <w:rPr>
          <w:lang w:val="en-US"/>
        </w:rPr>
        <w:t xml:space="preserve">Roberts J. A.: </w:t>
      </w:r>
    </w:p>
    <w:p w:rsidR="00E72FA1" w:rsidRDefault="00E72FA1" w:rsidP="00D61861">
      <w:pPr>
        <w:rPr>
          <w:lang w:val="en-US"/>
        </w:rPr>
      </w:pPr>
    </w:p>
    <w:p w:rsidR="00E72FA1" w:rsidRDefault="00E72FA1" w:rsidP="00D61861">
      <w:pPr>
        <w:rPr>
          <w:lang w:val="en-US"/>
        </w:rPr>
      </w:pPr>
      <w:r>
        <w:rPr>
          <w:lang w:val="en-US"/>
        </w:rPr>
        <w:t xml:space="preserve">Blackburn bona fide purchaser for value, not fraudulent. Either his lawyer was acting fraudulently with Mrs. Grievling, in which case he would conceal the relevant information and so his knowledge cannot be imputed to Mr. Blackburn, or he honestly believed the transfer to Mr. </w:t>
      </w:r>
      <w:r w:rsidR="00D128DE">
        <w:rPr>
          <w:lang w:val="en-US"/>
        </w:rPr>
        <w:t>Greveling</w:t>
      </w:r>
      <w:r>
        <w:rPr>
          <w:lang w:val="en-US"/>
        </w:rPr>
        <w:t xml:space="preserve"> was no good, in which case there was no conscious intent to defraud anyone and so </w:t>
      </w:r>
      <w:r w:rsidR="00D128DE">
        <w:rPr>
          <w:lang w:val="en-US"/>
        </w:rPr>
        <w:t>Greveling</w:t>
      </w:r>
      <w:r>
        <w:rPr>
          <w:lang w:val="en-US"/>
        </w:rPr>
        <w:t xml:space="preserve"> was bona fide for value. </w:t>
      </w:r>
    </w:p>
    <w:p w:rsidR="00E72FA1" w:rsidRDefault="00E72FA1" w:rsidP="00D61861">
      <w:pPr>
        <w:rPr>
          <w:lang w:val="en-US"/>
        </w:rPr>
      </w:pPr>
    </w:p>
    <w:p w:rsidR="00E72FA1" w:rsidRDefault="00E72FA1" w:rsidP="00D61861">
      <w:pPr>
        <w:rPr>
          <w:lang w:val="en-US"/>
        </w:rPr>
      </w:pPr>
      <w:r>
        <w:rPr>
          <w:lang w:val="en-US"/>
        </w:rPr>
        <w:t>O’Halloran J.A.</w:t>
      </w:r>
    </w:p>
    <w:p w:rsidR="00E72FA1" w:rsidRDefault="00E72FA1" w:rsidP="00D61861">
      <w:pPr>
        <w:rPr>
          <w:lang w:val="en-US"/>
        </w:rPr>
      </w:pPr>
    </w:p>
    <w:p w:rsidR="00897142" w:rsidRDefault="00E72FA1" w:rsidP="00D61861">
      <w:pPr>
        <w:rPr>
          <w:lang w:val="en-US"/>
        </w:rPr>
      </w:pPr>
      <w:r>
        <w:rPr>
          <w:lang w:val="en-US"/>
        </w:rPr>
        <w:t xml:space="preserve">Blackburn was fraudulent. If lawyer (or other agent) has knowledge of fraud, then it is imputed to his principal (Blackburn). It does not matter if the lawyer has financial interests in the fraud going through, just that he did not perform an </w:t>
      </w:r>
      <w:r>
        <w:rPr>
          <w:i/>
          <w:lang w:val="en-US"/>
        </w:rPr>
        <w:t xml:space="preserve">essential </w:t>
      </w:r>
      <w:r>
        <w:rPr>
          <w:lang w:val="en-US"/>
        </w:rPr>
        <w:t>part of his emplo</w:t>
      </w:r>
      <w:r w:rsidR="00897142">
        <w:rPr>
          <w:lang w:val="en-US"/>
        </w:rPr>
        <w:t xml:space="preserve">yment as Blackburn’s solicitor, and withheld knowledge of an unregistered transfer. This constitutes fraud. “What a solicitor knows, the client must be clearly taken to know” – </w:t>
      </w:r>
      <w:r w:rsidR="00897142">
        <w:rPr>
          <w:i/>
          <w:lang w:val="en-US"/>
        </w:rPr>
        <w:t>Rolland v Hart</w:t>
      </w:r>
      <w:r w:rsidR="00897142">
        <w:rPr>
          <w:lang w:val="en-US"/>
        </w:rPr>
        <w:t xml:space="preserve"> . </w:t>
      </w:r>
    </w:p>
    <w:p w:rsidR="00897142" w:rsidRDefault="00897142" w:rsidP="00D61861">
      <w:pPr>
        <w:rPr>
          <w:lang w:val="en-US"/>
        </w:rPr>
      </w:pPr>
    </w:p>
    <w:p w:rsidR="00897142" w:rsidRDefault="00897142" w:rsidP="00D61861">
      <w:pPr>
        <w:rPr>
          <w:lang w:val="en-US"/>
        </w:rPr>
      </w:pPr>
      <w:r>
        <w:rPr>
          <w:lang w:val="en-US"/>
        </w:rPr>
        <w:t xml:space="preserve">Section 44 of </w:t>
      </w:r>
      <w:r>
        <w:rPr>
          <w:i/>
          <w:lang w:val="en-US"/>
        </w:rPr>
        <w:t>LTA</w:t>
      </w:r>
      <w:r>
        <w:rPr>
          <w:lang w:val="en-US"/>
        </w:rPr>
        <w:t xml:space="preserve"> provides that no registered owner shall be affected by any notice unless he has notice of any person as against which the certificate of title is void under 38(2).</w:t>
      </w:r>
    </w:p>
    <w:p w:rsidR="00897142" w:rsidRDefault="00897142" w:rsidP="00D61861">
      <w:pPr>
        <w:rPr>
          <w:lang w:val="en-US"/>
        </w:rPr>
      </w:pPr>
    </w:p>
    <w:p w:rsidR="00897142" w:rsidRDefault="00897142" w:rsidP="00D61861">
      <w:pPr>
        <w:rPr>
          <w:lang w:val="en-US"/>
        </w:rPr>
      </w:pPr>
      <w:r>
        <w:rPr>
          <w:lang w:val="en-US"/>
        </w:rPr>
        <w:t>RATIO:</w:t>
      </w:r>
    </w:p>
    <w:p w:rsidR="00897142" w:rsidRDefault="00897142" w:rsidP="00D61861">
      <w:pPr>
        <w:rPr>
          <w:lang w:val="en-US"/>
        </w:rPr>
      </w:pPr>
    </w:p>
    <w:p w:rsidR="00D128DE" w:rsidRDefault="00D128DE" w:rsidP="00D61861">
      <w:pPr>
        <w:rPr>
          <w:lang w:val="en-US"/>
        </w:rPr>
      </w:pPr>
      <w:r>
        <w:rPr>
          <w:lang w:val="en-US"/>
        </w:rPr>
        <w:t xml:space="preserve">Knowledge of the agent is imputed to the principal, unless the principal is a victim of the fraud himself. </w:t>
      </w:r>
    </w:p>
    <w:p w:rsidR="00D128DE" w:rsidRDefault="00D128DE" w:rsidP="00D61861">
      <w:pPr>
        <w:rPr>
          <w:lang w:val="en-US"/>
        </w:rPr>
      </w:pPr>
    </w:p>
    <w:p w:rsidR="00897142" w:rsidRDefault="00D128DE" w:rsidP="00D61861">
      <w:pPr>
        <w:rPr>
          <w:lang w:val="en-US"/>
        </w:rPr>
      </w:pPr>
      <w:r>
        <w:rPr>
          <w:lang w:val="en-US"/>
        </w:rPr>
        <w:t>A purchaser cannot use the Statute as an instrument of fraud.</w:t>
      </w:r>
    </w:p>
    <w:p w:rsidR="00897142" w:rsidRDefault="00897142" w:rsidP="00D61861">
      <w:pPr>
        <w:pBdr>
          <w:bottom w:val="single" w:sz="12" w:space="1" w:color="auto"/>
        </w:pBdr>
        <w:rPr>
          <w:lang w:val="en-US"/>
        </w:rPr>
      </w:pPr>
    </w:p>
    <w:p w:rsidR="00D128DE" w:rsidRPr="00D128DE" w:rsidRDefault="00D128DE" w:rsidP="00D61861">
      <w:pPr>
        <w:rPr>
          <w:b/>
          <w:sz w:val="22"/>
          <w:u w:val="single"/>
          <w:lang w:val="en-US"/>
        </w:rPr>
      </w:pPr>
    </w:p>
    <w:p w:rsidR="00D128DE" w:rsidRPr="003A60FA" w:rsidRDefault="00D128DE" w:rsidP="003A60FA">
      <w:pPr>
        <w:pStyle w:val="Heading3"/>
        <w:rPr>
          <w:b w:val="0"/>
          <w:lang w:val="en-US"/>
        </w:rPr>
      </w:pPr>
      <w:bookmarkStart w:id="37" w:name="_Toc259911025"/>
      <w:r w:rsidRPr="00D128DE">
        <w:rPr>
          <w:highlight w:val="yellow"/>
          <w:lang w:val="en-US"/>
        </w:rPr>
        <w:t>RE SAVILLE ROW PROPERTIES LTD (1969) BCSC</w:t>
      </w:r>
      <w:r w:rsidR="003362E3">
        <w:rPr>
          <w:lang w:val="en-US"/>
        </w:rPr>
        <w:t xml:space="preserve"> – </w:t>
      </w:r>
      <w:r w:rsidR="003362E3" w:rsidRPr="003A60FA">
        <w:rPr>
          <w:b w:val="0"/>
          <w:lang w:val="en-US"/>
        </w:rPr>
        <w:t>the onus is on the party alleging fraud to prove fraud. Law will presume against fraud.</w:t>
      </w:r>
      <w:bookmarkEnd w:id="37"/>
    </w:p>
    <w:p w:rsidR="00D128DE" w:rsidRDefault="00D128DE" w:rsidP="00D61861">
      <w:pPr>
        <w:rPr>
          <w:lang w:val="en-US"/>
        </w:rPr>
      </w:pPr>
    </w:p>
    <w:p w:rsidR="00D128DE" w:rsidRDefault="00D128DE" w:rsidP="00D61861">
      <w:pPr>
        <w:rPr>
          <w:lang w:val="en-US"/>
        </w:rPr>
      </w:pPr>
      <w:r>
        <w:rPr>
          <w:lang w:val="en-US"/>
        </w:rPr>
        <w:t>FACTS</w:t>
      </w:r>
    </w:p>
    <w:p w:rsidR="00D128DE" w:rsidRDefault="00D128DE" w:rsidP="00D61861">
      <w:pPr>
        <w:rPr>
          <w:lang w:val="en-US"/>
        </w:rPr>
      </w:pPr>
    </w:p>
    <w:p w:rsidR="00D128DE" w:rsidRDefault="00D128DE" w:rsidP="00D61861">
      <w:pPr>
        <w:rPr>
          <w:lang w:val="en-US"/>
        </w:rPr>
      </w:pPr>
      <w:r>
        <w:rPr>
          <w:lang w:val="en-US"/>
        </w:rPr>
        <w:t xml:space="preserve">Eldred gives an option to purchase to Ian H. Frew &amp; Associated Ltd (the “plaintiffs”). Eldred then sells the property to the “petitioner” (the “defendant”). The defendant completes the purchase and applies for registration. He then finds out that the plaintiffs applied to register their option. LRO asks plaintiffs to amend their application. Plaintiffs do not amend. LRO rejects their application to register the option. Plaintiffs commence action against Eldred, file a </w:t>
      </w:r>
      <w:r>
        <w:rPr>
          <w:i/>
          <w:lang w:val="en-US"/>
        </w:rPr>
        <w:t>lis pendens</w:t>
      </w:r>
      <w:r>
        <w:rPr>
          <w:lang w:val="en-US"/>
        </w:rPr>
        <w:t xml:space="preserve"> in the LRO. The defendant has his registration denied. Plaintiffs allege in their affadavit that the defendant knew of their option, which the defendant admits, and that the defendant knew that the plaintiffs thought their option was a valid and subsistiting option through the defendant’s registration. Plaintiffs do not allege fraud but say there are suspicions of fraud.</w:t>
      </w:r>
    </w:p>
    <w:p w:rsidR="00D128DE" w:rsidRDefault="00D128DE" w:rsidP="00D61861">
      <w:pPr>
        <w:rPr>
          <w:lang w:val="en-US"/>
        </w:rPr>
      </w:pPr>
    </w:p>
    <w:p w:rsidR="00D128DE" w:rsidRDefault="00D128DE" w:rsidP="00D61861">
      <w:pPr>
        <w:rPr>
          <w:lang w:val="en-US"/>
        </w:rPr>
      </w:pPr>
      <w:r>
        <w:rPr>
          <w:lang w:val="en-US"/>
        </w:rPr>
        <w:t>ISSUE</w:t>
      </w:r>
    </w:p>
    <w:p w:rsidR="00D128DE" w:rsidRDefault="00D128DE" w:rsidP="00D61861">
      <w:pPr>
        <w:rPr>
          <w:lang w:val="en-US"/>
        </w:rPr>
      </w:pPr>
    </w:p>
    <w:p w:rsidR="00D128DE" w:rsidRDefault="00D128DE" w:rsidP="00D61861">
      <w:pPr>
        <w:rPr>
          <w:lang w:val="en-US"/>
        </w:rPr>
      </w:pPr>
      <w:r>
        <w:rPr>
          <w:lang w:val="en-US"/>
        </w:rPr>
        <w:t xml:space="preserve">Is the petitioner a bona fide purchaser for value? </w:t>
      </w:r>
    </w:p>
    <w:p w:rsidR="00D128DE" w:rsidRDefault="00D128DE" w:rsidP="00D61861">
      <w:pPr>
        <w:rPr>
          <w:lang w:val="en-US"/>
        </w:rPr>
      </w:pPr>
    </w:p>
    <w:p w:rsidR="00D128DE" w:rsidRDefault="00D128DE" w:rsidP="00D61861">
      <w:pPr>
        <w:rPr>
          <w:lang w:val="en-US"/>
        </w:rPr>
      </w:pPr>
      <w:r>
        <w:rPr>
          <w:lang w:val="en-US"/>
        </w:rPr>
        <w:t>HELD.</w:t>
      </w:r>
    </w:p>
    <w:p w:rsidR="00D128DE" w:rsidRDefault="00D128DE" w:rsidP="00D61861">
      <w:pPr>
        <w:rPr>
          <w:lang w:val="en-US"/>
        </w:rPr>
      </w:pPr>
    </w:p>
    <w:p w:rsidR="00D128DE" w:rsidRDefault="00D128DE" w:rsidP="00D61861">
      <w:pPr>
        <w:rPr>
          <w:lang w:val="en-US"/>
        </w:rPr>
      </w:pPr>
      <w:r>
        <w:rPr>
          <w:lang w:val="en-US"/>
        </w:rPr>
        <w:t xml:space="preserve">Registrar’s decision reversed, lis pendens removed. While the defendant knew of the option, he also knew that it had been rejected and so cannot be inferred to have acted in bad faith merely because it tries to rely upon the provisions of the statute. </w:t>
      </w:r>
    </w:p>
    <w:p w:rsidR="00D128DE" w:rsidRDefault="00D128DE" w:rsidP="00D61861">
      <w:pPr>
        <w:rPr>
          <w:lang w:val="en-US"/>
        </w:rPr>
      </w:pPr>
    </w:p>
    <w:p w:rsidR="00D128DE" w:rsidRDefault="00D128DE" w:rsidP="00D61861">
      <w:pPr>
        <w:rPr>
          <w:lang w:val="en-US"/>
        </w:rPr>
      </w:pPr>
      <w:r>
        <w:rPr>
          <w:lang w:val="en-US"/>
        </w:rPr>
        <w:t>RATIO.</w:t>
      </w:r>
    </w:p>
    <w:p w:rsidR="00D128DE" w:rsidRDefault="00D128DE" w:rsidP="00D61861">
      <w:pPr>
        <w:rPr>
          <w:lang w:val="en-US"/>
        </w:rPr>
      </w:pPr>
    </w:p>
    <w:p w:rsidR="00D128DE" w:rsidRDefault="00D128DE" w:rsidP="00D61861">
      <w:pPr>
        <w:rPr>
          <w:lang w:val="en-US"/>
        </w:rPr>
      </w:pPr>
      <w:r>
        <w:rPr>
          <w:lang w:val="en-US"/>
        </w:rPr>
        <w:t>The onus is on the party alleging fraud to prove fraud. The law will presume against fraud.</w:t>
      </w:r>
    </w:p>
    <w:p w:rsidR="00D128DE" w:rsidRDefault="00D128DE" w:rsidP="00D61861">
      <w:pPr>
        <w:pBdr>
          <w:bottom w:val="single" w:sz="12" w:space="1" w:color="auto"/>
        </w:pBdr>
        <w:rPr>
          <w:lang w:val="en-US"/>
        </w:rPr>
      </w:pPr>
    </w:p>
    <w:p w:rsidR="00D128DE" w:rsidRPr="00D128DE" w:rsidRDefault="00D128DE" w:rsidP="00D61861">
      <w:pPr>
        <w:rPr>
          <w:sz w:val="22"/>
          <w:u w:val="single"/>
          <w:lang w:val="en-US"/>
        </w:rPr>
      </w:pPr>
    </w:p>
    <w:p w:rsidR="00BB42F9" w:rsidRPr="00B70FDF" w:rsidRDefault="00D128DE" w:rsidP="007E09C7">
      <w:pPr>
        <w:pStyle w:val="Heading2"/>
        <w:rPr>
          <w:lang w:val="en-US"/>
        </w:rPr>
      </w:pPr>
      <w:bookmarkStart w:id="38" w:name="_Toc259911026"/>
      <w:r w:rsidRPr="00B70FDF">
        <w:rPr>
          <w:lang w:val="en-US"/>
        </w:rPr>
        <w:t>“In Personam” Claims”</w:t>
      </w:r>
      <w:bookmarkEnd w:id="38"/>
    </w:p>
    <w:p w:rsidR="00BB42F9" w:rsidRDefault="00BB42F9" w:rsidP="00BB42F9">
      <w:pPr>
        <w:rPr>
          <w:sz w:val="22"/>
          <w:u w:val="single"/>
          <w:lang w:val="en-US"/>
        </w:rPr>
      </w:pPr>
    </w:p>
    <w:p w:rsidR="00DE37BF" w:rsidRPr="00B70FDF" w:rsidRDefault="00BB42F9" w:rsidP="00BB42F9">
      <w:pPr>
        <w:rPr>
          <w:lang w:val="en-US"/>
        </w:rPr>
      </w:pPr>
      <w:r w:rsidRPr="00B70FDF">
        <w:rPr>
          <w:lang w:val="en-US"/>
        </w:rPr>
        <w:t xml:space="preserve">Absent fraud, </w:t>
      </w:r>
      <w:r w:rsidRPr="00B70FDF">
        <w:rPr>
          <w:color w:val="800000"/>
          <w:lang w:val="en-US"/>
        </w:rPr>
        <w:t xml:space="preserve">a registered owner still may be </w:t>
      </w:r>
      <w:r w:rsidR="00DE37BF" w:rsidRPr="00B70FDF">
        <w:rPr>
          <w:color w:val="800000"/>
          <w:lang w:val="en-US"/>
        </w:rPr>
        <w:t>attacked by persons claiming an interest in the land</w:t>
      </w:r>
      <w:r w:rsidR="00DE37BF" w:rsidRPr="00B70FDF">
        <w:rPr>
          <w:lang w:val="en-US"/>
        </w:rPr>
        <w:t xml:space="preserve"> (</w:t>
      </w:r>
      <w:r w:rsidR="00DE37BF" w:rsidRPr="00B70FDF">
        <w:rPr>
          <w:i/>
          <w:color w:val="1F497D" w:themeColor="text2"/>
          <w:lang w:val="en-US"/>
        </w:rPr>
        <w:t>Pacific Savings</w:t>
      </w:r>
      <w:r w:rsidR="00DE37BF" w:rsidRPr="00B70FDF">
        <w:rPr>
          <w:lang w:val="en-US"/>
        </w:rPr>
        <w:t>). For example, a</w:t>
      </w:r>
      <w:r w:rsidR="003353CA" w:rsidRPr="00B70FDF">
        <w:rPr>
          <w:lang w:val="en-US"/>
        </w:rPr>
        <w:t xml:space="preserve"> mortgager who is foreclosed on</w:t>
      </w:r>
      <w:r w:rsidR="00DE37BF" w:rsidRPr="00B70FDF">
        <w:rPr>
          <w:lang w:val="en-US"/>
        </w:rPr>
        <w:t xml:space="preserve"> can redeem their mortgage if allowed to do so by court order and reclaim their property.</w:t>
      </w:r>
    </w:p>
    <w:p w:rsidR="003353CA" w:rsidRPr="00B70FDF" w:rsidRDefault="003353CA" w:rsidP="00BB42F9">
      <w:pPr>
        <w:rPr>
          <w:lang w:val="en-US"/>
        </w:rPr>
      </w:pPr>
    </w:p>
    <w:p w:rsidR="003353CA" w:rsidRPr="00B70FDF" w:rsidRDefault="003353CA" w:rsidP="00BB42F9">
      <w:pPr>
        <w:rPr>
          <w:lang w:val="en-US"/>
        </w:rPr>
      </w:pPr>
      <w:r w:rsidRPr="00B70FDF">
        <w:rPr>
          <w:lang w:val="en-US"/>
        </w:rPr>
        <w:t xml:space="preserve">In </w:t>
      </w:r>
      <w:r w:rsidRPr="00B70FDF">
        <w:rPr>
          <w:i/>
          <w:lang w:val="en-US"/>
        </w:rPr>
        <w:t>BC</w:t>
      </w:r>
      <w:r w:rsidRPr="00B70FDF">
        <w:rPr>
          <w:lang w:val="en-US"/>
        </w:rPr>
        <w:t xml:space="preserve">, the </w:t>
      </w:r>
      <w:r w:rsidRPr="00B70FDF">
        <w:rPr>
          <w:color w:val="1F497D" w:themeColor="text2"/>
          <w:lang w:val="en-US"/>
        </w:rPr>
        <w:t>Land Title Act Section 180</w:t>
      </w:r>
      <w:r w:rsidRPr="00B70FDF">
        <w:rPr>
          <w:lang w:val="en-US"/>
        </w:rPr>
        <w:t xml:space="preserve"> allows for the registration of trusts on the title. Any subsequent transferee to a registered owner “in trust” is deemed to have full knowledge of the trustee’s obligations and cannot collapse the trust through registration (</w:t>
      </w:r>
      <w:r w:rsidRPr="00B70FDF">
        <w:rPr>
          <w:i/>
          <w:color w:val="1F497D" w:themeColor="text2"/>
          <w:lang w:val="en-US"/>
        </w:rPr>
        <w:t>McRae v McRae</w:t>
      </w:r>
      <w:r w:rsidRPr="00B70FDF">
        <w:rPr>
          <w:lang w:val="en-US"/>
        </w:rPr>
        <w:t>). The purchaser is subject to all registered interests (</w:t>
      </w:r>
      <w:r w:rsidRPr="00B70FDF">
        <w:rPr>
          <w:color w:val="1F497D" w:themeColor="text2"/>
          <w:lang w:val="en-US"/>
        </w:rPr>
        <w:t>Section 23</w:t>
      </w:r>
      <w:r w:rsidRPr="00B70FDF">
        <w:rPr>
          <w:lang w:val="en-US"/>
        </w:rPr>
        <w:t>).</w:t>
      </w:r>
    </w:p>
    <w:p w:rsidR="00DE37BF" w:rsidRPr="00B70FDF" w:rsidRDefault="00DE37BF" w:rsidP="00BB42F9">
      <w:pPr>
        <w:rPr>
          <w:lang w:val="en-US"/>
        </w:rPr>
      </w:pPr>
    </w:p>
    <w:p w:rsidR="00D128DE" w:rsidRPr="00B70FDF" w:rsidRDefault="00DE37BF" w:rsidP="00BB42F9">
      <w:pPr>
        <w:rPr>
          <w:lang w:val="en-US"/>
        </w:rPr>
      </w:pPr>
      <w:r w:rsidRPr="00B70FDF">
        <w:rPr>
          <w:i/>
          <w:lang w:val="en-US"/>
        </w:rPr>
        <w:t>Bona Fide</w:t>
      </w:r>
      <w:r w:rsidRPr="00B70FDF">
        <w:rPr>
          <w:lang w:val="en-US"/>
        </w:rPr>
        <w:t xml:space="preserve"> purchasers, however, are protected absolutely. </w:t>
      </w:r>
    </w:p>
    <w:p w:rsidR="00D128DE" w:rsidRDefault="00D128DE" w:rsidP="00D61861">
      <w:pPr>
        <w:pBdr>
          <w:bottom w:val="single" w:sz="12" w:space="1" w:color="auto"/>
        </w:pBdr>
        <w:rPr>
          <w:lang w:val="en-US"/>
        </w:rPr>
      </w:pPr>
    </w:p>
    <w:p w:rsidR="00D128DE" w:rsidRDefault="00D128DE" w:rsidP="00D61861">
      <w:pPr>
        <w:rPr>
          <w:lang w:val="en-US"/>
        </w:rPr>
      </w:pPr>
    </w:p>
    <w:p w:rsidR="00D128DE" w:rsidRPr="00D128DE" w:rsidRDefault="00D128DE" w:rsidP="003A60FA">
      <w:pPr>
        <w:pStyle w:val="Heading3"/>
        <w:rPr>
          <w:lang w:val="en-US"/>
        </w:rPr>
      </w:pPr>
      <w:bookmarkStart w:id="39" w:name="_Toc259911027"/>
      <w:r w:rsidRPr="00D128DE">
        <w:rPr>
          <w:highlight w:val="yellow"/>
          <w:lang w:val="en-US"/>
        </w:rPr>
        <w:t>PACIFIC SAVINGS AND MORTGAGE CORP. v. CAN-CORP DEVELOPMENTS [1982]</w:t>
      </w:r>
      <w:r w:rsidR="007E09C7">
        <w:rPr>
          <w:lang w:val="en-US"/>
        </w:rPr>
        <w:t xml:space="preserve"> </w:t>
      </w:r>
      <w:r w:rsidR="007E09C7" w:rsidRPr="003A60FA">
        <w:rPr>
          <w:b w:val="0"/>
          <w:lang w:val="en-US"/>
        </w:rPr>
        <w:t>a registered owner might be attacked by a person claiming an interest in the lands described in the title.</w:t>
      </w:r>
      <w:bookmarkEnd w:id="39"/>
    </w:p>
    <w:p w:rsidR="00D128DE" w:rsidRDefault="00D128DE" w:rsidP="00D61861">
      <w:pPr>
        <w:rPr>
          <w:lang w:val="en-US"/>
        </w:rPr>
      </w:pPr>
    </w:p>
    <w:p w:rsidR="00D128DE" w:rsidRDefault="00D128DE" w:rsidP="00D61861">
      <w:pPr>
        <w:rPr>
          <w:lang w:val="en-US"/>
        </w:rPr>
      </w:pPr>
      <w:r>
        <w:rPr>
          <w:lang w:val="en-US"/>
        </w:rPr>
        <w:t>FACTS</w:t>
      </w:r>
    </w:p>
    <w:p w:rsidR="00D128DE" w:rsidRDefault="00D128DE" w:rsidP="00D61861">
      <w:pPr>
        <w:rPr>
          <w:lang w:val="en-US"/>
        </w:rPr>
      </w:pPr>
    </w:p>
    <w:p w:rsidR="00BB42F9" w:rsidRDefault="008D2C93" w:rsidP="00D61861">
      <w:pPr>
        <w:rPr>
          <w:lang w:val="en-US"/>
        </w:rPr>
      </w:pPr>
      <w:r>
        <w:rPr>
          <w:lang w:val="en-US"/>
        </w:rPr>
        <w:t>The appellant/mortgago</w:t>
      </w:r>
      <w:r w:rsidR="003E251E">
        <w:rPr>
          <w:lang w:val="en-US"/>
        </w:rPr>
        <w:t>rs granted a mortgage to the re</w:t>
      </w:r>
      <w:r>
        <w:rPr>
          <w:lang w:val="en-US"/>
        </w:rPr>
        <w:t>spondent/mortgagees.</w:t>
      </w:r>
      <w:r w:rsidR="00BB42F9">
        <w:rPr>
          <w:lang w:val="en-US"/>
        </w:rPr>
        <w:t xml:space="preserve"> The mortgageees commenced foreclosure proceedings on November 24, 1980 and obtained a court order on September 28, 1981. On Cctober 1, 1981, a certificate of indefeasible title was issued to the mortgagees.</w:t>
      </w:r>
    </w:p>
    <w:p w:rsidR="00BB42F9" w:rsidRDefault="00BB42F9" w:rsidP="00D61861">
      <w:pPr>
        <w:rPr>
          <w:lang w:val="en-US"/>
        </w:rPr>
      </w:pPr>
    </w:p>
    <w:p w:rsidR="00BB42F9" w:rsidRDefault="00BB42F9" w:rsidP="00D61861">
      <w:pPr>
        <w:rPr>
          <w:lang w:val="en-US"/>
        </w:rPr>
      </w:pPr>
      <w:r>
        <w:rPr>
          <w:lang w:val="en-US"/>
        </w:rPr>
        <w:t xml:space="preserve">Then, the mortgagors gave notice that they want to redeem (pay back the loan). On October 13, 1981, they filed a notice of motion to re-open the final order, and obtained from the Court Registry a certificate of </w:t>
      </w:r>
      <w:r>
        <w:rPr>
          <w:i/>
          <w:lang w:val="en-US"/>
        </w:rPr>
        <w:t>lis pendens</w:t>
      </w:r>
      <w:r>
        <w:rPr>
          <w:lang w:val="en-US"/>
        </w:rPr>
        <w:t xml:space="preserve">. The </w:t>
      </w:r>
      <w:r>
        <w:rPr>
          <w:i/>
          <w:lang w:val="en-US"/>
        </w:rPr>
        <w:t>lis pendens</w:t>
      </w:r>
      <w:r>
        <w:rPr>
          <w:lang w:val="en-US"/>
        </w:rPr>
        <w:t xml:space="preserve"> was filed in the LRO on November 20, 1981.</w:t>
      </w:r>
    </w:p>
    <w:p w:rsidR="00BB42F9" w:rsidRDefault="00BB42F9" w:rsidP="00D61861">
      <w:pPr>
        <w:rPr>
          <w:lang w:val="en-US"/>
        </w:rPr>
      </w:pPr>
    </w:p>
    <w:p w:rsidR="00BB42F9" w:rsidRPr="00BB42F9" w:rsidRDefault="00BB42F9" w:rsidP="00D61861">
      <w:pPr>
        <w:rPr>
          <w:lang w:val="en-US"/>
        </w:rPr>
      </w:pPr>
      <w:r>
        <w:rPr>
          <w:lang w:val="en-US"/>
        </w:rPr>
        <w:t xml:space="preserve">The mortgagees found a purchaser for the property and accepted the purchase on November 20 (same day </w:t>
      </w:r>
      <w:r>
        <w:rPr>
          <w:i/>
          <w:lang w:val="en-US"/>
        </w:rPr>
        <w:t>lis</w:t>
      </w:r>
      <w:r>
        <w:rPr>
          <w:lang w:val="en-US"/>
        </w:rPr>
        <w:t xml:space="preserve"> was filed).</w:t>
      </w:r>
    </w:p>
    <w:p w:rsidR="00BB42F9" w:rsidRDefault="00BB42F9" w:rsidP="00D61861">
      <w:pPr>
        <w:rPr>
          <w:lang w:val="en-US"/>
        </w:rPr>
      </w:pPr>
    </w:p>
    <w:p w:rsidR="00BB42F9" w:rsidRDefault="00BB42F9" w:rsidP="00D61861">
      <w:pPr>
        <w:rPr>
          <w:lang w:val="en-US"/>
        </w:rPr>
      </w:pPr>
      <w:r>
        <w:rPr>
          <w:lang w:val="en-US"/>
        </w:rPr>
        <w:t>Trial judge refused to reopen the final foreclosure order. The mortgagors appealed.</w:t>
      </w:r>
    </w:p>
    <w:p w:rsidR="00BB42F9" w:rsidRDefault="00BB42F9" w:rsidP="00D61861">
      <w:pPr>
        <w:rPr>
          <w:lang w:val="en-US"/>
        </w:rPr>
      </w:pPr>
    </w:p>
    <w:p w:rsidR="00BB42F9" w:rsidRDefault="00BB42F9" w:rsidP="00D61861">
      <w:pPr>
        <w:rPr>
          <w:lang w:val="en-US"/>
        </w:rPr>
      </w:pPr>
      <w:r>
        <w:rPr>
          <w:lang w:val="en-US"/>
        </w:rPr>
        <w:t>HELD</w:t>
      </w:r>
      <w:r w:rsidR="00DE37BF">
        <w:rPr>
          <w:lang w:val="en-US"/>
        </w:rPr>
        <w:t>:</w:t>
      </w:r>
    </w:p>
    <w:p w:rsidR="00BB42F9" w:rsidRDefault="00BB42F9" w:rsidP="00D61861">
      <w:pPr>
        <w:rPr>
          <w:lang w:val="en-US"/>
        </w:rPr>
      </w:pPr>
    </w:p>
    <w:p w:rsidR="00BB42F9" w:rsidRDefault="00BB42F9" w:rsidP="00D61861">
      <w:pPr>
        <w:rPr>
          <w:lang w:val="en-US"/>
        </w:rPr>
      </w:pPr>
      <w:r>
        <w:rPr>
          <w:lang w:val="en-US"/>
        </w:rPr>
        <w:t>Appellants get their house back</w:t>
      </w:r>
      <w:r w:rsidR="00DE37BF">
        <w:rPr>
          <w:lang w:val="en-US"/>
        </w:rPr>
        <w:t xml:space="preserve"> if they can redeem all monis due.</w:t>
      </w:r>
    </w:p>
    <w:p w:rsidR="00BB42F9" w:rsidRDefault="00BB42F9" w:rsidP="00D61861">
      <w:pPr>
        <w:rPr>
          <w:lang w:val="en-US"/>
        </w:rPr>
      </w:pPr>
    </w:p>
    <w:p w:rsidR="00BB42F9" w:rsidRDefault="00DE37BF" w:rsidP="00D61861">
      <w:pPr>
        <w:rPr>
          <w:lang w:val="en-US"/>
        </w:rPr>
      </w:pPr>
      <w:r>
        <w:rPr>
          <w:lang w:val="en-US"/>
        </w:rPr>
        <w:t>RATIO</w:t>
      </w:r>
      <w:r w:rsidR="00BB42F9">
        <w:rPr>
          <w:lang w:val="en-US"/>
        </w:rPr>
        <w:t>:</w:t>
      </w:r>
    </w:p>
    <w:p w:rsidR="00BB42F9" w:rsidRDefault="00BB42F9" w:rsidP="00D61861">
      <w:pPr>
        <w:rPr>
          <w:lang w:val="en-US"/>
        </w:rPr>
      </w:pPr>
    </w:p>
    <w:p w:rsidR="00BB42F9" w:rsidRDefault="00BB42F9" w:rsidP="00D61861">
      <w:pPr>
        <w:rPr>
          <w:lang w:val="en-US"/>
        </w:rPr>
      </w:pPr>
      <w:r>
        <w:rPr>
          <w:lang w:val="en-US"/>
        </w:rPr>
        <w:t xml:space="preserve">The statue does not bestow conclusive indefeasibility to the registered owner, only </w:t>
      </w:r>
      <w:r>
        <w:rPr>
          <w:i/>
          <w:lang w:val="en-US"/>
        </w:rPr>
        <w:t xml:space="preserve">bona fide </w:t>
      </w:r>
      <w:r>
        <w:rPr>
          <w:lang w:val="en-US"/>
        </w:rPr>
        <w:t xml:space="preserve">purchasers for value. Registered owner is still subject to the outcome of </w:t>
      </w:r>
      <w:r>
        <w:rPr>
          <w:i/>
          <w:lang w:val="en-US"/>
        </w:rPr>
        <w:t>lis pendens</w:t>
      </w:r>
      <w:r>
        <w:rPr>
          <w:lang w:val="en-US"/>
        </w:rPr>
        <w:t xml:space="preserve"> and the Court can deem his title no longer in force and cancelled.</w:t>
      </w:r>
    </w:p>
    <w:p w:rsidR="00BB42F9" w:rsidRDefault="00BB42F9" w:rsidP="00D61861">
      <w:pPr>
        <w:rPr>
          <w:lang w:val="en-US"/>
        </w:rPr>
      </w:pPr>
    </w:p>
    <w:p w:rsidR="00BB42F9" w:rsidRPr="00BB42F9" w:rsidRDefault="00BB42F9" w:rsidP="00D61861">
      <w:pPr>
        <w:rPr>
          <w:lang w:val="en-US"/>
        </w:rPr>
      </w:pPr>
      <w:r>
        <w:rPr>
          <w:lang w:val="en-US"/>
        </w:rPr>
        <w:t>A registered owner might be attacked by a person claiming an interest in the lands described in the title.</w:t>
      </w:r>
    </w:p>
    <w:p w:rsidR="00DE37BF" w:rsidRDefault="00DE37BF" w:rsidP="00D61861">
      <w:pPr>
        <w:pBdr>
          <w:bottom w:val="single" w:sz="12" w:space="1" w:color="auto"/>
        </w:pBdr>
        <w:rPr>
          <w:lang w:val="en-US"/>
        </w:rPr>
      </w:pPr>
    </w:p>
    <w:p w:rsidR="00DE37BF" w:rsidRDefault="00DE37BF" w:rsidP="00D61861">
      <w:pPr>
        <w:rPr>
          <w:lang w:val="en-US"/>
        </w:rPr>
      </w:pPr>
    </w:p>
    <w:p w:rsidR="00DE37BF" w:rsidRPr="00DE37BF" w:rsidRDefault="00DE37BF" w:rsidP="003A60FA">
      <w:pPr>
        <w:pStyle w:val="Heading3"/>
        <w:rPr>
          <w:lang w:val="en-US"/>
        </w:rPr>
      </w:pPr>
      <w:bookmarkStart w:id="40" w:name="_Toc259911028"/>
      <w:r w:rsidRPr="00DE37BF">
        <w:rPr>
          <w:highlight w:val="yellow"/>
          <w:lang w:val="en-US"/>
        </w:rPr>
        <w:t>McRAE v McRAE ESTATE</w:t>
      </w:r>
      <w:r w:rsidR="007E09C7">
        <w:rPr>
          <w:lang w:val="en-US"/>
        </w:rPr>
        <w:t xml:space="preserve">: </w:t>
      </w:r>
      <w:r w:rsidR="007E09C7" w:rsidRPr="003A60FA">
        <w:rPr>
          <w:b w:val="0"/>
          <w:lang w:val="en-US"/>
        </w:rPr>
        <w:t>a person is presumed to have full knowledge of everything registered in the title including “in trust”.</w:t>
      </w:r>
      <w:bookmarkEnd w:id="40"/>
    </w:p>
    <w:p w:rsidR="00DE37BF" w:rsidRPr="00DE37BF" w:rsidRDefault="00DE37BF" w:rsidP="00D61861">
      <w:pPr>
        <w:rPr>
          <w:b/>
          <w:sz w:val="22"/>
          <w:u w:val="single"/>
          <w:lang w:val="en-US"/>
        </w:rPr>
      </w:pPr>
    </w:p>
    <w:p w:rsidR="00DE37BF" w:rsidRDefault="00DE37BF" w:rsidP="00D61861">
      <w:pPr>
        <w:rPr>
          <w:lang w:val="en-US"/>
        </w:rPr>
      </w:pPr>
      <w:r>
        <w:rPr>
          <w:lang w:val="en-US"/>
        </w:rPr>
        <w:t>FACTS:</w:t>
      </w:r>
    </w:p>
    <w:p w:rsidR="00DE37BF" w:rsidRDefault="00DE37BF" w:rsidP="00D61861">
      <w:pPr>
        <w:rPr>
          <w:lang w:val="en-US"/>
        </w:rPr>
      </w:pPr>
    </w:p>
    <w:p w:rsidR="004770D2" w:rsidRDefault="00D82C3E" w:rsidP="00D61861">
      <w:pPr>
        <w:rPr>
          <w:lang w:val="en-US"/>
        </w:rPr>
      </w:pPr>
      <w:r>
        <w:rPr>
          <w:lang w:val="en-US"/>
        </w:rPr>
        <w:t>Farquhar Fraser Sr. acquired 647 acres of land at $1 each divided into 3 lots in the early 1900s from the Crown. He leaves it to his wife, in trust, in effect for her life, and then to his three children John, Catherine and Farquhar as remainder. Mrs. Fraser was the registered owner, and it said her name “in trust” on the title. In 1949, she transferred the property to her son Farquhar Fraser Jr for a d</w:t>
      </w:r>
      <w:r w:rsidR="004770D2">
        <w:rPr>
          <w:lang w:val="en-US"/>
        </w:rPr>
        <w:t>ollar and other valuable consideration. He registered as the fee simple owner, without any notation on his title. He died in 1989; by will he left the lots to his wife, and his brother John and Catherine.</w:t>
      </w:r>
    </w:p>
    <w:p w:rsidR="004770D2" w:rsidRDefault="004770D2" w:rsidP="00D61861">
      <w:pPr>
        <w:rPr>
          <w:lang w:val="en-US"/>
        </w:rPr>
      </w:pPr>
    </w:p>
    <w:p w:rsidR="004770D2" w:rsidRDefault="004770D2" w:rsidP="00D61861">
      <w:pPr>
        <w:rPr>
          <w:lang w:val="en-US"/>
        </w:rPr>
      </w:pPr>
      <w:r>
        <w:rPr>
          <w:lang w:val="en-US"/>
        </w:rPr>
        <w:t>Sometime in 1990 John and Catherine found out about the terms of their father’s will and the possible significance of the 1949 transfer. They commenced proceedings. The trial judge ordered that the 1949 transfer be set aside and that title to the lots be vested in Farquhar’s executors to be disposed of according to law. His wife appealed.</w:t>
      </w:r>
    </w:p>
    <w:p w:rsidR="004770D2" w:rsidRDefault="004770D2" w:rsidP="00D61861">
      <w:pPr>
        <w:rPr>
          <w:lang w:val="en-US"/>
        </w:rPr>
      </w:pPr>
    </w:p>
    <w:p w:rsidR="004770D2" w:rsidRPr="004770D2" w:rsidRDefault="004770D2" w:rsidP="00D61861">
      <w:pPr>
        <w:rPr>
          <w:lang w:val="en-US"/>
        </w:rPr>
      </w:pPr>
      <w:r>
        <w:rPr>
          <w:lang w:val="en-US"/>
        </w:rPr>
        <w:t xml:space="preserve">Counsel for Farquhar argued that he took clear title to the district lots free of the testamentary trust as he was a </w:t>
      </w:r>
      <w:r>
        <w:rPr>
          <w:i/>
          <w:lang w:val="en-US"/>
        </w:rPr>
        <w:t>bona fide</w:t>
      </w:r>
      <w:r>
        <w:rPr>
          <w:lang w:val="en-US"/>
        </w:rPr>
        <w:t xml:space="preserve"> purchaser for value without actual notice of his mother’s breach of trust. </w:t>
      </w:r>
    </w:p>
    <w:p w:rsidR="004770D2" w:rsidRDefault="004770D2" w:rsidP="00D61861">
      <w:pPr>
        <w:rPr>
          <w:lang w:val="en-US"/>
        </w:rPr>
      </w:pPr>
    </w:p>
    <w:p w:rsidR="004770D2" w:rsidRDefault="004770D2" w:rsidP="00D61861">
      <w:pPr>
        <w:rPr>
          <w:lang w:val="en-US"/>
        </w:rPr>
      </w:pPr>
      <w:r>
        <w:rPr>
          <w:lang w:val="en-US"/>
        </w:rPr>
        <w:t xml:space="preserve">HELD: </w:t>
      </w:r>
    </w:p>
    <w:p w:rsidR="004770D2" w:rsidRDefault="004770D2" w:rsidP="00D61861">
      <w:pPr>
        <w:rPr>
          <w:lang w:val="en-US"/>
        </w:rPr>
      </w:pPr>
    </w:p>
    <w:p w:rsidR="004770D2" w:rsidRDefault="004770D2" w:rsidP="00D61861">
      <w:pPr>
        <w:rPr>
          <w:lang w:val="en-US"/>
        </w:rPr>
      </w:pPr>
      <w:r>
        <w:rPr>
          <w:lang w:val="en-US"/>
        </w:rPr>
        <w:t>Decision upheld. Since in BC trust can be registered, as “in trust” next to the R.O’s name, Farquhar is statutorily deemed to have knowledge of his mother’s role as trustee for the property and therefore of her breach of trust.</w:t>
      </w:r>
    </w:p>
    <w:p w:rsidR="004770D2" w:rsidRDefault="004770D2" w:rsidP="00D61861">
      <w:pPr>
        <w:rPr>
          <w:lang w:val="en-US"/>
        </w:rPr>
      </w:pPr>
    </w:p>
    <w:p w:rsidR="003353CA" w:rsidRDefault="004770D2" w:rsidP="00D61861">
      <w:pPr>
        <w:rPr>
          <w:lang w:val="en-US"/>
        </w:rPr>
      </w:pPr>
      <w:r>
        <w:rPr>
          <w:lang w:val="en-US"/>
        </w:rPr>
        <w:t xml:space="preserve">This statutory provision regarding trusts preceded the 1948 transfer.  </w:t>
      </w:r>
    </w:p>
    <w:p w:rsidR="003353CA" w:rsidRDefault="003353CA" w:rsidP="00D61861">
      <w:pPr>
        <w:rPr>
          <w:lang w:val="en-US"/>
        </w:rPr>
      </w:pPr>
    </w:p>
    <w:p w:rsidR="003353CA" w:rsidRDefault="003353CA" w:rsidP="00D61861">
      <w:pPr>
        <w:rPr>
          <w:lang w:val="en-US"/>
        </w:rPr>
      </w:pPr>
      <w:r>
        <w:rPr>
          <w:lang w:val="en-US"/>
        </w:rPr>
        <w:t>RATIO:</w:t>
      </w:r>
    </w:p>
    <w:p w:rsidR="003353CA" w:rsidRDefault="003353CA" w:rsidP="00D61861">
      <w:pPr>
        <w:rPr>
          <w:lang w:val="en-US"/>
        </w:rPr>
      </w:pPr>
    </w:p>
    <w:p w:rsidR="004770D2" w:rsidRDefault="003353CA" w:rsidP="00D61861">
      <w:pPr>
        <w:rPr>
          <w:lang w:val="en-US"/>
        </w:rPr>
      </w:pPr>
      <w:r>
        <w:rPr>
          <w:lang w:val="en-US"/>
        </w:rPr>
        <w:t xml:space="preserve">A person is presumed to have full knowledge of everything registered in the title, including “in trust”. </w:t>
      </w:r>
    </w:p>
    <w:p w:rsidR="004770D2" w:rsidRDefault="004770D2" w:rsidP="00D61861">
      <w:pPr>
        <w:pBdr>
          <w:bottom w:val="single" w:sz="12" w:space="1" w:color="auto"/>
        </w:pBdr>
        <w:rPr>
          <w:lang w:val="en-US"/>
        </w:rPr>
      </w:pPr>
    </w:p>
    <w:p w:rsidR="003353CA" w:rsidRDefault="003353CA" w:rsidP="00D61861">
      <w:pPr>
        <w:rPr>
          <w:lang w:val="en-US"/>
        </w:rPr>
      </w:pPr>
    </w:p>
    <w:p w:rsidR="003353CA" w:rsidRPr="003353CA" w:rsidRDefault="003353CA" w:rsidP="003D36B7">
      <w:pPr>
        <w:pStyle w:val="Heading2"/>
        <w:rPr>
          <w:lang w:val="en-US"/>
        </w:rPr>
      </w:pPr>
      <w:bookmarkStart w:id="41" w:name="_Toc259911029"/>
      <w:r w:rsidRPr="003353CA">
        <w:rPr>
          <w:lang w:val="en-US"/>
        </w:rPr>
        <w:t>B. REGISTRATION: CHARGES</w:t>
      </w:r>
      <w:bookmarkEnd w:id="41"/>
    </w:p>
    <w:p w:rsidR="003353CA" w:rsidRPr="00366350" w:rsidRDefault="003353CA" w:rsidP="00D61861">
      <w:pPr>
        <w:rPr>
          <w:sz w:val="22"/>
          <w:u w:val="single"/>
          <w:lang w:val="en-US"/>
        </w:rPr>
      </w:pPr>
    </w:p>
    <w:p w:rsidR="003353CA" w:rsidRPr="00366350" w:rsidRDefault="003353CA" w:rsidP="00D61861">
      <w:pPr>
        <w:rPr>
          <w:lang w:val="en-US"/>
        </w:rPr>
      </w:pPr>
      <w:r w:rsidRPr="00366350">
        <w:rPr>
          <w:lang w:val="en-US"/>
        </w:rPr>
        <w:t xml:space="preserve">Two ways to register a charge under </w:t>
      </w:r>
      <w:r w:rsidRPr="00366350">
        <w:rPr>
          <w:color w:val="1F497D" w:themeColor="text2"/>
          <w:lang w:val="en-US"/>
        </w:rPr>
        <w:t>Land Title Act</w:t>
      </w:r>
      <w:r w:rsidRPr="00366350">
        <w:rPr>
          <w:lang w:val="en-US"/>
        </w:rPr>
        <w:t>:</w:t>
      </w:r>
    </w:p>
    <w:p w:rsidR="003353CA" w:rsidRPr="00366350" w:rsidRDefault="003353CA" w:rsidP="00D61861">
      <w:pPr>
        <w:rPr>
          <w:b/>
          <w:lang w:val="en-US"/>
        </w:rPr>
      </w:pPr>
    </w:p>
    <w:p w:rsidR="003353CA" w:rsidRPr="00B70FDF" w:rsidRDefault="003353CA" w:rsidP="00D61861">
      <w:pPr>
        <w:rPr>
          <w:color w:val="1F497D" w:themeColor="text2"/>
          <w:lang w:val="en-US"/>
        </w:rPr>
      </w:pPr>
      <w:r w:rsidRPr="00B70FDF">
        <w:rPr>
          <w:color w:val="1F497D" w:themeColor="text2"/>
          <w:lang w:val="en-US"/>
        </w:rPr>
        <w:t xml:space="preserve">Section 197: </w:t>
      </w:r>
    </w:p>
    <w:p w:rsidR="003353CA" w:rsidRPr="00366350" w:rsidRDefault="003353CA" w:rsidP="00D61861">
      <w:pPr>
        <w:rPr>
          <w:lang w:val="en-US"/>
        </w:rPr>
      </w:pPr>
    </w:p>
    <w:p w:rsidR="00BF09D3" w:rsidRDefault="003353CA" w:rsidP="003353CA">
      <w:pPr>
        <w:pStyle w:val="ListParagraph"/>
        <w:numPr>
          <w:ilvl w:val="0"/>
          <w:numId w:val="17"/>
        </w:numPr>
        <w:rPr>
          <w:lang w:val="en-US"/>
        </w:rPr>
      </w:pPr>
      <w:r w:rsidRPr="00366350">
        <w:rPr>
          <w:lang w:val="en-US"/>
        </w:rPr>
        <w:t xml:space="preserve">must be entitled to register as owner of the charge: </w:t>
      </w:r>
    </w:p>
    <w:p w:rsidR="00BF09D3" w:rsidRDefault="001E23F4" w:rsidP="003353CA">
      <w:pPr>
        <w:pStyle w:val="ListParagraph"/>
        <w:numPr>
          <w:ilvl w:val="0"/>
          <w:numId w:val="17"/>
        </w:numPr>
        <w:rPr>
          <w:lang w:val="en-US"/>
        </w:rPr>
      </w:pPr>
      <w:r>
        <w:rPr>
          <w:lang w:val="en-US"/>
        </w:rPr>
        <w:t>registrar can refuse registration of charge if:</w:t>
      </w:r>
    </w:p>
    <w:p w:rsidR="00BF09D3" w:rsidRDefault="001E23F4" w:rsidP="001E23F4">
      <w:pPr>
        <w:pStyle w:val="ListParagraph"/>
        <w:numPr>
          <w:ilvl w:val="2"/>
          <w:numId w:val="49"/>
        </w:numPr>
        <w:rPr>
          <w:lang w:val="en-US"/>
        </w:rPr>
      </w:pPr>
      <w:r>
        <w:rPr>
          <w:lang w:val="en-US"/>
        </w:rPr>
        <w:t xml:space="preserve">applicant does not establish </w:t>
      </w:r>
      <w:r w:rsidR="003353CA" w:rsidRPr="00366350">
        <w:rPr>
          <w:lang w:val="en-US"/>
        </w:rPr>
        <w:t>good, safeholding and marketable title</w:t>
      </w:r>
    </w:p>
    <w:p w:rsidR="00366350" w:rsidRPr="00BF09D3" w:rsidRDefault="00366350" w:rsidP="001E23F4">
      <w:pPr>
        <w:pStyle w:val="ListParagraph"/>
        <w:numPr>
          <w:ilvl w:val="2"/>
          <w:numId w:val="49"/>
        </w:numPr>
        <w:rPr>
          <w:lang w:val="en-US"/>
        </w:rPr>
      </w:pPr>
      <w:r w:rsidRPr="00BF09D3">
        <w:rPr>
          <w:lang w:val="en-US"/>
        </w:rPr>
        <w:t>the charge claimed is not a registrable estate or interest under the Act</w:t>
      </w:r>
    </w:p>
    <w:p w:rsidR="00366350" w:rsidRDefault="00366350" w:rsidP="00366350">
      <w:pPr>
        <w:rPr>
          <w:lang w:val="en-US"/>
        </w:rPr>
      </w:pPr>
    </w:p>
    <w:p w:rsidR="00366350" w:rsidRPr="00B70FDF" w:rsidRDefault="00366350" w:rsidP="00366350">
      <w:pPr>
        <w:rPr>
          <w:color w:val="1F497D" w:themeColor="text2"/>
          <w:lang w:val="en-US"/>
        </w:rPr>
      </w:pPr>
      <w:r w:rsidRPr="00B70FDF">
        <w:rPr>
          <w:color w:val="1F497D" w:themeColor="text2"/>
          <w:lang w:val="en-US"/>
        </w:rPr>
        <w:t>Section 180 (trust estates, p 6-55)</w:t>
      </w:r>
    </w:p>
    <w:p w:rsidR="00366350" w:rsidRPr="00366350" w:rsidRDefault="00366350" w:rsidP="00366350">
      <w:pPr>
        <w:rPr>
          <w:lang w:val="en-US"/>
        </w:rPr>
      </w:pPr>
    </w:p>
    <w:p w:rsidR="00366350" w:rsidRPr="00366350" w:rsidRDefault="00366350" w:rsidP="00366350">
      <w:pPr>
        <w:pStyle w:val="ListParagraph"/>
        <w:numPr>
          <w:ilvl w:val="0"/>
          <w:numId w:val="18"/>
        </w:numPr>
        <w:rPr>
          <w:lang w:val="en-US"/>
        </w:rPr>
      </w:pPr>
      <w:r w:rsidRPr="00366350">
        <w:rPr>
          <w:lang w:val="en-US"/>
        </w:rPr>
        <w:t>Trustee’s title may be registered but particulars of the trust must not be entered in the register</w:t>
      </w:r>
    </w:p>
    <w:p w:rsidR="00366350" w:rsidRPr="00366350" w:rsidRDefault="00366350" w:rsidP="00366350">
      <w:pPr>
        <w:pStyle w:val="ListParagraph"/>
        <w:numPr>
          <w:ilvl w:val="0"/>
          <w:numId w:val="18"/>
        </w:numPr>
        <w:rPr>
          <w:lang w:val="en-US"/>
        </w:rPr>
      </w:pPr>
      <w:r w:rsidRPr="00366350">
        <w:rPr>
          <w:lang w:val="en-US"/>
        </w:rPr>
        <w:t>Must include reference by number to the trust instrument and any other info the Registrar deems necessary to identify the estate of the testate or intestate</w:t>
      </w:r>
    </w:p>
    <w:p w:rsidR="00366350" w:rsidRPr="00366350" w:rsidRDefault="00366350" w:rsidP="00366350">
      <w:pPr>
        <w:pStyle w:val="ListParagraph"/>
        <w:numPr>
          <w:ilvl w:val="0"/>
          <w:numId w:val="18"/>
        </w:numPr>
        <w:rPr>
          <w:lang w:val="en-US"/>
        </w:rPr>
      </w:pPr>
      <w:r w:rsidRPr="00366350">
        <w:rPr>
          <w:lang w:val="en-US"/>
        </w:rPr>
        <w:t xml:space="preserve">Must add words </w:t>
      </w:r>
      <w:r w:rsidRPr="00366350">
        <w:rPr>
          <w:color w:val="800000"/>
          <w:lang w:val="en-US"/>
        </w:rPr>
        <w:t>“in trust”</w:t>
      </w:r>
    </w:p>
    <w:p w:rsidR="00366350" w:rsidRDefault="00366350" w:rsidP="00366350">
      <w:pPr>
        <w:pStyle w:val="ListParagraph"/>
        <w:numPr>
          <w:ilvl w:val="0"/>
          <w:numId w:val="18"/>
        </w:numPr>
        <w:rPr>
          <w:lang w:val="en-US"/>
        </w:rPr>
      </w:pPr>
      <w:r>
        <w:rPr>
          <w:lang w:val="en-US"/>
        </w:rPr>
        <w:t>Trust instrument must be filed with the registrar with the application for registration of title</w:t>
      </w:r>
    </w:p>
    <w:p w:rsidR="00366350" w:rsidRDefault="00366350" w:rsidP="00366350">
      <w:pPr>
        <w:pStyle w:val="ListParagraph"/>
        <w:numPr>
          <w:ilvl w:val="0"/>
          <w:numId w:val="18"/>
        </w:numPr>
        <w:rPr>
          <w:lang w:val="en-US"/>
        </w:rPr>
      </w:pPr>
      <w:r>
        <w:rPr>
          <w:lang w:val="en-US"/>
        </w:rPr>
        <w:t>If trust is outside of BC or property in Trust is outside BC then a copy of the trust instrument must be provided</w:t>
      </w:r>
    </w:p>
    <w:p w:rsidR="00366350" w:rsidRDefault="00366350" w:rsidP="00366350">
      <w:pPr>
        <w:pStyle w:val="ListParagraph"/>
        <w:numPr>
          <w:ilvl w:val="0"/>
          <w:numId w:val="18"/>
        </w:numPr>
        <w:rPr>
          <w:lang w:val="en-US"/>
        </w:rPr>
      </w:pPr>
      <w:r>
        <w:rPr>
          <w:lang w:val="en-US"/>
        </w:rPr>
        <w:t>Copy under 5) has the same effect as the original</w:t>
      </w:r>
    </w:p>
    <w:p w:rsidR="00366350" w:rsidRDefault="00366350" w:rsidP="00366350">
      <w:pPr>
        <w:pStyle w:val="ListParagraph"/>
        <w:numPr>
          <w:ilvl w:val="0"/>
          <w:numId w:val="18"/>
        </w:numPr>
        <w:rPr>
          <w:lang w:val="en-US"/>
        </w:rPr>
      </w:pPr>
      <w:r>
        <w:rPr>
          <w:lang w:val="en-US"/>
        </w:rPr>
        <w:t>If a trust is registered that property cannot be disposed of or mortgaged or otherwise dealt of except if</w:t>
      </w:r>
    </w:p>
    <w:p w:rsidR="00366350" w:rsidRDefault="00366350" w:rsidP="00366350">
      <w:pPr>
        <w:pStyle w:val="ListParagraph"/>
        <w:numPr>
          <w:ilvl w:val="1"/>
          <w:numId w:val="18"/>
        </w:numPr>
        <w:rPr>
          <w:lang w:val="en-US"/>
        </w:rPr>
      </w:pPr>
      <w:r>
        <w:rPr>
          <w:lang w:val="en-US"/>
        </w:rPr>
        <w:t>Expressly authorized by law or by the instrument creating or declaring the trust</w:t>
      </w:r>
    </w:p>
    <w:p w:rsidR="00366350" w:rsidRDefault="00366350" w:rsidP="00366350">
      <w:pPr>
        <w:pStyle w:val="ListParagraph"/>
        <w:numPr>
          <w:ilvl w:val="1"/>
          <w:numId w:val="18"/>
        </w:numPr>
        <w:rPr>
          <w:lang w:val="en-US"/>
        </w:rPr>
      </w:pPr>
      <w:r>
        <w:rPr>
          <w:lang w:val="en-US"/>
        </w:rPr>
        <w:t>An order has been obtained from the Supreme Court</w:t>
      </w:r>
    </w:p>
    <w:p w:rsidR="00366350" w:rsidRDefault="00366350" w:rsidP="00366350">
      <w:pPr>
        <w:pStyle w:val="ListParagraph"/>
        <w:numPr>
          <w:ilvl w:val="0"/>
          <w:numId w:val="18"/>
        </w:numPr>
        <w:rPr>
          <w:lang w:val="en-US"/>
        </w:rPr>
      </w:pPr>
      <w:r>
        <w:rPr>
          <w:lang w:val="en-US"/>
        </w:rPr>
        <w:t>7 does not apply to dealings done by the Trustee himself</w:t>
      </w:r>
    </w:p>
    <w:p w:rsidR="009D4182" w:rsidRDefault="00366350" w:rsidP="00366350">
      <w:pPr>
        <w:pStyle w:val="ListParagraph"/>
        <w:numPr>
          <w:ilvl w:val="0"/>
          <w:numId w:val="18"/>
        </w:numPr>
        <w:rPr>
          <w:lang w:val="en-US"/>
        </w:rPr>
      </w:pPr>
      <w:r>
        <w:rPr>
          <w:lang w:val="en-US"/>
        </w:rPr>
        <w:t>Rules for registering a new indefeasible title in the name of the trustee or giving an endorsement as trustee</w:t>
      </w:r>
      <w:r w:rsidR="009D4182">
        <w:rPr>
          <w:lang w:val="en-US"/>
        </w:rPr>
        <w:t xml:space="preserve">: </w:t>
      </w:r>
    </w:p>
    <w:p w:rsidR="009D4182" w:rsidRDefault="009D4182" w:rsidP="009D4182">
      <w:pPr>
        <w:pStyle w:val="ListParagraph"/>
        <w:numPr>
          <w:ilvl w:val="1"/>
          <w:numId w:val="18"/>
        </w:numPr>
        <w:rPr>
          <w:lang w:val="en-US"/>
        </w:rPr>
      </w:pPr>
      <w:r>
        <w:rPr>
          <w:lang w:val="en-US"/>
        </w:rPr>
        <w:t>Beneficially entitled to land and</w:t>
      </w:r>
    </w:p>
    <w:p w:rsidR="009D4182" w:rsidRDefault="009D4182" w:rsidP="009D4182">
      <w:pPr>
        <w:pStyle w:val="ListParagraph"/>
        <w:numPr>
          <w:ilvl w:val="1"/>
          <w:numId w:val="18"/>
        </w:numPr>
        <w:rPr>
          <w:lang w:val="en-US"/>
        </w:rPr>
      </w:pPr>
      <w:r>
        <w:rPr>
          <w:lang w:val="en-US"/>
        </w:rPr>
        <w:t>Must present an instrument creating or declaring a trust</w:t>
      </w:r>
    </w:p>
    <w:p w:rsidR="009D4182" w:rsidRDefault="009D4182" w:rsidP="00B70FDF">
      <w:pPr>
        <w:pStyle w:val="ListParagraph"/>
        <w:numPr>
          <w:ilvl w:val="0"/>
          <w:numId w:val="18"/>
        </w:numPr>
        <w:pBdr>
          <w:bottom w:val="single" w:sz="12" w:space="3" w:color="auto"/>
        </w:pBdr>
        <w:rPr>
          <w:lang w:val="en-US"/>
        </w:rPr>
      </w:pPr>
      <w:r>
        <w:rPr>
          <w:lang w:val="en-US"/>
        </w:rPr>
        <w:t>Must present an instrument that modifies trust to modify it on application to the registrar.</w:t>
      </w:r>
    </w:p>
    <w:p w:rsidR="009D4182" w:rsidRPr="009D4182" w:rsidRDefault="009D4182" w:rsidP="009D4182">
      <w:pPr>
        <w:pBdr>
          <w:bottom w:val="single" w:sz="12" w:space="1" w:color="auto"/>
        </w:pBdr>
        <w:rPr>
          <w:lang w:val="en-US"/>
        </w:rPr>
      </w:pPr>
    </w:p>
    <w:p w:rsidR="009D4182" w:rsidRPr="001E23F4" w:rsidRDefault="009D4182" w:rsidP="003A60FA">
      <w:pPr>
        <w:pStyle w:val="Heading3"/>
        <w:rPr>
          <w:lang w:val="en-US"/>
        </w:rPr>
      </w:pPr>
      <w:bookmarkStart w:id="42" w:name="_Toc259911030"/>
      <w:r w:rsidRPr="009D4182">
        <w:rPr>
          <w:highlight w:val="yellow"/>
          <w:lang w:val="en-US"/>
        </w:rPr>
        <w:t>DUKART v SURREY (DISTRICT)</w:t>
      </w:r>
      <w:r w:rsidR="001E23F4">
        <w:rPr>
          <w:lang w:val="en-US"/>
        </w:rPr>
        <w:t xml:space="preserve">: </w:t>
      </w:r>
      <w:r w:rsidR="001E23F4" w:rsidRPr="003A60FA">
        <w:rPr>
          <w:b w:val="0"/>
          <w:lang w:val="en-US"/>
        </w:rPr>
        <w:t>middle interpretation: interest in a trust document is considered registered</w:t>
      </w:r>
      <w:bookmarkEnd w:id="42"/>
    </w:p>
    <w:p w:rsidR="00366350" w:rsidRPr="009D4182" w:rsidRDefault="00366350" w:rsidP="009D4182">
      <w:pPr>
        <w:rPr>
          <w:lang w:val="en-US"/>
        </w:rPr>
      </w:pPr>
    </w:p>
    <w:p w:rsidR="009D4182" w:rsidRDefault="009D4182" w:rsidP="00366350">
      <w:pPr>
        <w:rPr>
          <w:lang w:val="en-US"/>
        </w:rPr>
      </w:pPr>
      <w:r>
        <w:rPr>
          <w:lang w:val="en-US"/>
        </w:rPr>
        <w:t>FACTS:</w:t>
      </w:r>
    </w:p>
    <w:p w:rsidR="009D4182" w:rsidRDefault="009D4182" w:rsidP="00366350">
      <w:pPr>
        <w:rPr>
          <w:lang w:val="en-US"/>
        </w:rPr>
      </w:pPr>
    </w:p>
    <w:p w:rsidR="00602AE7" w:rsidRPr="00602AE7" w:rsidRDefault="00602AE7" w:rsidP="00602AE7">
      <w:pPr>
        <w:numPr>
          <w:ilvl w:val="0"/>
          <w:numId w:val="19"/>
        </w:numPr>
        <w:rPr>
          <w:lang w:val="en-US"/>
        </w:rPr>
      </w:pPr>
      <w:r w:rsidRPr="00602AE7">
        <w:rPr>
          <w:lang w:val="en-US"/>
        </w:rPr>
        <w:t>Land developed for residential lots</w:t>
      </w:r>
    </w:p>
    <w:p w:rsidR="00602AE7" w:rsidRPr="00602AE7" w:rsidRDefault="00602AE7" w:rsidP="00602AE7">
      <w:pPr>
        <w:numPr>
          <w:ilvl w:val="0"/>
          <w:numId w:val="19"/>
        </w:numPr>
        <w:rPr>
          <w:lang w:val="en-US"/>
        </w:rPr>
      </w:pPr>
      <w:r w:rsidRPr="00602AE7">
        <w:rPr>
          <w:lang w:val="en-US"/>
        </w:rPr>
        <w:t>Developer transferred foreshore reserves to a trustee, with a trust notation</w:t>
      </w:r>
    </w:p>
    <w:p w:rsidR="00602AE7" w:rsidRPr="00602AE7" w:rsidRDefault="00602AE7" w:rsidP="00602AE7">
      <w:pPr>
        <w:numPr>
          <w:ilvl w:val="0"/>
          <w:numId w:val="19"/>
        </w:numPr>
        <w:rPr>
          <w:lang w:val="en-US"/>
        </w:rPr>
      </w:pPr>
      <w:r w:rsidRPr="00602AE7">
        <w:rPr>
          <w:lang w:val="en-US"/>
        </w:rPr>
        <w:t>Foreshore reserves purchased by municipality of Surrey on a tax sale; no trust notation entered</w:t>
      </w:r>
    </w:p>
    <w:p w:rsidR="00602AE7" w:rsidRPr="00602AE7" w:rsidRDefault="00602AE7" w:rsidP="00602AE7">
      <w:pPr>
        <w:numPr>
          <w:ilvl w:val="0"/>
          <w:numId w:val="19"/>
        </w:numPr>
        <w:rPr>
          <w:lang w:val="en-US"/>
        </w:rPr>
      </w:pPr>
      <w:r w:rsidRPr="00602AE7">
        <w:rPr>
          <w:lang w:val="en-US"/>
        </w:rPr>
        <w:t>Surrey built public toilets along Dukart's unregistered easement</w:t>
      </w:r>
    </w:p>
    <w:p w:rsidR="00602AE7" w:rsidRPr="00602AE7" w:rsidRDefault="00602AE7" w:rsidP="00602AE7">
      <w:pPr>
        <w:numPr>
          <w:ilvl w:val="0"/>
          <w:numId w:val="19"/>
        </w:numPr>
        <w:rPr>
          <w:lang w:val="en-US"/>
        </w:rPr>
      </w:pPr>
      <w:r w:rsidRPr="00602AE7">
        <w:rPr>
          <w:lang w:val="en-US"/>
        </w:rPr>
        <w:t>s. 25 of LRA (now: s. 276 of LTA) provided that when land is sold on a tax sale, title is "purged" of all charges, with exceptions that included "any easement registered against the land"</w:t>
      </w:r>
    </w:p>
    <w:p w:rsidR="00602AE7" w:rsidRPr="00602AE7" w:rsidRDefault="00602AE7" w:rsidP="00602AE7">
      <w:pPr>
        <w:numPr>
          <w:ilvl w:val="0"/>
          <w:numId w:val="19"/>
        </w:numPr>
        <w:rPr>
          <w:lang w:val="en-US"/>
        </w:rPr>
      </w:pPr>
      <w:r w:rsidRPr="00602AE7">
        <w:rPr>
          <w:lang w:val="en-US"/>
        </w:rPr>
        <w:t>Issue: Did Dukart's easement survive the tax sale?</w:t>
      </w:r>
    </w:p>
    <w:p w:rsidR="00602AE7" w:rsidRPr="00602AE7" w:rsidRDefault="00602AE7" w:rsidP="00602AE7">
      <w:pPr>
        <w:rPr>
          <w:lang w:val="en-US"/>
        </w:rPr>
      </w:pPr>
    </w:p>
    <w:p w:rsidR="00602AE7" w:rsidRPr="00602AE7" w:rsidRDefault="00602AE7" w:rsidP="00602AE7">
      <w:pPr>
        <w:rPr>
          <w:lang w:val="en-US"/>
        </w:rPr>
      </w:pPr>
      <w:r>
        <w:rPr>
          <w:lang w:val="en-US"/>
        </w:rPr>
        <w:t>REASONS:</w:t>
      </w:r>
    </w:p>
    <w:p w:rsidR="00602AE7" w:rsidRPr="00602AE7" w:rsidRDefault="00602AE7" w:rsidP="00602AE7">
      <w:pPr>
        <w:numPr>
          <w:ilvl w:val="0"/>
          <w:numId w:val="20"/>
        </w:numPr>
        <w:rPr>
          <w:lang w:val="en-US"/>
        </w:rPr>
      </w:pPr>
      <w:r w:rsidRPr="00602AE7">
        <w:rPr>
          <w:lang w:val="en-US"/>
        </w:rPr>
        <w:t>Act does not define registration; terminology of s. 25 referred to easements and right of way as "registered as a charge against the land"</w:t>
      </w:r>
    </w:p>
    <w:p w:rsidR="00602AE7" w:rsidRPr="00602AE7" w:rsidRDefault="00602AE7" w:rsidP="00602AE7">
      <w:pPr>
        <w:numPr>
          <w:ilvl w:val="0"/>
          <w:numId w:val="20"/>
        </w:numPr>
        <w:rPr>
          <w:lang w:val="en-US"/>
        </w:rPr>
      </w:pPr>
      <w:r w:rsidRPr="00602AE7">
        <w:rPr>
          <w:lang w:val="en-US"/>
        </w:rPr>
        <w:t>Clearly, Act contemplates different kinds of registration</w:t>
      </w:r>
    </w:p>
    <w:p w:rsidR="00602AE7" w:rsidRPr="00602AE7" w:rsidRDefault="00602AE7" w:rsidP="00602AE7">
      <w:pPr>
        <w:rPr>
          <w:lang w:val="en-US"/>
        </w:rPr>
      </w:pPr>
    </w:p>
    <w:p w:rsidR="00B70FDF" w:rsidRDefault="00602AE7" w:rsidP="00602AE7">
      <w:pPr>
        <w:rPr>
          <w:lang w:val="en-US"/>
        </w:rPr>
      </w:pPr>
      <w:r w:rsidRPr="00602AE7">
        <w:rPr>
          <w:lang w:val="en-US"/>
        </w:rPr>
        <w:t>H</w:t>
      </w:r>
      <w:r>
        <w:rPr>
          <w:lang w:val="en-US"/>
        </w:rPr>
        <w:t>ELD</w:t>
      </w:r>
      <w:r w:rsidRPr="00602AE7">
        <w:rPr>
          <w:lang w:val="en-US"/>
        </w:rPr>
        <w:t xml:space="preserve">: </w:t>
      </w:r>
    </w:p>
    <w:p w:rsidR="00B70FDF" w:rsidRDefault="00B70FDF" w:rsidP="00602AE7">
      <w:pPr>
        <w:rPr>
          <w:lang w:val="en-US"/>
        </w:rPr>
      </w:pPr>
    </w:p>
    <w:p w:rsidR="00602AE7" w:rsidRPr="00602AE7" w:rsidRDefault="00602AE7" w:rsidP="00602AE7">
      <w:pPr>
        <w:rPr>
          <w:lang w:val="en-US"/>
        </w:rPr>
      </w:pPr>
      <w:r w:rsidRPr="00602AE7">
        <w:rPr>
          <w:lang w:val="en-US"/>
        </w:rPr>
        <w:t>Yes, Dukart's easement survives</w:t>
      </w:r>
    </w:p>
    <w:p w:rsidR="00602AE7" w:rsidRPr="00602AE7" w:rsidRDefault="00602AE7" w:rsidP="00602AE7">
      <w:pPr>
        <w:rPr>
          <w:lang w:val="en-US"/>
        </w:rPr>
      </w:pPr>
    </w:p>
    <w:p w:rsidR="00602AE7" w:rsidRPr="00602AE7" w:rsidRDefault="00602AE7" w:rsidP="00602AE7">
      <w:pPr>
        <w:rPr>
          <w:lang w:val="en-US"/>
        </w:rPr>
      </w:pPr>
      <w:r>
        <w:rPr>
          <w:lang w:val="en-US"/>
        </w:rPr>
        <w:t>RATIO</w:t>
      </w:r>
    </w:p>
    <w:p w:rsidR="00602AE7" w:rsidRPr="00602AE7" w:rsidRDefault="00602AE7" w:rsidP="00602AE7">
      <w:pPr>
        <w:numPr>
          <w:ilvl w:val="0"/>
          <w:numId w:val="21"/>
        </w:numPr>
        <w:rPr>
          <w:lang w:val="en-US"/>
        </w:rPr>
      </w:pPr>
      <w:r w:rsidRPr="00602AE7">
        <w:rPr>
          <w:lang w:val="en-US"/>
        </w:rPr>
        <w:t>Narrowest view: An easement contained in a trust document can continue to exist despite a tax sale; this would limit Dukart to its facts</w:t>
      </w:r>
    </w:p>
    <w:p w:rsidR="00602AE7" w:rsidRPr="00602AE7" w:rsidRDefault="00602AE7" w:rsidP="00602AE7">
      <w:pPr>
        <w:numPr>
          <w:ilvl w:val="0"/>
          <w:numId w:val="21"/>
        </w:numPr>
        <w:rPr>
          <w:lang w:val="en-US"/>
        </w:rPr>
      </w:pPr>
      <w:r w:rsidRPr="00602AE7">
        <w:rPr>
          <w:lang w:val="en-US"/>
        </w:rPr>
        <w:t>Widest view: If a document is on file at the LTO, anything included in that document is register</w:t>
      </w:r>
    </w:p>
    <w:p w:rsidR="00602AE7" w:rsidRPr="00602AE7" w:rsidRDefault="00602AE7" w:rsidP="00602AE7">
      <w:pPr>
        <w:numPr>
          <w:ilvl w:val="0"/>
          <w:numId w:val="21"/>
        </w:numPr>
        <w:rPr>
          <w:lang w:val="en-US"/>
        </w:rPr>
      </w:pPr>
      <w:r w:rsidRPr="00602AE7">
        <w:rPr>
          <w:lang w:val="en-US"/>
        </w:rPr>
        <w:t>Middle ground interpretation: interest in a trust document is considered registered</w:t>
      </w:r>
    </w:p>
    <w:p w:rsidR="00602AE7" w:rsidRDefault="00602AE7" w:rsidP="00366350">
      <w:pPr>
        <w:pBdr>
          <w:bottom w:val="single" w:sz="12" w:space="1" w:color="auto"/>
        </w:pBdr>
        <w:rPr>
          <w:lang w:val="en-US"/>
        </w:rPr>
      </w:pPr>
    </w:p>
    <w:p w:rsidR="00602AE7" w:rsidRPr="00602AE7" w:rsidRDefault="00602AE7" w:rsidP="00366350">
      <w:pPr>
        <w:rPr>
          <w:b/>
          <w:sz w:val="22"/>
          <w:lang w:val="en-US"/>
        </w:rPr>
      </w:pPr>
    </w:p>
    <w:p w:rsidR="00602AE7" w:rsidRPr="00924F3E" w:rsidRDefault="00602AE7" w:rsidP="00924F3E">
      <w:pPr>
        <w:pStyle w:val="Heading2"/>
        <w:rPr>
          <w:b w:val="0"/>
          <w:lang w:val="en-US"/>
        </w:rPr>
      </w:pPr>
      <w:bookmarkStart w:id="43" w:name="_Toc259911031"/>
      <w:r w:rsidRPr="00C86ECC">
        <w:rPr>
          <w:lang w:val="en-US"/>
        </w:rPr>
        <w:t xml:space="preserve">2. Indefeasibility? </w:t>
      </w:r>
      <w:r w:rsidR="00924F3E">
        <w:rPr>
          <w:lang w:val="en-US"/>
        </w:rPr>
        <w:t>[</w:t>
      </w:r>
      <w:r w:rsidR="00924F3E">
        <w:rPr>
          <w:b w:val="0"/>
          <w:lang w:val="en-US"/>
        </w:rPr>
        <w:t>rebuttable presumption of entitlement</w:t>
      </w:r>
      <w:r w:rsidR="00DC5BFE">
        <w:rPr>
          <w:b w:val="0"/>
          <w:lang w:val="en-US"/>
        </w:rPr>
        <w:t>, registration not indefeasible or conclusive</w:t>
      </w:r>
      <w:r w:rsidR="00924F3E">
        <w:rPr>
          <w:b w:val="0"/>
          <w:lang w:val="en-US"/>
        </w:rPr>
        <w:t>]</w:t>
      </w:r>
      <w:bookmarkEnd w:id="43"/>
    </w:p>
    <w:p w:rsidR="00602AE7" w:rsidRDefault="00602AE7" w:rsidP="00366350">
      <w:pPr>
        <w:rPr>
          <w:b/>
          <w:sz w:val="22"/>
          <w:lang w:val="en-US"/>
        </w:rPr>
      </w:pPr>
    </w:p>
    <w:p w:rsidR="00B70FDF" w:rsidRDefault="00602AE7" w:rsidP="00366350">
      <w:pPr>
        <w:rPr>
          <w:color w:val="1F497D" w:themeColor="text2"/>
          <w:lang w:val="en-US"/>
        </w:rPr>
      </w:pPr>
      <w:r w:rsidRPr="00555E7C">
        <w:rPr>
          <w:color w:val="1F497D" w:themeColor="text2"/>
          <w:lang w:val="en-US"/>
        </w:rPr>
        <w:t xml:space="preserve">Land Title Act </w:t>
      </w:r>
    </w:p>
    <w:p w:rsidR="00B70FDF" w:rsidRDefault="00B70FDF" w:rsidP="00366350">
      <w:pPr>
        <w:rPr>
          <w:color w:val="1F497D" w:themeColor="text2"/>
          <w:lang w:val="en-US"/>
        </w:rPr>
      </w:pPr>
    </w:p>
    <w:p w:rsidR="00602AE7" w:rsidRDefault="00602AE7" w:rsidP="00366350">
      <w:pPr>
        <w:rPr>
          <w:lang w:val="en-US"/>
        </w:rPr>
      </w:pPr>
      <w:r w:rsidRPr="00B70FDF">
        <w:rPr>
          <w:color w:val="1F497D" w:themeColor="text2"/>
          <w:lang w:val="en-US"/>
        </w:rPr>
        <w:t>Section 26</w:t>
      </w:r>
      <w:r w:rsidR="00555E7C">
        <w:rPr>
          <w:lang w:val="en-US"/>
        </w:rPr>
        <w:t xml:space="preserve"> p 6-63–64</w:t>
      </w:r>
      <w:r>
        <w:rPr>
          <w:lang w:val="en-US"/>
        </w:rPr>
        <w:t>:</w:t>
      </w:r>
    </w:p>
    <w:p w:rsidR="00602AE7" w:rsidRDefault="00602AE7" w:rsidP="00366350">
      <w:pPr>
        <w:rPr>
          <w:lang w:val="en-US"/>
        </w:rPr>
      </w:pPr>
    </w:p>
    <w:p w:rsidR="00555E7C" w:rsidRPr="00555E7C" w:rsidRDefault="00602AE7" w:rsidP="00555E7C">
      <w:pPr>
        <w:pStyle w:val="ListParagraph"/>
        <w:numPr>
          <w:ilvl w:val="0"/>
          <w:numId w:val="22"/>
        </w:numPr>
        <w:rPr>
          <w:lang w:val="en-US"/>
        </w:rPr>
      </w:pPr>
      <w:r w:rsidRPr="00555E7C">
        <w:rPr>
          <w:lang w:val="en-US"/>
        </w:rPr>
        <w:t>A registered owner of a charge is</w:t>
      </w:r>
      <w:r w:rsidRPr="00555E7C">
        <w:rPr>
          <w:b/>
          <w:lang w:val="en-US"/>
        </w:rPr>
        <w:t xml:space="preserve"> </w:t>
      </w:r>
      <w:r w:rsidRPr="00555E7C">
        <w:rPr>
          <w:b/>
          <w:color w:val="800000"/>
          <w:lang w:val="en-US"/>
        </w:rPr>
        <w:t>deemed to be entitled</w:t>
      </w:r>
      <w:r w:rsidR="00555E7C" w:rsidRPr="00555E7C">
        <w:rPr>
          <w:b/>
          <w:lang w:val="en-US"/>
        </w:rPr>
        <w:t xml:space="preserve"> [</w:t>
      </w:r>
      <w:r w:rsidR="006B38F8">
        <w:rPr>
          <w:b/>
          <w:lang w:val="en-US"/>
        </w:rPr>
        <w:t xml:space="preserve">rebuttable </w:t>
      </w:r>
      <w:r w:rsidR="00555E7C" w:rsidRPr="00555E7C">
        <w:rPr>
          <w:b/>
          <w:lang w:val="en-US"/>
        </w:rPr>
        <w:t>presumption of entitlement</w:t>
      </w:r>
      <w:r w:rsidR="006B38F8">
        <w:rPr>
          <w:b/>
          <w:lang w:val="en-US"/>
        </w:rPr>
        <w:t xml:space="preserve"> (</w:t>
      </w:r>
      <w:r w:rsidR="006B38F8" w:rsidRPr="006B38F8">
        <w:rPr>
          <w:i/>
          <w:color w:val="1F497D" w:themeColor="text2"/>
          <w:lang w:val="en-US"/>
        </w:rPr>
        <w:t>Crédit Foncier</w:t>
      </w:r>
      <w:r w:rsidR="006B38F8">
        <w:rPr>
          <w:b/>
          <w:lang w:val="en-US"/>
        </w:rPr>
        <w:t>)</w:t>
      </w:r>
      <w:r w:rsidR="00555E7C" w:rsidRPr="00555E7C">
        <w:rPr>
          <w:b/>
          <w:lang w:val="en-US"/>
        </w:rPr>
        <w:t>]</w:t>
      </w:r>
      <w:r w:rsidRPr="00555E7C">
        <w:rPr>
          <w:lang w:val="en-US"/>
        </w:rPr>
        <w:t xml:space="preserve"> to the interest created by the instrument in re</w:t>
      </w:r>
      <w:r w:rsidR="00555E7C" w:rsidRPr="00555E7C">
        <w:rPr>
          <w:lang w:val="en-US"/>
        </w:rPr>
        <w:t>s</w:t>
      </w:r>
      <w:r w:rsidRPr="00555E7C">
        <w:rPr>
          <w:lang w:val="en-US"/>
        </w:rPr>
        <w:t xml:space="preserve">pect of which the charge is registered subject to the exceptions of </w:t>
      </w:r>
      <w:r w:rsidR="00555E7C" w:rsidRPr="00555E7C">
        <w:rPr>
          <w:lang w:val="en-US"/>
        </w:rPr>
        <w:t>other registered charges or endorsements that appear on or are deemed to be incorporated in the register.</w:t>
      </w:r>
    </w:p>
    <w:p w:rsidR="00555E7C" w:rsidRDefault="00555E7C" w:rsidP="00366350">
      <w:pPr>
        <w:pStyle w:val="ListParagraph"/>
        <w:numPr>
          <w:ilvl w:val="0"/>
          <w:numId w:val="22"/>
        </w:numPr>
        <w:rPr>
          <w:lang w:val="en-US"/>
        </w:rPr>
      </w:pPr>
      <w:r>
        <w:rPr>
          <w:lang w:val="en-US"/>
        </w:rPr>
        <w:t xml:space="preserve">Registration of a charge </w:t>
      </w:r>
      <w:r w:rsidRPr="00555E7C">
        <w:rPr>
          <w:b/>
          <w:color w:val="800000"/>
          <w:lang w:val="en-US"/>
        </w:rPr>
        <w:t>does not constitute</w:t>
      </w:r>
      <w:r>
        <w:rPr>
          <w:lang w:val="en-US"/>
        </w:rPr>
        <w:t xml:space="preserve"> a determination by the registrar that the instrument in respect of which the charge is registered creates or evidences </w:t>
      </w:r>
      <w:r w:rsidRPr="00555E7C">
        <w:rPr>
          <w:b/>
          <w:color w:val="800000"/>
          <w:lang w:val="en-US"/>
        </w:rPr>
        <w:t>an estate or interest in the land</w:t>
      </w:r>
      <w:r>
        <w:rPr>
          <w:lang w:val="en-US"/>
        </w:rPr>
        <w:t xml:space="preserve"> or that the charge is enforceable </w:t>
      </w:r>
      <w:r w:rsidRPr="00555E7C">
        <w:rPr>
          <w:b/>
          <w:lang w:val="en-US"/>
        </w:rPr>
        <w:t>[Charges not indefeasible or conclusive]</w:t>
      </w:r>
      <w:r w:rsidRPr="00555E7C">
        <w:rPr>
          <w:lang w:val="en-US"/>
        </w:rPr>
        <w:t>.</w:t>
      </w:r>
    </w:p>
    <w:p w:rsidR="00555E7C" w:rsidRDefault="00555E7C" w:rsidP="00555E7C">
      <w:pPr>
        <w:rPr>
          <w:lang w:val="en-US"/>
        </w:rPr>
      </w:pPr>
    </w:p>
    <w:p w:rsidR="00555E7C" w:rsidRDefault="00555E7C" w:rsidP="00555E7C">
      <w:pPr>
        <w:rPr>
          <w:lang w:val="en-US"/>
        </w:rPr>
      </w:pPr>
      <w:r w:rsidRPr="00B70FDF">
        <w:rPr>
          <w:color w:val="1F497D" w:themeColor="text2"/>
          <w:lang w:val="en-US"/>
        </w:rPr>
        <w:t>Section 27</w:t>
      </w:r>
      <w:r>
        <w:rPr>
          <w:color w:val="1F497D" w:themeColor="text2"/>
          <w:lang w:val="en-US"/>
        </w:rPr>
        <w:t xml:space="preserve"> – Notice Given of Registration by Charge</w:t>
      </w:r>
      <w:r>
        <w:rPr>
          <w:lang w:val="en-US"/>
        </w:rPr>
        <w:t>:</w:t>
      </w:r>
    </w:p>
    <w:p w:rsidR="00555E7C" w:rsidRDefault="00555E7C" w:rsidP="00555E7C">
      <w:pPr>
        <w:rPr>
          <w:lang w:val="en-US"/>
        </w:rPr>
      </w:pPr>
    </w:p>
    <w:p w:rsidR="00555E7C" w:rsidRPr="00555E7C" w:rsidRDefault="00555E7C" w:rsidP="00555E7C">
      <w:pPr>
        <w:pStyle w:val="ListParagraph"/>
        <w:numPr>
          <w:ilvl w:val="0"/>
          <w:numId w:val="23"/>
        </w:numPr>
        <w:rPr>
          <w:lang w:val="en-US"/>
        </w:rPr>
      </w:pPr>
      <w:r w:rsidRPr="00555E7C">
        <w:rPr>
          <w:lang w:val="en-US"/>
        </w:rPr>
        <w:t>Registration of a charge gives</w:t>
      </w:r>
      <w:r w:rsidRPr="00555E7C">
        <w:rPr>
          <w:color w:val="800000"/>
          <w:lang w:val="en-US"/>
        </w:rPr>
        <w:t xml:space="preserve"> </w:t>
      </w:r>
      <w:r w:rsidRPr="00555E7C">
        <w:rPr>
          <w:b/>
          <w:color w:val="800000"/>
          <w:lang w:val="en-US"/>
        </w:rPr>
        <w:t>notice</w:t>
      </w:r>
      <w:r w:rsidRPr="00555E7C">
        <w:rPr>
          <w:lang w:val="en-US"/>
        </w:rPr>
        <w:t xml:space="preserve">, from the date and time the application for the registration was received by the registrar, to </w:t>
      </w:r>
      <w:r w:rsidRPr="00555E7C">
        <w:rPr>
          <w:b/>
          <w:color w:val="800000"/>
          <w:lang w:val="en-US"/>
        </w:rPr>
        <w:t>every person dealing with the title</w:t>
      </w:r>
      <w:r w:rsidRPr="00555E7C">
        <w:rPr>
          <w:lang w:val="en-US"/>
        </w:rPr>
        <w:t xml:space="preserve"> to the land affected, of </w:t>
      </w:r>
    </w:p>
    <w:p w:rsidR="00555E7C" w:rsidRDefault="00555E7C" w:rsidP="00555E7C">
      <w:pPr>
        <w:pStyle w:val="ListParagraph"/>
        <w:numPr>
          <w:ilvl w:val="1"/>
          <w:numId w:val="23"/>
        </w:numPr>
        <w:rPr>
          <w:lang w:val="en-US"/>
        </w:rPr>
      </w:pPr>
      <w:r>
        <w:rPr>
          <w:lang w:val="en-US"/>
        </w:rPr>
        <w:t>The estate or interest in respect of which the charge has been registered, and</w:t>
      </w:r>
    </w:p>
    <w:p w:rsidR="00555E7C" w:rsidRDefault="00555E7C" w:rsidP="003A60FA">
      <w:pPr>
        <w:pStyle w:val="ListParagraph"/>
        <w:numPr>
          <w:ilvl w:val="1"/>
          <w:numId w:val="23"/>
        </w:numPr>
        <w:ind w:left="709" w:firstLine="371"/>
        <w:rPr>
          <w:lang w:val="en-US"/>
        </w:rPr>
      </w:pPr>
      <w:r>
        <w:rPr>
          <w:lang w:val="en-US"/>
        </w:rPr>
        <w:t>The contents of the instrument creating the charge so far as it relates to that estate or interest,</w:t>
      </w:r>
      <w:r>
        <w:rPr>
          <w:lang w:val="en-US"/>
        </w:rPr>
        <w:br/>
      </w:r>
      <w:r w:rsidRPr="00555E7C">
        <w:rPr>
          <w:b/>
          <w:color w:val="800000"/>
          <w:lang w:val="en-US"/>
        </w:rPr>
        <w:t>but not otherwise</w:t>
      </w:r>
      <w:r>
        <w:rPr>
          <w:lang w:val="en-US"/>
        </w:rPr>
        <w:t>.</w:t>
      </w:r>
    </w:p>
    <w:p w:rsidR="00555E7C" w:rsidRDefault="00555E7C" w:rsidP="00555E7C">
      <w:pPr>
        <w:pBdr>
          <w:bottom w:val="single" w:sz="12" w:space="1" w:color="auto"/>
        </w:pBdr>
        <w:rPr>
          <w:lang w:val="en-US"/>
        </w:rPr>
      </w:pPr>
    </w:p>
    <w:p w:rsidR="00555E7C" w:rsidRDefault="00555E7C" w:rsidP="00555E7C">
      <w:pPr>
        <w:rPr>
          <w:lang w:val="en-US"/>
        </w:rPr>
      </w:pPr>
    </w:p>
    <w:p w:rsidR="00555E7C" w:rsidRPr="003A60FA" w:rsidRDefault="00555E7C" w:rsidP="003A60FA">
      <w:pPr>
        <w:pStyle w:val="Heading3"/>
        <w:rPr>
          <w:b w:val="0"/>
          <w:lang w:val="en-US"/>
        </w:rPr>
      </w:pPr>
      <w:bookmarkStart w:id="44" w:name="_Toc259911032"/>
      <w:r w:rsidRPr="00555E7C">
        <w:rPr>
          <w:highlight w:val="yellow"/>
          <w:lang w:val="en-US"/>
        </w:rPr>
        <w:t>CRÉDIT FONCIER FRANCO-CANADIEN v BENNET (1963)</w:t>
      </w:r>
      <w:r w:rsidR="00694B20">
        <w:rPr>
          <w:lang w:val="en-US"/>
        </w:rPr>
        <w:t>:</w:t>
      </w:r>
      <w:r w:rsidR="00694B20" w:rsidRPr="00694B20">
        <w:rPr>
          <w:lang w:val="en-US"/>
        </w:rPr>
        <w:t xml:space="preserve"> </w:t>
      </w:r>
      <w:r w:rsidR="00694B20" w:rsidRPr="003A60FA">
        <w:rPr>
          <w:b w:val="0"/>
          <w:lang w:val="en-US"/>
        </w:rPr>
        <w:t>the registration of a charge creates only a rebuttable presumption of entitlement</w:t>
      </w:r>
      <w:r w:rsidR="006B4CFE" w:rsidRPr="003A60FA">
        <w:rPr>
          <w:b w:val="0"/>
          <w:lang w:val="en-US"/>
        </w:rPr>
        <w:t>, forged transfer are void</w:t>
      </w:r>
      <w:bookmarkEnd w:id="44"/>
    </w:p>
    <w:p w:rsidR="00555E7C" w:rsidRDefault="00555E7C" w:rsidP="00555E7C">
      <w:pPr>
        <w:rPr>
          <w:lang w:val="en-US"/>
        </w:rPr>
      </w:pPr>
    </w:p>
    <w:p w:rsidR="00392AF8" w:rsidRDefault="00555E7C" w:rsidP="00555E7C">
      <w:pPr>
        <w:rPr>
          <w:lang w:val="en-US"/>
        </w:rPr>
      </w:pPr>
      <w:r>
        <w:rPr>
          <w:lang w:val="en-US"/>
        </w:rPr>
        <w:t>FACTS:</w:t>
      </w:r>
    </w:p>
    <w:p w:rsidR="00392AF8" w:rsidRDefault="00392AF8" w:rsidP="00555E7C">
      <w:pPr>
        <w:rPr>
          <w:lang w:val="en-US"/>
        </w:rPr>
      </w:pPr>
    </w:p>
    <w:p w:rsidR="006B38F8" w:rsidRDefault="00392AF8" w:rsidP="00555E7C">
      <w:pPr>
        <w:rPr>
          <w:lang w:val="en-US"/>
        </w:rPr>
      </w:pPr>
      <w:r>
        <w:rPr>
          <w:lang w:val="en-US"/>
        </w:rPr>
        <w:t xml:space="preserve">The Bennets were the registered fee simple holders. One, Alan, </w:t>
      </w:r>
      <w:r w:rsidR="006B38F8" w:rsidRPr="00694B20">
        <w:rPr>
          <w:b/>
          <w:lang w:val="en-US"/>
        </w:rPr>
        <w:t>forged a mortgage</w:t>
      </w:r>
      <w:r w:rsidR="006B38F8">
        <w:rPr>
          <w:lang w:val="en-US"/>
        </w:rPr>
        <w:t xml:space="preserve"> on their property, which he registered and then sold to a real estate agent, Stuart. Stuart knew Alan for five years but made no inquiries of the Bennets. Stuart then sold it on assignment to Credit Foncier Franco-Canadien. They asked their lawyer to check the title and saw the mortgage registered thereon. They sent the plaintiffs two letters demanding payment, and then filed for action against them and foreclosure.</w:t>
      </w:r>
    </w:p>
    <w:p w:rsidR="006B38F8" w:rsidRDefault="006B38F8" w:rsidP="00555E7C">
      <w:pPr>
        <w:rPr>
          <w:lang w:val="en-US"/>
        </w:rPr>
      </w:pPr>
    </w:p>
    <w:p w:rsidR="006B38F8" w:rsidRDefault="006B38F8" w:rsidP="00555E7C">
      <w:pPr>
        <w:rPr>
          <w:lang w:val="en-US"/>
        </w:rPr>
      </w:pPr>
      <w:r>
        <w:rPr>
          <w:lang w:val="en-US"/>
        </w:rPr>
        <w:t>The Bennets served notice of intention to sue Alan and the Attorney General. They didn’t end up suing Alan but got judgment against the Attorney General. They got paid out of the Assurance Fund. Attorney General appealed and said that although they deserve the money for the mortgage payments, the mortgage itself was a nullity obtained under fraud.</w:t>
      </w:r>
    </w:p>
    <w:p w:rsidR="006B38F8" w:rsidRDefault="006B38F8" w:rsidP="00555E7C">
      <w:pPr>
        <w:rPr>
          <w:lang w:val="en-US"/>
        </w:rPr>
      </w:pPr>
    </w:p>
    <w:p w:rsidR="006B38F8" w:rsidRDefault="006B38F8" w:rsidP="00555E7C">
      <w:pPr>
        <w:rPr>
          <w:lang w:val="en-US"/>
        </w:rPr>
      </w:pPr>
      <w:r>
        <w:rPr>
          <w:lang w:val="en-US"/>
        </w:rPr>
        <w:t xml:space="preserve">Credit Foncier argued that they were </w:t>
      </w:r>
      <w:r>
        <w:rPr>
          <w:i/>
          <w:lang w:val="en-US"/>
        </w:rPr>
        <w:t>bona fide</w:t>
      </w:r>
      <w:r>
        <w:rPr>
          <w:lang w:val="en-US"/>
        </w:rPr>
        <w:t xml:space="preserve"> purchasers, and that even Stuart was a bona fide purchaser. They point to Section 51 (now 27) of LTA that says registered owners of charges “shall be deemed to be entitled” as creating an irrebutable presumption.</w:t>
      </w:r>
    </w:p>
    <w:p w:rsidR="006B38F8" w:rsidRDefault="006B38F8" w:rsidP="00555E7C">
      <w:pPr>
        <w:rPr>
          <w:lang w:val="en-US"/>
        </w:rPr>
      </w:pPr>
    </w:p>
    <w:p w:rsidR="006B38F8" w:rsidRDefault="006B38F8" w:rsidP="00555E7C">
      <w:pPr>
        <w:rPr>
          <w:lang w:val="en-US"/>
        </w:rPr>
      </w:pPr>
      <w:r>
        <w:rPr>
          <w:lang w:val="en-US"/>
        </w:rPr>
        <w:t>HELD:</w:t>
      </w:r>
    </w:p>
    <w:p w:rsidR="006B38F8" w:rsidRDefault="006B38F8" w:rsidP="00555E7C">
      <w:pPr>
        <w:rPr>
          <w:lang w:val="en-US"/>
        </w:rPr>
      </w:pPr>
    </w:p>
    <w:p w:rsidR="006B38F8" w:rsidRDefault="006B38F8" w:rsidP="006B38F8">
      <w:pPr>
        <w:rPr>
          <w:lang w:val="en-US"/>
        </w:rPr>
      </w:pPr>
      <w:r>
        <w:rPr>
          <w:lang w:val="en-US"/>
        </w:rPr>
        <w:t>Mortgage was a nullity. Even if it was valid the plaintiffs would not have succeeded because there was no amount owing. No loan had been made to the Bennets, and thererefore the mortgage secured nothing.</w:t>
      </w:r>
    </w:p>
    <w:p w:rsidR="006B38F8" w:rsidRDefault="006B38F8" w:rsidP="00555E7C">
      <w:pPr>
        <w:rPr>
          <w:lang w:val="en-US"/>
        </w:rPr>
      </w:pPr>
    </w:p>
    <w:p w:rsidR="006B38F8" w:rsidRDefault="006B38F8" w:rsidP="00555E7C">
      <w:pPr>
        <w:rPr>
          <w:lang w:val="en-US"/>
        </w:rPr>
      </w:pPr>
      <w:r>
        <w:rPr>
          <w:lang w:val="en-US"/>
        </w:rPr>
        <w:t>RATIO:</w:t>
      </w:r>
    </w:p>
    <w:p w:rsidR="006B38F8" w:rsidRDefault="006B38F8" w:rsidP="00555E7C">
      <w:pPr>
        <w:rPr>
          <w:lang w:val="en-US"/>
        </w:rPr>
      </w:pPr>
    </w:p>
    <w:p w:rsidR="006B38F8" w:rsidRDefault="006B38F8" w:rsidP="00555E7C">
      <w:pPr>
        <w:rPr>
          <w:lang w:val="en-US"/>
        </w:rPr>
      </w:pPr>
      <w:r>
        <w:rPr>
          <w:lang w:val="en-US"/>
        </w:rPr>
        <w:t>The registration of a charge creates a rebuttable presumption of entitlement. “Taken to be until it is disproved”.</w:t>
      </w:r>
    </w:p>
    <w:p w:rsidR="006B38F8" w:rsidRDefault="006B38F8" w:rsidP="00555E7C">
      <w:pPr>
        <w:rPr>
          <w:lang w:val="en-US"/>
        </w:rPr>
      </w:pPr>
    </w:p>
    <w:p w:rsidR="006B38F8" w:rsidRDefault="006B38F8" w:rsidP="00555E7C">
      <w:pPr>
        <w:rPr>
          <w:lang w:val="en-US"/>
        </w:rPr>
      </w:pPr>
      <w:r>
        <w:rPr>
          <w:lang w:val="en-US"/>
        </w:rPr>
        <w:t xml:space="preserve">A mortgage is only security for the amount actually owing. </w:t>
      </w:r>
    </w:p>
    <w:p w:rsidR="006B38F8" w:rsidRDefault="006B38F8" w:rsidP="00555E7C">
      <w:pPr>
        <w:pBdr>
          <w:bottom w:val="single" w:sz="12" w:space="1" w:color="auto"/>
        </w:pBdr>
        <w:rPr>
          <w:lang w:val="en-US"/>
        </w:rPr>
      </w:pPr>
    </w:p>
    <w:p w:rsidR="006B38F8" w:rsidRPr="006B38F8" w:rsidRDefault="006B38F8" w:rsidP="00555E7C">
      <w:pPr>
        <w:rPr>
          <w:b/>
          <w:sz w:val="22"/>
          <w:u w:val="single"/>
          <w:lang w:val="en-US"/>
        </w:rPr>
      </w:pPr>
    </w:p>
    <w:p w:rsidR="006B38F8" w:rsidRPr="003A60FA" w:rsidRDefault="006B38F8" w:rsidP="003A60FA">
      <w:pPr>
        <w:pStyle w:val="Heading3"/>
        <w:rPr>
          <w:b w:val="0"/>
          <w:lang w:val="en-US"/>
        </w:rPr>
      </w:pPr>
      <w:bookmarkStart w:id="45" w:name="_Toc259911033"/>
      <w:r w:rsidRPr="006B38F8">
        <w:rPr>
          <w:highlight w:val="yellow"/>
          <w:lang w:val="en-US"/>
        </w:rPr>
        <w:t>CANADIAN COMMERCIAL BANK v ISLAND REALTY INVESTMENS LTD (1988)</w:t>
      </w:r>
      <w:r w:rsidR="0092270B">
        <w:rPr>
          <w:lang w:val="en-US"/>
        </w:rPr>
        <w:t xml:space="preserve">: </w:t>
      </w:r>
      <w:r w:rsidR="00F674FD" w:rsidRPr="003A60FA">
        <w:rPr>
          <w:b w:val="0"/>
          <w:lang w:val="en-US"/>
        </w:rPr>
        <w:t>bona fide purchasers for value of charges are presumed to be entitled to their interests</w:t>
      </w:r>
      <w:bookmarkEnd w:id="45"/>
    </w:p>
    <w:p w:rsidR="006B38F8" w:rsidRDefault="006B38F8" w:rsidP="00555E7C">
      <w:pPr>
        <w:rPr>
          <w:lang w:val="en-US"/>
        </w:rPr>
      </w:pPr>
    </w:p>
    <w:p w:rsidR="00F17658" w:rsidRDefault="006B38F8" w:rsidP="00555E7C">
      <w:pPr>
        <w:rPr>
          <w:lang w:val="en-US"/>
        </w:rPr>
      </w:pPr>
      <w:r>
        <w:rPr>
          <w:lang w:val="en-US"/>
        </w:rPr>
        <w:t>FACTS:</w:t>
      </w:r>
    </w:p>
    <w:p w:rsidR="00F17658" w:rsidRDefault="00F17658" w:rsidP="00555E7C">
      <w:pPr>
        <w:rPr>
          <w:lang w:val="en-US"/>
        </w:rPr>
      </w:pPr>
    </w:p>
    <w:p w:rsidR="00F17658" w:rsidRDefault="00F17658" w:rsidP="00555E7C">
      <w:pPr>
        <w:rPr>
          <w:lang w:val="en-US"/>
        </w:rPr>
      </w:pPr>
      <w:r>
        <w:rPr>
          <w:lang w:val="en-US"/>
        </w:rPr>
        <w:t>Park Meadows, granted a mortgage in second position to Island Realty. Their solicitor, Cowan, then granted a third mortgage to the appellants “Almont” in third position under the understanding that the Island Realty mortgage would be discharged. They did not known that Cowan was a director of Park Meadow. Cowan forges the discharge and Almont move up to second position. Park Meadows forecloses. There is not enough money to pay off both Island Realty and Almont.</w:t>
      </w:r>
    </w:p>
    <w:p w:rsidR="00F17658" w:rsidRDefault="00F17658" w:rsidP="00555E7C">
      <w:pPr>
        <w:rPr>
          <w:lang w:val="en-US"/>
        </w:rPr>
      </w:pPr>
    </w:p>
    <w:p w:rsidR="00F17658" w:rsidRDefault="00F17658" w:rsidP="00555E7C">
      <w:pPr>
        <w:rPr>
          <w:lang w:val="en-US"/>
        </w:rPr>
      </w:pPr>
      <w:r>
        <w:rPr>
          <w:lang w:val="en-US"/>
        </w:rPr>
        <w:t xml:space="preserve">Trial judge restores the certificate of title so that Island Realty is back in second position. He reasoned following, </w:t>
      </w:r>
      <w:r>
        <w:rPr>
          <w:i/>
          <w:lang w:val="en-US"/>
        </w:rPr>
        <w:t>Crédit Foncier</w:t>
      </w:r>
      <w:r>
        <w:rPr>
          <w:lang w:val="en-US"/>
        </w:rPr>
        <w:t xml:space="preserve">, that the discharge was a forgery and therefore a nullity. </w:t>
      </w:r>
      <w:r>
        <w:rPr>
          <w:lang w:val="en-US"/>
        </w:rPr>
        <w:br/>
      </w:r>
      <w:r>
        <w:rPr>
          <w:lang w:val="en-US"/>
        </w:rPr>
        <w:br/>
        <w:t>ISSUE:</w:t>
      </w:r>
    </w:p>
    <w:p w:rsidR="00F17658" w:rsidRDefault="00F17658" w:rsidP="00555E7C">
      <w:pPr>
        <w:rPr>
          <w:lang w:val="en-US"/>
        </w:rPr>
      </w:pPr>
    </w:p>
    <w:p w:rsidR="00F17658" w:rsidRDefault="00F17658" w:rsidP="00555E7C">
      <w:pPr>
        <w:rPr>
          <w:lang w:val="en-US"/>
        </w:rPr>
      </w:pPr>
      <w:r>
        <w:rPr>
          <w:lang w:val="en-US"/>
        </w:rPr>
        <w:t>Who has priority? Almont or Island Realty?</w:t>
      </w:r>
    </w:p>
    <w:p w:rsidR="00F17658" w:rsidRDefault="00F17658" w:rsidP="00555E7C">
      <w:pPr>
        <w:rPr>
          <w:lang w:val="en-US"/>
        </w:rPr>
      </w:pPr>
    </w:p>
    <w:p w:rsidR="00F17658" w:rsidRDefault="00F17658" w:rsidP="00555E7C">
      <w:pPr>
        <w:rPr>
          <w:lang w:val="en-US"/>
        </w:rPr>
      </w:pPr>
      <w:r>
        <w:rPr>
          <w:lang w:val="en-US"/>
        </w:rPr>
        <w:t>HELD:</w:t>
      </w:r>
    </w:p>
    <w:p w:rsidR="00F17658" w:rsidRDefault="00F17658" w:rsidP="00555E7C">
      <w:pPr>
        <w:rPr>
          <w:lang w:val="en-US"/>
        </w:rPr>
      </w:pPr>
    </w:p>
    <w:p w:rsidR="00F17658" w:rsidRDefault="00F17658" w:rsidP="00555E7C">
      <w:pPr>
        <w:rPr>
          <w:lang w:val="en-US"/>
        </w:rPr>
      </w:pPr>
      <w:r>
        <w:rPr>
          <w:lang w:val="en-US"/>
        </w:rPr>
        <w:t>Almont has priority and gets paid out.</w:t>
      </w:r>
      <w:r w:rsidR="00AB3EA3">
        <w:rPr>
          <w:lang w:val="en-US"/>
        </w:rPr>
        <w:t xml:space="preserve"> Almont did not register their charge through fraud, and so get protection. Island Realty gets screwed because although they were fraudulently discharged, Almont did not take their position through fraud.</w:t>
      </w:r>
    </w:p>
    <w:p w:rsidR="00F17658" w:rsidRDefault="00F17658" w:rsidP="00555E7C">
      <w:pPr>
        <w:rPr>
          <w:lang w:val="en-US"/>
        </w:rPr>
      </w:pPr>
    </w:p>
    <w:p w:rsidR="00F17658" w:rsidRDefault="00F17658" w:rsidP="00555E7C">
      <w:pPr>
        <w:rPr>
          <w:lang w:val="en-US"/>
        </w:rPr>
      </w:pPr>
      <w:r>
        <w:rPr>
          <w:lang w:val="en-US"/>
        </w:rPr>
        <w:t>RATIO:</w:t>
      </w:r>
    </w:p>
    <w:p w:rsidR="00F17658" w:rsidRPr="00AB3EA3" w:rsidRDefault="00F17658" w:rsidP="00555E7C">
      <w:pPr>
        <w:rPr>
          <w:i/>
          <w:lang w:val="en-US"/>
        </w:rPr>
      </w:pPr>
    </w:p>
    <w:p w:rsidR="00AB3EA3" w:rsidRDefault="00AB3EA3" w:rsidP="00555E7C">
      <w:pPr>
        <w:rPr>
          <w:lang w:val="en-US"/>
        </w:rPr>
      </w:pPr>
      <w:r w:rsidRPr="00AB3EA3">
        <w:rPr>
          <w:i/>
          <w:lang w:val="en-US"/>
        </w:rPr>
        <w:t>Bona fide</w:t>
      </w:r>
      <w:r>
        <w:rPr>
          <w:lang w:val="en-US"/>
        </w:rPr>
        <w:t xml:space="preserve"> purchasers for value of charges are presumed to be entitled to their interest. </w:t>
      </w:r>
    </w:p>
    <w:p w:rsidR="00AB3EA3" w:rsidRDefault="00AB3EA3" w:rsidP="00555E7C">
      <w:pPr>
        <w:pBdr>
          <w:bottom w:val="single" w:sz="12" w:space="1" w:color="auto"/>
        </w:pBdr>
        <w:rPr>
          <w:lang w:val="en-US"/>
        </w:rPr>
      </w:pPr>
    </w:p>
    <w:p w:rsidR="00AB3EA3" w:rsidRDefault="00AB3EA3" w:rsidP="00555E7C">
      <w:pPr>
        <w:rPr>
          <w:lang w:val="en-US"/>
        </w:rPr>
      </w:pPr>
    </w:p>
    <w:p w:rsidR="00AB3EA3" w:rsidRPr="00C86ECC" w:rsidRDefault="00AB3EA3" w:rsidP="00C86ECC">
      <w:pPr>
        <w:ind w:left="720"/>
        <w:rPr>
          <w:b/>
          <w:sz w:val="22"/>
          <w:u w:val="single"/>
          <w:lang w:val="en-US"/>
        </w:rPr>
      </w:pPr>
      <w:r w:rsidRPr="00C86ECC">
        <w:rPr>
          <w:b/>
          <w:sz w:val="22"/>
          <w:u w:val="single"/>
          <w:lang w:val="en-US"/>
        </w:rPr>
        <w:t xml:space="preserve">3. Priorities. </w:t>
      </w:r>
    </w:p>
    <w:p w:rsidR="00AB3EA3" w:rsidRDefault="00AB3EA3" w:rsidP="00555E7C">
      <w:pPr>
        <w:rPr>
          <w:lang w:val="en-US"/>
        </w:rPr>
      </w:pPr>
    </w:p>
    <w:p w:rsidR="00AB3EA3" w:rsidRDefault="00AB3EA3" w:rsidP="00555E7C">
      <w:pPr>
        <w:rPr>
          <w:lang w:val="en-US"/>
        </w:rPr>
      </w:pPr>
      <w:r>
        <w:rPr>
          <w:lang w:val="en-US"/>
        </w:rPr>
        <w:t>Judgments against the registered owner jump ahead in priority to previous judgments against that owner. Chapter 5.</w:t>
      </w:r>
    </w:p>
    <w:p w:rsidR="00AB3EA3" w:rsidRDefault="00AB3EA3" w:rsidP="00555E7C">
      <w:pPr>
        <w:rPr>
          <w:lang w:val="en-US"/>
        </w:rPr>
      </w:pPr>
    </w:p>
    <w:p w:rsidR="00AB3EA3" w:rsidRDefault="00AB3EA3" w:rsidP="00555E7C">
      <w:pPr>
        <w:rPr>
          <w:lang w:val="en-US"/>
        </w:rPr>
      </w:pPr>
      <w:r>
        <w:rPr>
          <w:lang w:val="en-US"/>
        </w:rPr>
        <w:t>Other charges are governed by first in time, first in right regarding date of application to register.</w:t>
      </w:r>
    </w:p>
    <w:p w:rsidR="00AB3EA3" w:rsidRDefault="00AB3EA3" w:rsidP="00555E7C">
      <w:pPr>
        <w:rPr>
          <w:lang w:val="en-US"/>
        </w:rPr>
      </w:pPr>
    </w:p>
    <w:p w:rsidR="00AB3EA3" w:rsidRPr="00AB3EA3" w:rsidRDefault="00AB3EA3" w:rsidP="00555E7C">
      <w:pPr>
        <w:rPr>
          <w:color w:val="1F497D" w:themeColor="text2"/>
          <w:lang w:val="en-US"/>
        </w:rPr>
      </w:pPr>
      <w:r w:rsidRPr="00AB3EA3">
        <w:rPr>
          <w:color w:val="1F497D" w:themeColor="text2"/>
          <w:lang w:val="en-US"/>
        </w:rPr>
        <w:t>Land Title Act</w:t>
      </w:r>
    </w:p>
    <w:p w:rsidR="00AB3EA3" w:rsidRDefault="00AB3EA3" w:rsidP="00555E7C">
      <w:pPr>
        <w:rPr>
          <w:lang w:val="en-US"/>
        </w:rPr>
      </w:pPr>
    </w:p>
    <w:p w:rsidR="00AB3EA3" w:rsidRDefault="00AB3EA3" w:rsidP="00555E7C">
      <w:pPr>
        <w:rPr>
          <w:lang w:val="en-US"/>
        </w:rPr>
      </w:pPr>
      <w:r w:rsidRPr="00AB3EA3">
        <w:rPr>
          <w:color w:val="1F497D" w:themeColor="text2"/>
          <w:lang w:val="en-US"/>
        </w:rPr>
        <w:t>Section 28</w:t>
      </w:r>
      <w:r>
        <w:rPr>
          <w:lang w:val="en-US"/>
        </w:rPr>
        <w:t xml:space="preserve">: If 2 or more charges appear entered on the register affecting the same land, the charges have, as between themselves, but subject to a contrary intention appearing from the instruments creating the charges, priority according to </w:t>
      </w:r>
      <w:r w:rsidRPr="00AB3EA3">
        <w:rPr>
          <w:b/>
          <w:color w:val="800000"/>
          <w:lang w:val="en-US"/>
        </w:rPr>
        <w:t>the date and time the respective applications for registration of the charges were received</w:t>
      </w:r>
      <w:r>
        <w:rPr>
          <w:lang w:val="en-US"/>
        </w:rPr>
        <w:t xml:space="preserve"> by the registrar, and not according to the respective dates of execution of their instruments.</w:t>
      </w:r>
    </w:p>
    <w:p w:rsidR="00AB3EA3" w:rsidRDefault="00AB3EA3" w:rsidP="00555E7C">
      <w:pPr>
        <w:pBdr>
          <w:bottom w:val="single" w:sz="12" w:space="1" w:color="auto"/>
        </w:pBdr>
        <w:rPr>
          <w:lang w:val="en-US"/>
        </w:rPr>
      </w:pPr>
    </w:p>
    <w:p w:rsidR="00AB3EA3" w:rsidRDefault="00AB3EA3" w:rsidP="00555E7C">
      <w:pPr>
        <w:rPr>
          <w:lang w:val="en-US"/>
        </w:rPr>
      </w:pPr>
    </w:p>
    <w:p w:rsidR="00AB3EA3" w:rsidRPr="00AB3EA3" w:rsidRDefault="00AB3EA3" w:rsidP="002622F7">
      <w:pPr>
        <w:pStyle w:val="Heading1"/>
        <w:rPr>
          <w:lang w:val="en-US"/>
        </w:rPr>
      </w:pPr>
      <w:bookmarkStart w:id="46" w:name="_Toc259911034"/>
      <w:r w:rsidRPr="00AB3EA3">
        <w:rPr>
          <w:highlight w:val="yellow"/>
          <w:lang w:val="en-US"/>
        </w:rPr>
        <w:t>CHAPTER VII – FAILURE TO REGISTER</w:t>
      </w:r>
      <w:bookmarkEnd w:id="46"/>
      <w:r w:rsidRPr="00AB3EA3">
        <w:rPr>
          <w:lang w:val="en-US"/>
        </w:rPr>
        <w:t xml:space="preserve"> </w:t>
      </w:r>
    </w:p>
    <w:p w:rsidR="00AB3EA3" w:rsidRDefault="00AB3EA3" w:rsidP="00555E7C">
      <w:pPr>
        <w:rPr>
          <w:lang w:val="en-US"/>
        </w:rPr>
      </w:pPr>
    </w:p>
    <w:p w:rsidR="00E025D1" w:rsidRPr="00E65FC6" w:rsidRDefault="00AB3EA3" w:rsidP="00E65FC6">
      <w:pPr>
        <w:pStyle w:val="Heading2"/>
        <w:rPr>
          <w:b w:val="0"/>
          <w:lang w:val="en-US"/>
        </w:rPr>
      </w:pPr>
      <w:bookmarkStart w:id="47" w:name="_Toc259911035"/>
      <w:r w:rsidRPr="00E025D1">
        <w:rPr>
          <w:lang w:val="en-US"/>
        </w:rPr>
        <w:t>The General Principle</w:t>
      </w:r>
      <w:r w:rsidR="00E025D1" w:rsidRPr="00E025D1">
        <w:rPr>
          <w:lang w:val="en-US"/>
        </w:rPr>
        <w:t xml:space="preserve"> </w:t>
      </w:r>
      <w:r w:rsidR="00E65FC6">
        <w:rPr>
          <w:lang w:val="en-US"/>
        </w:rPr>
        <w:t>(</w:t>
      </w:r>
      <w:r w:rsidR="00E65FC6">
        <w:rPr>
          <w:b w:val="0"/>
          <w:lang w:val="en-US"/>
        </w:rPr>
        <w:t>in personam v in rem)</w:t>
      </w:r>
      <w:bookmarkEnd w:id="47"/>
    </w:p>
    <w:p w:rsidR="00E025D1" w:rsidRDefault="00E025D1" w:rsidP="00E025D1">
      <w:pPr>
        <w:ind w:left="360"/>
        <w:rPr>
          <w:lang w:val="en-US"/>
        </w:rPr>
      </w:pPr>
    </w:p>
    <w:p w:rsidR="00E025D1" w:rsidRPr="00E025D1" w:rsidRDefault="00E025D1" w:rsidP="00E025D1">
      <w:pPr>
        <w:rPr>
          <w:lang w:val="en-US"/>
        </w:rPr>
      </w:pPr>
      <w:r w:rsidRPr="00E025D1">
        <w:rPr>
          <w:lang w:val="en-US"/>
        </w:rPr>
        <w:t xml:space="preserve">Lack of registration means the instrument does not create a </w:t>
      </w:r>
      <w:r w:rsidRPr="00E025D1">
        <w:rPr>
          <w:b/>
          <w:lang w:val="en-US"/>
        </w:rPr>
        <w:t>legal</w:t>
      </w:r>
      <w:r w:rsidRPr="00E025D1">
        <w:rPr>
          <w:lang w:val="en-US"/>
        </w:rPr>
        <w:t xml:space="preserve"> interest in the property (</w:t>
      </w:r>
      <w:r w:rsidRPr="003A1DC7">
        <w:rPr>
          <w:i/>
          <w:color w:val="800000"/>
          <w:lang w:val="en-US"/>
        </w:rPr>
        <w:t>in rem</w:t>
      </w:r>
      <w:r w:rsidRPr="00E025D1">
        <w:rPr>
          <w:lang w:val="en-US"/>
        </w:rPr>
        <w:t xml:space="preserve"> rights require registration).  </w:t>
      </w:r>
      <w:r w:rsidRPr="00E025D1">
        <w:rPr>
          <w:color w:val="1F497D" w:themeColor="text2"/>
          <w:lang w:val="en-US"/>
        </w:rPr>
        <w:t>Section 20(1)</w:t>
      </w:r>
      <w:r w:rsidRPr="00E025D1">
        <w:rPr>
          <w:lang w:val="en-US"/>
        </w:rPr>
        <w:t xml:space="preserve"> makes a distinction between rights </w:t>
      </w:r>
      <w:r w:rsidRPr="00E65FC6">
        <w:rPr>
          <w:i/>
          <w:color w:val="800000"/>
          <w:lang w:val="en-US"/>
        </w:rPr>
        <w:t>in personam</w:t>
      </w:r>
      <w:r w:rsidRPr="00E025D1">
        <w:rPr>
          <w:lang w:val="en-US"/>
        </w:rPr>
        <w:t xml:space="preserve"> and rights </w:t>
      </w:r>
      <w:r w:rsidRPr="00E65FC6">
        <w:rPr>
          <w:i/>
          <w:color w:val="800000"/>
          <w:lang w:val="en-US"/>
        </w:rPr>
        <w:t>in rem</w:t>
      </w:r>
      <w:r w:rsidRPr="00E65FC6">
        <w:rPr>
          <w:color w:val="800000"/>
          <w:lang w:val="en-US"/>
        </w:rPr>
        <w:t xml:space="preserve">.  </w:t>
      </w:r>
      <w:r w:rsidRPr="00E025D1">
        <w:rPr>
          <w:lang w:val="en-US"/>
        </w:rPr>
        <w:t xml:space="preserve">Rights </w:t>
      </w:r>
      <w:r w:rsidRPr="00E65FC6">
        <w:rPr>
          <w:i/>
          <w:color w:val="800000"/>
          <w:lang w:val="en-US"/>
        </w:rPr>
        <w:t>in personam</w:t>
      </w:r>
      <w:r w:rsidRPr="00E025D1">
        <w:rPr>
          <w:lang w:val="en-US"/>
        </w:rPr>
        <w:t xml:space="preserve"> are enforceable despite lack of registration.  Rights </w:t>
      </w:r>
      <w:r w:rsidRPr="00E025D1">
        <w:rPr>
          <w:i/>
          <w:color w:val="800000"/>
          <w:lang w:val="en-US"/>
        </w:rPr>
        <w:t>in rem</w:t>
      </w:r>
      <w:r w:rsidRPr="00E025D1">
        <w:rPr>
          <w:color w:val="800000"/>
          <w:lang w:val="en-US"/>
        </w:rPr>
        <w:t xml:space="preserve"> (against the land)</w:t>
      </w:r>
      <w:r w:rsidRPr="00E025D1">
        <w:rPr>
          <w:lang w:val="en-US"/>
        </w:rPr>
        <w:t xml:space="preserve"> are only enforceable against third persons, when registered.  Enforcement of rights </w:t>
      </w:r>
      <w:r w:rsidRPr="00404F0D">
        <w:rPr>
          <w:i/>
          <w:color w:val="800000"/>
          <w:lang w:val="en-US"/>
        </w:rPr>
        <w:t>in personam</w:t>
      </w:r>
      <w:r w:rsidRPr="00E025D1">
        <w:rPr>
          <w:lang w:val="en-US"/>
        </w:rPr>
        <w:t xml:space="preserve"> can indirectly create equitable interests in property.</w:t>
      </w:r>
    </w:p>
    <w:p w:rsidR="00E025D1" w:rsidRDefault="00E025D1" w:rsidP="00E025D1">
      <w:pPr>
        <w:rPr>
          <w:lang w:val="en-US"/>
        </w:rPr>
      </w:pPr>
    </w:p>
    <w:p w:rsidR="00D14644" w:rsidRDefault="00E025D1" w:rsidP="00E025D1">
      <w:pPr>
        <w:rPr>
          <w:lang w:val="en-US"/>
        </w:rPr>
      </w:pPr>
      <w:r w:rsidRPr="00E025D1">
        <w:rPr>
          <w:lang w:val="en-US"/>
        </w:rPr>
        <w:t>An aspect of the “</w:t>
      </w:r>
      <w:r w:rsidRPr="003A1DC7">
        <w:rPr>
          <w:i/>
          <w:color w:val="800000"/>
          <w:lang w:val="en-US"/>
        </w:rPr>
        <w:t>in personam</w:t>
      </w:r>
      <w:r w:rsidRPr="00E025D1">
        <w:rPr>
          <w:lang w:val="en-US"/>
        </w:rPr>
        <w:t xml:space="preserve">” qualification to indefeasibility is that personal equities can be enforced as personal rights of action against the registered interests of those bound personally to perform obligations, but </w:t>
      </w:r>
      <w:r w:rsidRPr="00404F0D">
        <w:rPr>
          <w:b/>
          <w:lang w:val="en-US"/>
        </w:rPr>
        <w:t>not against innocent purchasers of the land</w:t>
      </w:r>
      <w:r w:rsidRPr="00E025D1">
        <w:rPr>
          <w:lang w:val="en-US"/>
        </w:rPr>
        <w:t xml:space="preserve">. </w:t>
      </w:r>
    </w:p>
    <w:p w:rsidR="00D14644" w:rsidRDefault="00D14644" w:rsidP="00E025D1">
      <w:pPr>
        <w:rPr>
          <w:lang w:val="en-US"/>
        </w:rPr>
      </w:pPr>
    </w:p>
    <w:p w:rsidR="00D14644" w:rsidRDefault="00D14644" w:rsidP="00E025D1">
      <w:pPr>
        <w:rPr>
          <w:lang w:val="en-US"/>
        </w:rPr>
      </w:pPr>
      <w:r w:rsidRPr="00D14644">
        <w:rPr>
          <w:color w:val="800000"/>
          <w:lang w:val="en-US"/>
        </w:rPr>
        <w:t>Short-term leases</w:t>
      </w:r>
      <w:r w:rsidRPr="00D14644">
        <w:rPr>
          <w:lang w:val="en-US"/>
        </w:rPr>
        <w:t xml:space="preserve"> are exceptional: </w:t>
      </w:r>
    </w:p>
    <w:p w:rsidR="00D14644" w:rsidRDefault="00D14644" w:rsidP="00E025D1">
      <w:pPr>
        <w:rPr>
          <w:lang w:val="en-US"/>
        </w:rPr>
      </w:pPr>
    </w:p>
    <w:p w:rsidR="00D14644" w:rsidRPr="00D14644" w:rsidRDefault="00D14644" w:rsidP="00D14644">
      <w:pPr>
        <w:pStyle w:val="ListParagraph"/>
        <w:numPr>
          <w:ilvl w:val="0"/>
          <w:numId w:val="27"/>
        </w:numPr>
        <w:rPr>
          <w:lang w:val="en-US"/>
        </w:rPr>
      </w:pPr>
      <w:r w:rsidRPr="00D14644">
        <w:rPr>
          <w:lang w:val="en-US"/>
        </w:rPr>
        <w:t xml:space="preserve">they </w:t>
      </w:r>
      <w:r w:rsidRPr="00D14644">
        <w:rPr>
          <w:b/>
          <w:color w:val="800000"/>
          <w:lang w:val="en-US"/>
        </w:rPr>
        <w:t>do not have to be in writing</w:t>
      </w:r>
      <w:r w:rsidRPr="00D14644">
        <w:rPr>
          <w:lang w:val="en-US"/>
        </w:rPr>
        <w:t xml:space="preserve">: </w:t>
      </w:r>
      <w:r w:rsidRPr="00D14644">
        <w:rPr>
          <w:color w:val="1F497D" w:themeColor="text2"/>
          <w:lang w:val="en-US"/>
        </w:rPr>
        <w:t>Law and Equity Act, s. 54</w:t>
      </w:r>
      <w:r w:rsidRPr="00D14644">
        <w:rPr>
          <w:lang w:val="en-US"/>
        </w:rPr>
        <w:t xml:space="preserve">.  </w:t>
      </w:r>
    </w:p>
    <w:p w:rsidR="00D14644" w:rsidRDefault="00D14644" w:rsidP="00D14644">
      <w:pPr>
        <w:pStyle w:val="ListParagraph"/>
        <w:numPr>
          <w:ilvl w:val="0"/>
          <w:numId w:val="27"/>
        </w:numPr>
        <w:rPr>
          <w:lang w:val="en-US"/>
        </w:rPr>
      </w:pPr>
      <w:r>
        <w:rPr>
          <w:lang w:val="en-US"/>
        </w:rPr>
        <w:t>Regardless</w:t>
      </w:r>
      <w:r w:rsidRPr="00D14644">
        <w:rPr>
          <w:lang w:val="en-US"/>
        </w:rPr>
        <w:t xml:space="preserve"> of whether they are written down in instruments, short-term leases do not require registration and cannot be registered: </w:t>
      </w:r>
      <w:r w:rsidRPr="00D14644">
        <w:rPr>
          <w:color w:val="1F497D" w:themeColor="text2"/>
          <w:lang w:val="en-US"/>
        </w:rPr>
        <w:t>s. 23(2)(d)</w:t>
      </w:r>
      <w:r>
        <w:rPr>
          <w:lang w:val="en-US"/>
        </w:rPr>
        <w:t xml:space="preserve">. </w:t>
      </w:r>
      <w:r w:rsidRPr="00D14644">
        <w:rPr>
          <w:color w:val="1F497D" w:themeColor="text2"/>
          <w:lang w:val="en-US"/>
        </w:rPr>
        <w:t>Section 20(3)</w:t>
      </w:r>
      <w:r w:rsidRPr="00D14644">
        <w:rPr>
          <w:lang w:val="en-US"/>
        </w:rPr>
        <w:t xml:space="preserve"> gives the tenant in actual occupation under an unregistered short-term lease both </w:t>
      </w:r>
      <w:r w:rsidRPr="00D14644">
        <w:rPr>
          <w:color w:val="800000"/>
          <w:lang w:val="en-US"/>
        </w:rPr>
        <w:t xml:space="preserve">in personam </w:t>
      </w:r>
      <w:r w:rsidRPr="00D14644">
        <w:rPr>
          <w:lang w:val="en-US"/>
        </w:rPr>
        <w:t xml:space="preserve">and </w:t>
      </w:r>
      <w:r w:rsidRPr="00D14644">
        <w:rPr>
          <w:color w:val="800000"/>
          <w:lang w:val="en-US"/>
        </w:rPr>
        <w:t>in rem</w:t>
      </w:r>
      <w:r w:rsidRPr="00D14644">
        <w:rPr>
          <w:lang w:val="en-US"/>
        </w:rPr>
        <w:t xml:space="preserve"> rights</w:t>
      </w:r>
    </w:p>
    <w:p w:rsidR="00E025D1" w:rsidRPr="00D14644" w:rsidRDefault="00D14644" w:rsidP="00D14644">
      <w:pPr>
        <w:pStyle w:val="ListParagraph"/>
        <w:numPr>
          <w:ilvl w:val="0"/>
          <w:numId w:val="27"/>
        </w:numPr>
        <w:rPr>
          <w:lang w:val="en-US"/>
        </w:rPr>
      </w:pPr>
      <w:r w:rsidRPr="00D14644">
        <w:rPr>
          <w:lang w:val="en-US"/>
        </w:rPr>
        <w:t xml:space="preserve">A tenant in </w:t>
      </w:r>
      <w:r w:rsidRPr="00D14644">
        <w:rPr>
          <w:b/>
          <w:color w:val="800000"/>
          <w:lang w:val="en-US"/>
        </w:rPr>
        <w:t>actual occupation</w:t>
      </w:r>
      <w:r w:rsidRPr="00D14644">
        <w:rPr>
          <w:lang w:val="en-US"/>
        </w:rPr>
        <w:t xml:space="preserve"> under a lease of three years’ duration or less </w:t>
      </w:r>
      <w:r w:rsidRPr="00D14644">
        <w:rPr>
          <w:b/>
          <w:color w:val="800000"/>
          <w:lang w:val="en-US"/>
        </w:rPr>
        <w:t>including options for renewal</w:t>
      </w:r>
      <w:r w:rsidRPr="00D14644">
        <w:rPr>
          <w:lang w:val="en-US"/>
        </w:rPr>
        <w:t xml:space="preserve"> (</w:t>
      </w:r>
      <w:r w:rsidRPr="00D14644">
        <w:rPr>
          <w:color w:val="1F497D" w:themeColor="text2"/>
          <w:lang w:val="en-US"/>
        </w:rPr>
        <w:t>s. 1</w:t>
      </w:r>
      <w:r w:rsidRPr="00D14644">
        <w:rPr>
          <w:lang w:val="en-US"/>
        </w:rPr>
        <w:t xml:space="preserve">) can enforce the lease against the landlord or against an innocent purchaser from the landlord, even after the purchaser becomes registered as the fee simple holder: </w:t>
      </w:r>
      <w:r w:rsidRPr="00D14644">
        <w:rPr>
          <w:color w:val="1F497D" w:themeColor="text2"/>
          <w:lang w:val="en-US"/>
        </w:rPr>
        <w:t>s. 20(3)</w:t>
      </w:r>
      <w:r w:rsidRPr="00D14644">
        <w:rPr>
          <w:lang w:val="en-US"/>
        </w:rPr>
        <w:t xml:space="preserve">.  </w:t>
      </w:r>
    </w:p>
    <w:p w:rsidR="006A14AA" w:rsidRDefault="006A14AA" w:rsidP="00E025D1">
      <w:pPr>
        <w:rPr>
          <w:lang w:val="en-US"/>
        </w:rPr>
      </w:pPr>
    </w:p>
    <w:p w:rsidR="006A14AA" w:rsidRPr="006A14AA" w:rsidRDefault="006A14AA" w:rsidP="006A14AA">
      <w:pPr>
        <w:rPr>
          <w:lang w:val="en-US"/>
        </w:rPr>
      </w:pPr>
      <w:r w:rsidRPr="006A14AA">
        <w:rPr>
          <w:lang w:val="en-US"/>
        </w:rPr>
        <w:t xml:space="preserve">Despite the explicit wording of </w:t>
      </w:r>
      <w:r w:rsidRPr="006A14AA">
        <w:rPr>
          <w:color w:val="1F497D" w:themeColor="text2"/>
          <w:lang w:val="en-US"/>
        </w:rPr>
        <w:t>Section 20(1</w:t>
      </w:r>
      <w:r w:rsidRPr="006A14AA">
        <w:rPr>
          <w:lang w:val="en-US"/>
        </w:rPr>
        <w:t xml:space="preserve">), courts can give limited effect to an unregistered interest </w:t>
      </w:r>
      <w:r w:rsidRPr="006A14AA">
        <w:rPr>
          <w:b/>
          <w:color w:val="800000"/>
          <w:lang w:val="en-US"/>
        </w:rPr>
        <w:t>in equity</w:t>
      </w:r>
      <w:r w:rsidRPr="006A14AA">
        <w:rPr>
          <w:lang w:val="en-US"/>
        </w:rPr>
        <w:t xml:space="preserve"> to </w:t>
      </w:r>
      <w:r w:rsidRPr="006A14AA">
        <w:rPr>
          <w:color w:val="800000"/>
          <w:lang w:val="en-US"/>
        </w:rPr>
        <w:t>prevent “fraud,”</w:t>
      </w:r>
      <w:r w:rsidRPr="006A14AA">
        <w:rPr>
          <w:lang w:val="en-US"/>
        </w:rPr>
        <w:t xml:space="preserve"> for example. A legal estate would only take effect on registration.</w:t>
      </w:r>
    </w:p>
    <w:p w:rsidR="00AB3EA3" w:rsidRPr="00E025D1" w:rsidRDefault="00AB3EA3" w:rsidP="00E025D1">
      <w:pPr>
        <w:rPr>
          <w:lang w:val="en-US"/>
        </w:rPr>
      </w:pPr>
    </w:p>
    <w:p w:rsidR="007B31F2" w:rsidRDefault="007B31F2" w:rsidP="00AB3EA3">
      <w:pPr>
        <w:rPr>
          <w:lang w:val="en-US"/>
        </w:rPr>
      </w:pPr>
    </w:p>
    <w:p w:rsidR="007B31F2" w:rsidRPr="00E025D1" w:rsidRDefault="007B31F2" w:rsidP="00AB3EA3">
      <w:pPr>
        <w:rPr>
          <w:color w:val="1F497D" w:themeColor="text2"/>
          <w:lang w:val="en-US"/>
        </w:rPr>
      </w:pPr>
      <w:r w:rsidRPr="00E025D1">
        <w:rPr>
          <w:color w:val="1F497D" w:themeColor="text2"/>
          <w:lang w:val="en-US"/>
        </w:rPr>
        <w:t>The Land Title Act</w:t>
      </w:r>
    </w:p>
    <w:p w:rsidR="007B31F2" w:rsidRDefault="007B31F2" w:rsidP="00AB3EA3">
      <w:pPr>
        <w:rPr>
          <w:lang w:val="en-US"/>
        </w:rPr>
      </w:pPr>
    </w:p>
    <w:p w:rsidR="007B31F2" w:rsidRDefault="007B31F2" w:rsidP="00AB3EA3">
      <w:pPr>
        <w:rPr>
          <w:lang w:val="en-US"/>
        </w:rPr>
      </w:pPr>
      <w:r w:rsidRPr="007B31F2">
        <w:rPr>
          <w:color w:val="1F497D" w:themeColor="text2"/>
          <w:lang w:val="en-US"/>
        </w:rPr>
        <w:t>Section 20</w:t>
      </w:r>
      <w:r>
        <w:rPr>
          <w:lang w:val="en-US"/>
        </w:rPr>
        <w:t xml:space="preserve"> provides that </w:t>
      </w:r>
    </w:p>
    <w:p w:rsidR="007B31F2" w:rsidRPr="007B31F2" w:rsidRDefault="007B31F2" w:rsidP="007B31F2">
      <w:pPr>
        <w:pStyle w:val="ListParagraph"/>
        <w:numPr>
          <w:ilvl w:val="0"/>
          <w:numId w:val="25"/>
        </w:numPr>
        <w:rPr>
          <w:lang w:val="en-US"/>
        </w:rPr>
      </w:pPr>
      <w:r w:rsidRPr="007B31F2">
        <w:rPr>
          <w:lang w:val="en-US"/>
        </w:rPr>
        <w:t xml:space="preserve">an unregistered instrument </w:t>
      </w:r>
      <w:r w:rsidRPr="007B31F2">
        <w:rPr>
          <w:b/>
          <w:color w:val="800000"/>
          <w:lang w:val="en-US"/>
        </w:rPr>
        <w:t>does not pass estate</w:t>
      </w:r>
      <w:r w:rsidRPr="007B31F2">
        <w:rPr>
          <w:lang w:val="en-US"/>
        </w:rPr>
        <w:t xml:space="preserve">, except as </w:t>
      </w:r>
      <w:r w:rsidRPr="007B31F2">
        <w:rPr>
          <w:b/>
          <w:color w:val="800000"/>
          <w:lang w:val="en-US"/>
        </w:rPr>
        <w:t>against the person making it</w:t>
      </w:r>
      <w:r w:rsidRPr="007B31F2">
        <w:rPr>
          <w:lang w:val="en-US"/>
        </w:rPr>
        <w:t xml:space="preserve">. </w:t>
      </w:r>
    </w:p>
    <w:p w:rsidR="007B31F2" w:rsidRDefault="007B31F2" w:rsidP="007B31F2">
      <w:pPr>
        <w:pStyle w:val="ListParagraph"/>
        <w:numPr>
          <w:ilvl w:val="0"/>
          <w:numId w:val="25"/>
        </w:numPr>
        <w:rPr>
          <w:lang w:val="en-US"/>
        </w:rPr>
      </w:pPr>
      <w:r w:rsidRPr="007B31F2">
        <w:rPr>
          <w:lang w:val="en-US"/>
        </w:rPr>
        <w:t>Everyone b</w:t>
      </w:r>
      <w:r>
        <w:rPr>
          <w:lang w:val="en-US"/>
        </w:rPr>
        <w:t xml:space="preserve">enefitted by an unregistered instrument and every person claiming through or under that person, whether by descent purchase or otherwise has the right to </w:t>
      </w:r>
    </w:p>
    <w:p w:rsidR="007B31F2" w:rsidRDefault="007B31F2" w:rsidP="007B31F2">
      <w:pPr>
        <w:pStyle w:val="ListParagraph"/>
        <w:numPr>
          <w:ilvl w:val="1"/>
          <w:numId w:val="25"/>
        </w:numPr>
        <w:rPr>
          <w:lang w:val="en-US"/>
        </w:rPr>
      </w:pPr>
      <w:r>
        <w:rPr>
          <w:lang w:val="en-US"/>
        </w:rPr>
        <w:t>Apply for registration</w:t>
      </w:r>
    </w:p>
    <w:p w:rsidR="00D14644" w:rsidRDefault="007B31F2" w:rsidP="007B31F2">
      <w:pPr>
        <w:pStyle w:val="ListParagraph"/>
        <w:numPr>
          <w:ilvl w:val="1"/>
          <w:numId w:val="25"/>
        </w:numPr>
        <w:rPr>
          <w:lang w:val="en-US"/>
        </w:rPr>
      </w:pPr>
      <w:r>
        <w:rPr>
          <w:lang w:val="en-US"/>
        </w:rPr>
        <w:t>Use the names of the parties in the instrument in auxiliary or incidental proceedings to registration</w:t>
      </w:r>
    </w:p>
    <w:p w:rsidR="00E025D1" w:rsidRDefault="00D14644" w:rsidP="00D14644">
      <w:pPr>
        <w:pStyle w:val="ListParagraph"/>
        <w:numPr>
          <w:ilvl w:val="0"/>
          <w:numId w:val="25"/>
        </w:numPr>
        <w:rPr>
          <w:lang w:val="en-US"/>
        </w:rPr>
      </w:pPr>
      <w:r w:rsidRPr="00D14644">
        <w:rPr>
          <w:color w:val="1F497D" w:themeColor="text2"/>
          <w:lang w:val="en-US"/>
        </w:rPr>
        <w:t>Subsection (1)</w:t>
      </w:r>
      <w:r>
        <w:rPr>
          <w:lang w:val="en-US"/>
        </w:rPr>
        <w:t xml:space="preserve"> </w:t>
      </w:r>
      <w:r w:rsidRPr="00D14644">
        <w:rPr>
          <w:b/>
          <w:color w:val="800000"/>
          <w:lang w:val="en-US"/>
        </w:rPr>
        <w:t>does not apply to leases</w:t>
      </w:r>
      <w:r w:rsidR="007F789D">
        <w:rPr>
          <w:b/>
          <w:color w:val="800000"/>
          <w:lang w:val="en-US"/>
        </w:rPr>
        <w:t xml:space="preserve"> not</w:t>
      </w:r>
      <w:r w:rsidRPr="00D14644">
        <w:rPr>
          <w:b/>
          <w:color w:val="800000"/>
          <w:lang w:val="en-US"/>
        </w:rPr>
        <w:t xml:space="preserve"> exceeding 3 years</w:t>
      </w:r>
      <w:r>
        <w:rPr>
          <w:lang w:val="en-US"/>
        </w:rPr>
        <w:t xml:space="preserve"> if there is actual occupation under the lease or agreement.</w:t>
      </w:r>
    </w:p>
    <w:p w:rsidR="007B31F2" w:rsidRPr="00E025D1" w:rsidRDefault="007B31F2" w:rsidP="00E025D1">
      <w:pPr>
        <w:rPr>
          <w:lang w:val="en-US"/>
        </w:rPr>
      </w:pPr>
    </w:p>
    <w:p w:rsidR="00E025D1" w:rsidRDefault="00E025D1" w:rsidP="007B31F2">
      <w:pPr>
        <w:rPr>
          <w:lang w:val="en-US"/>
        </w:rPr>
      </w:pPr>
      <w:r w:rsidRPr="00E025D1">
        <w:rPr>
          <w:color w:val="1F497D" w:themeColor="text2"/>
          <w:lang w:val="en-US"/>
        </w:rPr>
        <w:t>Section 180</w:t>
      </w:r>
      <w:r w:rsidRPr="00E025D1">
        <w:rPr>
          <w:lang w:val="en-US"/>
        </w:rPr>
        <w:t xml:space="preserve"> </w:t>
      </w:r>
      <w:r>
        <w:rPr>
          <w:lang w:val="en-US"/>
        </w:rPr>
        <w:t>provides that</w:t>
      </w:r>
    </w:p>
    <w:p w:rsidR="00E025D1" w:rsidRPr="00E025D1" w:rsidRDefault="00E025D1" w:rsidP="00E025D1">
      <w:pPr>
        <w:pStyle w:val="ListParagraph"/>
        <w:numPr>
          <w:ilvl w:val="0"/>
          <w:numId w:val="26"/>
        </w:numPr>
        <w:rPr>
          <w:lang w:val="en-US"/>
        </w:rPr>
      </w:pPr>
      <w:r w:rsidRPr="00E025D1">
        <w:rPr>
          <w:lang w:val="en-US"/>
        </w:rPr>
        <w:t xml:space="preserve">Land Title office staff note an application to register on the register, and the note serves </w:t>
      </w:r>
      <w:r w:rsidRPr="00E025D1">
        <w:rPr>
          <w:b/>
          <w:color w:val="800000"/>
          <w:lang w:val="en-US"/>
        </w:rPr>
        <w:t>as notice to the world of the application</w:t>
      </w:r>
      <w:r w:rsidRPr="00E025D1">
        <w:rPr>
          <w:lang w:val="en-US"/>
        </w:rPr>
        <w:t>.  If the application is successful, upon completion of registration, it is backdated to the application.  If the staff rejects the application, the notation would be removed from the register.</w:t>
      </w:r>
    </w:p>
    <w:p w:rsidR="00D14644" w:rsidRDefault="00D14644" w:rsidP="00E025D1">
      <w:pPr>
        <w:pBdr>
          <w:bottom w:val="single" w:sz="12" w:space="1" w:color="auto"/>
        </w:pBdr>
        <w:rPr>
          <w:lang w:val="en-US"/>
        </w:rPr>
      </w:pPr>
    </w:p>
    <w:p w:rsidR="00D14644" w:rsidRPr="00B02B4A" w:rsidRDefault="00D14644" w:rsidP="00C85431">
      <w:pPr>
        <w:pStyle w:val="Heading3"/>
        <w:rPr>
          <w:lang w:val="en-US"/>
        </w:rPr>
      </w:pPr>
      <w:bookmarkStart w:id="48" w:name="_Toc259911036"/>
      <w:r w:rsidRPr="00C86ECC">
        <w:rPr>
          <w:highlight w:val="yellow"/>
          <w:lang w:val="en-US"/>
        </w:rPr>
        <w:t>SORENSON v YOUNG [1920]</w:t>
      </w:r>
      <w:r w:rsidR="00B02B4A">
        <w:rPr>
          <w:lang w:val="en-US"/>
        </w:rPr>
        <w:t>: bona fide purchasers for value are protected upon registration from being subject to unregistered interests (unless notice+)</w:t>
      </w:r>
      <w:bookmarkEnd w:id="48"/>
    </w:p>
    <w:p w:rsidR="00D14644" w:rsidRDefault="00D14644" w:rsidP="00E025D1">
      <w:pPr>
        <w:rPr>
          <w:lang w:val="en-US"/>
        </w:rPr>
      </w:pPr>
    </w:p>
    <w:p w:rsidR="00D14644" w:rsidRDefault="00D14644" w:rsidP="00E025D1">
      <w:pPr>
        <w:rPr>
          <w:lang w:val="en-US"/>
        </w:rPr>
      </w:pPr>
      <w:r>
        <w:rPr>
          <w:lang w:val="en-US"/>
        </w:rPr>
        <w:t>FACTS:</w:t>
      </w:r>
    </w:p>
    <w:p w:rsidR="00D14644" w:rsidRDefault="00D14644" w:rsidP="00E025D1">
      <w:pPr>
        <w:rPr>
          <w:lang w:val="en-US"/>
        </w:rPr>
      </w:pPr>
    </w:p>
    <w:p w:rsidR="006A14AA" w:rsidRDefault="00D14644" w:rsidP="00E025D1">
      <w:pPr>
        <w:rPr>
          <w:lang w:val="en-US"/>
        </w:rPr>
      </w:pPr>
      <w:r>
        <w:rPr>
          <w:lang w:val="en-US"/>
        </w:rPr>
        <w:t>The plaintiff owned the fee simple to a parcel of land. He subdivided it into two lots. Lot 1 was on the exterior and Lot 2 was only accessible through Lot 1</w:t>
      </w:r>
      <w:r w:rsidR="006A14AA">
        <w:rPr>
          <w:lang w:val="en-US"/>
        </w:rPr>
        <w:t xml:space="preserve">. The plaintiff sold Lot 1 to Mr. Roach, with the informal agreement that the plaintiff reserved an easement or private right-of-way through Lot 1 to get to Lot 2. This was unregistered. Mr. Roach, then transferred the property to the defendant, apparently without mentioning the unregistered interest. </w:t>
      </w:r>
    </w:p>
    <w:p w:rsidR="006A14AA" w:rsidRDefault="006A14AA" w:rsidP="00E025D1">
      <w:pPr>
        <w:rPr>
          <w:lang w:val="en-US"/>
        </w:rPr>
      </w:pPr>
    </w:p>
    <w:p w:rsidR="006A14AA" w:rsidRDefault="006A14AA" w:rsidP="00E025D1">
      <w:pPr>
        <w:rPr>
          <w:lang w:val="en-US"/>
        </w:rPr>
      </w:pPr>
      <w:r>
        <w:rPr>
          <w:lang w:val="en-US"/>
        </w:rPr>
        <w:t xml:space="preserve">The defendant registered her title, and denied access to the plaintiff. The plaintiff sued to get a declaration of the existence of the right of way. The defendant proved that she was bona fide and had no knowledge of the agreement between the plaintiff and Mr. Roach. </w:t>
      </w:r>
    </w:p>
    <w:p w:rsidR="006A14AA" w:rsidRDefault="006A14AA" w:rsidP="00E025D1">
      <w:pPr>
        <w:rPr>
          <w:lang w:val="en-US"/>
        </w:rPr>
      </w:pPr>
    </w:p>
    <w:p w:rsidR="006A14AA" w:rsidRDefault="006A14AA" w:rsidP="00E025D1">
      <w:pPr>
        <w:rPr>
          <w:lang w:val="en-US"/>
        </w:rPr>
      </w:pPr>
      <w:r>
        <w:rPr>
          <w:lang w:val="en-US"/>
        </w:rPr>
        <w:t>HELD:</w:t>
      </w:r>
    </w:p>
    <w:p w:rsidR="006A14AA" w:rsidRDefault="006A14AA" w:rsidP="00E025D1">
      <w:pPr>
        <w:rPr>
          <w:lang w:val="en-US"/>
        </w:rPr>
      </w:pPr>
    </w:p>
    <w:p w:rsidR="006A14AA" w:rsidRDefault="006A14AA" w:rsidP="00E025D1">
      <w:pPr>
        <w:rPr>
          <w:lang w:val="en-US"/>
        </w:rPr>
      </w:pPr>
      <w:r>
        <w:rPr>
          <w:lang w:val="en-US"/>
        </w:rPr>
        <w:t>The unregistered interest was extinguished.</w:t>
      </w:r>
    </w:p>
    <w:p w:rsidR="006A14AA" w:rsidRDefault="006A14AA" w:rsidP="00E025D1">
      <w:pPr>
        <w:rPr>
          <w:lang w:val="en-US"/>
        </w:rPr>
      </w:pPr>
    </w:p>
    <w:p w:rsidR="006A14AA" w:rsidRDefault="006A14AA" w:rsidP="00E025D1">
      <w:pPr>
        <w:rPr>
          <w:lang w:val="en-US"/>
        </w:rPr>
      </w:pPr>
      <w:r>
        <w:rPr>
          <w:lang w:val="en-US"/>
        </w:rPr>
        <w:t>RATIO:</w:t>
      </w:r>
    </w:p>
    <w:p w:rsidR="006A14AA" w:rsidRDefault="006A14AA" w:rsidP="00E025D1">
      <w:pPr>
        <w:rPr>
          <w:lang w:val="en-US"/>
        </w:rPr>
      </w:pPr>
    </w:p>
    <w:p w:rsidR="0053195E" w:rsidRDefault="006A14AA" w:rsidP="0053195E">
      <w:pPr>
        <w:pBdr>
          <w:bottom w:val="single" w:sz="12" w:space="0" w:color="auto"/>
        </w:pBdr>
        <w:rPr>
          <w:lang w:val="en-US"/>
        </w:rPr>
      </w:pPr>
      <w:r>
        <w:rPr>
          <w:i/>
          <w:lang w:val="en-US"/>
        </w:rPr>
        <w:t xml:space="preserve">Bona fide </w:t>
      </w:r>
      <w:r>
        <w:rPr>
          <w:lang w:val="en-US"/>
        </w:rPr>
        <w:t>purchasers for value are protected upon registration from being subject to unregistered interests.</w:t>
      </w:r>
    </w:p>
    <w:p w:rsidR="0053195E" w:rsidRDefault="0053195E" w:rsidP="0053195E">
      <w:pPr>
        <w:pBdr>
          <w:bottom w:val="single" w:sz="12" w:space="0" w:color="auto"/>
        </w:pBdr>
        <w:rPr>
          <w:lang w:val="en-US"/>
        </w:rPr>
      </w:pPr>
    </w:p>
    <w:p w:rsidR="0053195E" w:rsidRPr="0053195E" w:rsidRDefault="0053195E" w:rsidP="0053195E">
      <w:pPr>
        <w:pBdr>
          <w:bottom w:val="single" w:sz="12" w:space="0" w:color="auto"/>
        </w:pBdr>
        <w:rPr>
          <w:lang w:val="en-US"/>
        </w:rPr>
      </w:pPr>
      <w:r w:rsidRPr="0053195E">
        <w:rPr>
          <w:lang w:val="en-US"/>
        </w:rPr>
        <w:t xml:space="preserve">Nowadays, approval of a subdivision requires “sufficient highway to provide necessary and reasonable access” to all lots (s. 75), which should prevent a recurrence of this problem.  </w:t>
      </w:r>
    </w:p>
    <w:p w:rsidR="006A14AA" w:rsidRDefault="006A14AA" w:rsidP="0053195E">
      <w:pPr>
        <w:pBdr>
          <w:bottom w:val="single" w:sz="12" w:space="0" w:color="auto"/>
        </w:pBdr>
        <w:rPr>
          <w:lang w:val="en-US"/>
        </w:rPr>
      </w:pPr>
    </w:p>
    <w:p w:rsidR="006A14AA" w:rsidRDefault="006A14AA" w:rsidP="00E025D1">
      <w:pPr>
        <w:rPr>
          <w:lang w:val="en-US"/>
        </w:rPr>
      </w:pPr>
    </w:p>
    <w:p w:rsidR="006A14AA" w:rsidRPr="0053195E" w:rsidRDefault="006A14AA" w:rsidP="00E025D1">
      <w:pPr>
        <w:rPr>
          <w:color w:val="1F497D" w:themeColor="text2"/>
          <w:lang w:val="en-US"/>
        </w:rPr>
      </w:pPr>
      <w:r w:rsidRPr="0053195E">
        <w:rPr>
          <w:color w:val="1F497D" w:themeColor="text2"/>
          <w:lang w:val="en-US"/>
        </w:rPr>
        <w:t xml:space="preserve">Land Title Act </w:t>
      </w:r>
    </w:p>
    <w:p w:rsidR="006A14AA" w:rsidRDefault="006A14AA" w:rsidP="00E025D1">
      <w:pPr>
        <w:rPr>
          <w:lang w:val="en-US"/>
        </w:rPr>
      </w:pPr>
    </w:p>
    <w:p w:rsidR="006A14AA" w:rsidRDefault="006A14AA" w:rsidP="00E025D1">
      <w:pPr>
        <w:rPr>
          <w:lang w:val="en-US"/>
        </w:rPr>
      </w:pPr>
      <w:r w:rsidRPr="0053195E">
        <w:rPr>
          <w:color w:val="1F497D" w:themeColor="text2"/>
          <w:lang w:val="en-US"/>
        </w:rPr>
        <w:t>Section 181</w:t>
      </w:r>
      <w:r>
        <w:rPr>
          <w:lang w:val="en-US"/>
        </w:rPr>
        <w:t>:</w:t>
      </w:r>
    </w:p>
    <w:p w:rsidR="006A14AA" w:rsidRDefault="006A14AA" w:rsidP="00E025D1">
      <w:pPr>
        <w:rPr>
          <w:lang w:val="en-US"/>
        </w:rPr>
      </w:pPr>
    </w:p>
    <w:p w:rsidR="0053195E" w:rsidRPr="0053195E" w:rsidRDefault="006A14AA" w:rsidP="0053195E">
      <w:pPr>
        <w:pStyle w:val="ListParagraph"/>
        <w:numPr>
          <w:ilvl w:val="0"/>
          <w:numId w:val="28"/>
        </w:numPr>
        <w:rPr>
          <w:lang w:val="en-US"/>
        </w:rPr>
      </w:pPr>
      <w:r w:rsidRPr="0053195E">
        <w:rPr>
          <w:lang w:val="en-US"/>
        </w:rPr>
        <w:t xml:space="preserve">On an application to register a person as owner in fee simple of land under an instrument by which a registerable </w:t>
      </w:r>
      <w:r w:rsidRPr="0053195E">
        <w:rPr>
          <w:b/>
          <w:color w:val="800000"/>
          <w:lang w:val="en-US"/>
        </w:rPr>
        <w:t>interest is reserved</w:t>
      </w:r>
      <w:r w:rsidRPr="0053195E">
        <w:rPr>
          <w:lang w:val="en-US"/>
        </w:rPr>
        <w:t xml:space="preserve"> (easement, restrictive covenant, other condition) by the original transferor, </w:t>
      </w:r>
      <w:r w:rsidRPr="0053195E">
        <w:rPr>
          <w:b/>
          <w:color w:val="800000"/>
          <w:lang w:val="en-US"/>
        </w:rPr>
        <w:t>must be registered</w:t>
      </w:r>
      <w:r w:rsidRPr="0053195E">
        <w:rPr>
          <w:lang w:val="en-US"/>
        </w:rPr>
        <w:t xml:space="preserve"> as a charge against the new indefeasible title.</w:t>
      </w:r>
    </w:p>
    <w:p w:rsidR="0053195E" w:rsidRDefault="0053195E" w:rsidP="0053195E">
      <w:pPr>
        <w:pStyle w:val="ListParagraph"/>
        <w:numPr>
          <w:ilvl w:val="0"/>
          <w:numId w:val="28"/>
        </w:numPr>
        <w:rPr>
          <w:lang w:val="en-US"/>
        </w:rPr>
      </w:pPr>
      <w:r>
        <w:rPr>
          <w:lang w:val="en-US"/>
        </w:rPr>
        <w:t xml:space="preserve">The applicant for registration of the fee simple s authorized to make, on behalf of the transferor, any application necessary to give effect to </w:t>
      </w:r>
      <w:r w:rsidRPr="0053195E">
        <w:rPr>
          <w:color w:val="1F497D" w:themeColor="text2"/>
          <w:lang w:val="en-US"/>
        </w:rPr>
        <w:t>Subsection 1</w:t>
      </w:r>
      <w:r>
        <w:rPr>
          <w:lang w:val="en-US"/>
        </w:rPr>
        <w:t>.</w:t>
      </w:r>
    </w:p>
    <w:p w:rsidR="0053195E" w:rsidRDefault="0053195E" w:rsidP="0053195E">
      <w:pPr>
        <w:rPr>
          <w:lang w:val="en-US"/>
        </w:rPr>
      </w:pPr>
    </w:p>
    <w:p w:rsidR="0053195E" w:rsidRDefault="0053195E" w:rsidP="0053195E">
      <w:pPr>
        <w:rPr>
          <w:lang w:val="en-US"/>
        </w:rPr>
      </w:pPr>
      <w:r>
        <w:rPr>
          <w:lang w:val="en-US"/>
        </w:rPr>
        <w:t xml:space="preserve">If the proper procedure is not followed, the </w:t>
      </w:r>
      <w:r w:rsidRPr="0053195E">
        <w:rPr>
          <w:b/>
          <w:color w:val="800000"/>
          <w:lang w:val="en-US"/>
        </w:rPr>
        <w:t>burden of the risk of loss is on the transferor</w:t>
      </w:r>
      <w:r>
        <w:rPr>
          <w:lang w:val="en-US"/>
        </w:rPr>
        <w:t xml:space="preserve">. </w:t>
      </w:r>
      <w:r w:rsidRPr="0053195E">
        <w:rPr>
          <w:color w:val="1F497D" w:themeColor="text2"/>
          <w:lang w:val="en-US"/>
        </w:rPr>
        <w:t>Section 182</w:t>
      </w:r>
      <w:r>
        <w:rPr>
          <w:lang w:val="en-US"/>
        </w:rPr>
        <w:t xml:space="preserve"> authorizes the registrar to endorse an easement existing on another’s property to the transferor’s property on the title of the transferor’s property.</w:t>
      </w:r>
    </w:p>
    <w:p w:rsidR="0053195E" w:rsidRDefault="0053195E" w:rsidP="0053195E">
      <w:pPr>
        <w:rPr>
          <w:lang w:val="en-US"/>
        </w:rPr>
      </w:pPr>
    </w:p>
    <w:p w:rsidR="00A342CD" w:rsidRPr="00C85431" w:rsidRDefault="0053195E" w:rsidP="00C85431">
      <w:pPr>
        <w:pStyle w:val="Heading2"/>
        <w:rPr>
          <w:b w:val="0"/>
          <w:lang w:val="en-US"/>
        </w:rPr>
      </w:pPr>
      <w:bookmarkStart w:id="49" w:name="_Toc259911037"/>
      <w:r w:rsidRPr="00C86ECC">
        <w:rPr>
          <w:lang w:val="en-US"/>
        </w:rPr>
        <w:t>“EXCEPT AGAINST THE PERSON MAKING IT”</w:t>
      </w:r>
      <w:r w:rsidR="00C85431">
        <w:rPr>
          <w:lang w:val="en-US"/>
        </w:rPr>
        <w:t xml:space="preserve"> – </w:t>
      </w:r>
      <w:r w:rsidR="00C85431" w:rsidRPr="00C85431">
        <w:rPr>
          <w:b w:val="0"/>
          <w:lang w:val="en-US"/>
        </w:rPr>
        <w:t>in personam obligations not enforceable against innocent third parties</w:t>
      </w:r>
      <w:bookmarkEnd w:id="49"/>
    </w:p>
    <w:p w:rsidR="00A342CD" w:rsidRDefault="00A342CD" w:rsidP="00A342CD">
      <w:pPr>
        <w:rPr>
          <w:u w:val="single"/>
          <w:lang w:val="en-US"/>
        </w:rPr>
      </w:pPr>
    </w:p>
    <w:p w:rsidR="00A342CD" w:rsidRPr="00A342CD" w:rsidRDefault="00A342CD" w:rsidP="00A342CD">
      <w:pPr>
        <w:rPr>
          <w:lang w:val="en-US"/>
        </w:rPr>
      </w:pPr>
      <w:r w:rsidRPr="00A342CD">
        <w:rPr>
          <w:lang w:val="en-US"/>
        </w:rPr>
        <w:t>The phrase, “</w:t>
      </w:r>
      <w:r w:rsidRPr="00A342CD">
        <w:rPr>
          <w:b/>
          <w:color w:val="800000"/>
          <w:lang w:val="en-US"/>
        </w:rPr>
        <w:t>except against the person making it</w:t>
      </w:r>
      <w:r w:rsidRPr="00A342CD">
        <w:rPr>
          <w:lang w:val="en-US"/>
        </w:rPr>
        <w:t xml:space="preserve">,” in </w:t>
      </w:r>
      <w:r w:rsidRPr="00A342CD">
        <w:rPr>
          <w:color w:val="1F497D" w:themeColor="text2"/>
          <w:lang w:val="en-US"/>
        </w:rPr>
        <w:t>s. 20(1)</w:t>
      </w:r>
      <w:r w:rsidRPr="00A342CD">
        <w:rPr>
          <w:lang w:val="en-US"/>
        </w:rPr>
        <w:t xml:space="preserve"> means that personal obligations, which are sometimes called “</w:t>
      </w:r>
      <w:r w:rsidRPr="00A342CD">
        <w:rPr>
          <w:b/>
          <w:color w:val="800000"/>
          <w:lang w:val="en-US"/>
        </w:rPr>
        <w:t>personal equities</w:t>
      </w:r>
      <w:r w:rsidRPr="00A342CD">
        <w:rPr>
          <w:lang w:val="en-US"/>
        </w:rPr>
        <w:t xml:space="preserve">” can be enforceable even if they are contained in an unregistered instrument, but only against the registered owner who made the instrument.  By making the instrument, the person was bound to perform the obligation in it, regardless of its lack of registered status, according to </w:t>
      </w:r>
      <w:r w:rsidRPr="00A342CD">
        <w:rPr>
          <w:color w:val="1F497D" w:themeColor="text2"/>
          <w:lang w:val="en-US"/>
        </w:rPr>
        <w:t>s. 20(1)</w:t>
      </w:r>
      <w:r w:rsidRPr="00A342CD">
        <w:rPr>
          <w:lang w:val="en-US"/>
        </w:rPr>
        <w:t xml:space="preserve">. However, the person making the instrument could expressly require registration of the instrument as a condition precedent to enforceability of the obligation, to avoid </w:t>
      </w:r>
      <w:r w:rsidRPr="00A342CD">
        <w:rPr>
          <w:color w:val="1F497D" w:themeColor="text2"/>
          <w:lang w:val="en-US"/>
        </w:rPr>
        <w:t>s. 20(1)</w:t>
      </w:r>
      <w:r w:rsidRPr="00A342CD">
        <w:rPr>
          <w:lang w:val="en-US"/>
        </w:rPr>
        <w:t>.</w:t>
      </w:r>
    </w:p>
    <w:p w:rsidR="00A342CD" w:rsidRPr="00A342CD" w:rsidRDefault="00A342CD" w:rsidP="00A342CD">
      <w:pPr>
        <w:rPr>
          <w:lang w:val="en-US"/>
        </w:rPr>
      </w:pPr>
    </w:p>
    <w:p w:rsidR="00A342CD" w:rsidRPr="00A342CD" w:rsidRDefault="00A342CD" w:rsidP="00A342CD">
      <w:pPr>
        <w:rPr>
          <w:lang w:val="en-US"/>
        </w:rPr>
      </w:pPr>
      <w:r w:rsidRPr="00A342CD">
        <w:rPr>
          <w:lang w:val="en-US"/>
        </w:rPr>
        <w:t xml:space="preserve">Under the Torrens system, an obligation in an unregistered instrument would </w:t>
      </w:r>
      <w:r w:rsidRPr="00093C6D">
        <w:rPr>
          <w:b/>
          <w:color w:val="800000"/>
          <w:lang w:val="en-US"/>
        </w:rPr>
        <w:t>not</w:t>
      </w:r>
      <w:r w:rsidRPr="00A342CD">
        <w:rPr>
          <w:lang w:val="en-US"/>
        </w:rPr>
        <w:t xml:space="preserve"> be enforceable against an innocent purchaser of the land who bought without notice from the registered owner who had previously made the unregistered instrument. In equity, the </w:t>
      </w:r>
      <w:r w:rsidRPr="00A342CD">
        <w:rPr>
          <w:b/>
          <w:i/>
          <w:color w:val="800000"/>
          <w:lang w:val="en-US"/>
        </w:rPr>
        <w:t>bona fide</w:t>
      </w:r>
      <w:r w:rsidRPr="00A342CD">
        <w:rPr>
          <w:b/>
          <w:color w:val="800000"/>
          <w:lang w:val="en-US"/>
        </w:rPr>
        <w:t xml:space="preserve"> purchaser for value without notice takes free of prior equitable interests</w:t>
      </w:r>
      <w:r w:rsidRPr="00A342CD">
        <w:rPr>
          <w:lang w:val="en-US"/>
        </w:rPr>
        <w:t xml:space="preserve">.  Registration is usually critical under Torrens, because priorities of interests in land are determined by the chronological order of registration of instruments rather than by their order of creation. Unregistered interests are equitable, under Torrens. </w:t>
      </w:r>
    </w:p>
    <w:p w:rsidR="0053195E" w:rsidRDefault="0053195E" w:rsidP="0053195E">
      <w:pPr>
        <w:rPr>
          <w:lang w:val="en-US"/>
        </w:rPr>
      </w:pPr>
    </w:p>
    <w:p w:rsidR="0053195E" w:rsidRPr="009D31D8" w:rsidRDefault="0053195E" w:rsidP="00C85431">
      <w:pPr>
        <w:pStyle w:val="Heading2"/>
        <w:rPr>
          <w:b w:val="0"/>
          <w:lang w:val="en-US"/>
        </w:rPr>
      </w:pPr>
      <w:bookmarkStart w:id="50" w:name="_Toc259911038"/>
      <w:r w:rsidRPr="00C86ECC">
        <w:rPr>
          <w:lang w:val="en-US"/>
        </w:rPr>
        <w:t>Judgements</w:t>
      </w:r>
      <w:r w:rsidR="009D31D8">
        <w:rPr>
          <w:lang w:val="en-US"/>
        </w:rPr>
        <w:t xml:space="preserve"> – </w:t>
      </w:r>
      <w:r w:rsidR="009D31D8">
        <w:rPr>
          <w:b w:val="0"/>
          <w:lang w:val="en-US"/>
        </w:rPr>
        <w:t>judgments are “subject to the equities” [rank after prior unregistered interests]</w:t>
      </w:r>
      <w:r w:rsidR="00501CDF">
        <w:rPr>
          <w:b w:val="0"/>
          <w:lang w:val="en-US"/>
        </w:rPr>
        <w:t xml:space="preserve">, subject to </w:t>
      </w:r>
      <w:r w:rsidR="00501CDF" w:rsidRPr="00501CDF">
        <w:rPr>
          <w:b w:val="0"/>
          <w:i/>
          <w:lang w:val="en-US"/>
        </w:rPr>
        <w:t>nemo dat</w:t>
      </w:r>
      <w:bookmarkEnd w:id="50"/>
    </w:p>
    <w:p w:rsidR="0053195E" w:rsidRDefault="0053195E" w:rsidP="0053195E">
      <w:pPr>
        <w:rPr>
          <w:lang w:val="en-US"/>
        </w:rPr>
      </w:pPr>
    </w:p>
    <w:p w:rsidR="00A342CD" w:rsidRPr="00A342CD" w:rsidRDefault="00A342CD" w:rsidP="00A342CD">
      <w:pPr>
        <w:rPr>
          <w:lang w:val="en-US"/>
        </w:rPr>
      </w:pPr>
      <w:r w:rsidRPr="00A342CD">
        <w:rPr>
          <w:lang w:val="en-US"/>
        </w:rPr>
        <w:t xml:space="preserve">Judgment creditors do not have the same status as purchasers, because on registration against the debtor’s land, they rank </w:t>
      </w:r>
      <w:r w:rsidRPr="00A342CD">
        <w:rPr>
          <w:b/>
          <w:color w:val="800000"/>
          <w:lang w:val="en-US"/>
        </w:rPr>
        <w:t>after prior unregistered interests in the same land</w:t>
      </w:r>
      <w:r w:rsidRPr="00A342CD">
        <w:rPr>
          <w:lang w:val="en-US"/>
        </w:rPr>
        <w:t xml:space="preserve">. Personal equities in an unregistered instrument bind not only the initial maker of the instrument but also the judgment creditor of the maker, and the status of the judgment creditor is described as </w:t>
      </w:r>
      <w:r w:rsidRPr="00A342CD">
        <w:rPr>
          <w:b/>
          <w:color w:val="800000"/>
          <w:lang w:val="en-US"/>
        </w:rPr>
        <w:t>“subject to the equities”</w:t>
      </w:r>
      <w:r w:rsidRPr="00A342CD">
        <w:rPr>
          <w:lang w:val="en-US"/>
        </w:rPr>
        <w:t xml:space="preserve"> i.e., as being encumbered with the previous obligation.  The registration and enforcement of money judgments is an example of taking “</w:t>
      </w:r>
      <w:r w:rsidRPr="00CF4F25">
        <w:rPr>
          <w:b/>
          <w:color w:val="800000"/>
          <w:lang w:val="en-US"/>
        </w:rPr>
        <w:t>subject to the equities</w:t>
      </w:r>
      <w:r w:rsidRPr="00A342CD">
        <w:rPr>
          <w:lang w:val="en-US"/>
        </w:rPr>
        <w:t>.”</w:t>
      </w:r>
    </w:p>
    <w:p w:rsidR="00CF4F25" w:rsidRDefault="00CF4F25" w:rsidP="0053195E">
      <w:pPr>
        <w:rPr>
          <w:lang w:val="en-US"/>
        </w:rPr>
      </w:pPr>
    </w:p>
    <w:p w:rsidR="00CF4F25" w:rsidRDefault="00CF4F25" w:rsidP="0053195E">
      <w:pPr>
        <w:rPr>
          <w:lang w:val="en-US"/>
        </w:rPr>
      </w:pPr>
      <w:r>
        <w:rPr>
          <w:lang w:val="en-US"/>
        </w:rPr>
        <w:t xml:space="preserve">The registration of a judgment does not create or divest any interest in the land to the creditor. It only serves as constructive notice to the world of the encumbrance of the judgment on the debtor’s interest. The registration of a judgment allows the creditor, following the filing of a CPL, to apply for a court ordered sale or other remedy. </w:t>
      </w:r>
      <w:r w:rsidRPr="00CF4F25">
        <w:rPr>
          <w:lang w:val="en-US"/>
        </w:rPr>
        <w:t xml:space="preserve">The </w:t>
      </w:r>
      <w:r w:rsidRPr="00CF4F25">
        <w:rPr>
          <w:b/>
          <w:color w:val="800000"/>
          <w:lang w:val="en-US"/>
        </w:rPr>
        <w:t>nemo dat principle</w:t>
      </w:r>
      <w:r w:rsidRPr="00CF4F25">
        <w:rPr>
          <w:lang w:val="en-US"/>
        </w:rPr>
        <w:t>, which applies to all execution remedies, says the judgment creditor can only seize and sell the debtor’s interest in the assets, at the time of seizure and sale under the execution remedy.</w:t>
      </w:r>
    </w:p>
    <w:p w:rsidR="00CF4F25" w:rsidRDefault="00CF4F25" w:rsidP="0053195E">
      <w:pPr>
        <w:rPr>
          <w:lang w:val="en-US"/>
        </w:rPr>
      </w:pPr>
    </w:p>
    <w:p w:rsidR="00CF4F25" w:rsidRDefault="00CF4F25" w:rsidP="0053195E">
      <w:pPr>
        <w:rPr>
          <w:lang w:val="en-US"/>
        </w:rPr>
      </w:pPr>
      <w:r w:rsidRPr="00CF4F25">
        <w:rPr>
          <w:b/>
          <w:color w:val="800000"/>
          <w:lang w:val="en-US"/>
        </w:rPr>
        <w:t>Subsequently created or registered interests rank after the registered judgment</w:t>
      </w:r>
      <w:r w:rsidRPr="00CF4F25">
        <w:rPr>
          <w:lang w:val="en-US"/>
        </w:rPr>
        <w:t xml:space="preserve">, which gives effect to registration of the judgment, according to the Torrens system. Common law nemo dat applies to prevent registration of a money judgment from cutting off previously created but unregistered interests in the debtor’s land.  Prior unregistered interests created against the debtor’s land are not extinguished by registration of the judgment, and rank ahead of it despite the possible application of </w:t>
      </w:r>
      <w:r w:rsidRPr="00CF4F25">
        <w:rPr>
          <w:color w:val="1F497D" w:themeColor="text2"/>
          <w:lang w:val="en-US"/>
        </w:rPr>
        <w:t>s. 28</w:t>
      </w:r>
      <w:r w:rsidRPr="00CF4F25">
        <w:rPr>
          <w:lang w:val="en-US"/>
        </w:rPr>
        <w:t xml:space="preserve">, and as codified in </w:t>
      </w:r>
      <w:r w:rsidRPr="00CF4F25">
        <w:rPr>
          <w:color w:val="1F497D" w:themeColor="text2"/>
          <w:lang w:val="en-US"/>
        </w:rPr>
        <w:t xml:space="preserve">the </w:t>
      </w:r>
      <w:r w:rsidR="000F6C4C">
        <w:rPr>
          <w:color w:val="1F497D" w:themeColor="text2"/>
          <w:lang w:val="en-US"/>
        </w:rPr>
        <w:t>Court Order Enforcement Act</w:t>
      </w:r>
      <w:r w:rsidRPr="00CF4F25">
        <w:rPr>
          <w:color w:val="1F497D" w:themeColor="text2"/>
          <w:lang w:val="en-US"/>
        </w:rPr>
        <w:t xml:space="preserve"> s. 86(3</w:t>
      </w:r>
      <w:r w:rsidRPr="00CF4F25">
        <w:rPr>
          <w:lang w:val="en-US"/>
        </w:rPr>
        <w:t>), enacted in the 1970’s [p. 7-010].</w:t>
      </w:r>
    </w:p>
    <w:p w:rsidR="00CF4F25" w:rsidRDefault="00CF4F25" w:rsidP="0053195E">
      <w:pPr>
        <w:rPr>
          <w:lang w:val="en-US"/>
        </w:rPr>
      </w:pPr>
    </w:p>
    <w:p w:rsidR="000F6C4C" w:rsidRDefault="00CF4F25" w:rsidP="0053195E">
      <w:pPr>
        <w:pBdr>
          <w:bottom w:val="single" w:sz="12" w:space="1" w:color="auto"/>
        </w:pBdr>
        <w:rPr>
          <w:color w:val="1F497D" w:themeColor="text2"/>
          <w:lang w:val="en-US"/>
        </w:rPr>
      </w:pPr>
      <w:r>
        <w:rPr>
          <w:lang w:val="en-US"/>
        </w:rPr>
        <w:t xml:space="preserve">The development of the law is traced in the decision of </w:t>
      </w:r>
      <w:r w:rsidRPr="00CF4F25">
        <w:rPr>
          <w:i/>
          <w:color w:val="1F497D" w:themeColor="text2"/>
          <w:lang w:val="en-US"/>
        </w:rPr>
        <w:t>Yeulet v Matthews</w:t>
      </w:r>
      <w:r>
        <w:rPr>
          <w:i/>
          <w:color w:val="1F497D" w:themeColor="text2"/>
          <w:lang w:val="en-US"/>
        </w:rPr>
        <w:t xml:space="preserve"> </w:t>
      </w:r>
      <w:r w:rsidRPr="00CF4F25">
        <w:rPr>
          <w:lang w:val="en-US"/>
        </w:rPr>
        <w:t>[p. 7-004].</w:t>
      </w:r>
    </w:p>
    <w:p w:rsidR="000F6C4C" w:rsidRPr="003A60FA" w:rsidRDefault="000F6C4C" w:rsidP="003A60FA">
      <w:pPr>
        <w:pStyle w:val="Heading3"/>
        <w:rPr>
          <w:b w:val="0"/>
          <w:lang w:val="en-US"/>
        </w:rPr>
      </w:pPr>
      <w:bookmarkStart w:id="51" w:name="_Toc259911039"/>
      <w:r w:rsidRPr="000F6C4C">
        <w:rPr>
          <w:highlight w:val="yellow"/>
          <w:lang w:val="en-US"/>
        </w:rPr>
        <w:t>YEULET v MATTHEWS [1982]</w:t>
      </w:r>
      <w:r w:rsidR="005B63F8">
        <w:rPr>
          <w:lang w:val="en-US"/>
        </w:rPr>
        <w:t xml:space="preserve">: </w:t>
      </w:r>
      <w:r w:rsidR="005B63F8" w:rsidRPr="003A60FA">
        <w:rPr>
          <w:b w:val="0"/>
          <w:lang w:val="en-US"/>
        </w:rPr>
        <w:t>judgment creditors are subject to the equities [prior unregistered interests]</w:t>
      </w:r>
      <w:bookmarkEnd w:id="51"/>
    </w:p>
    <w:p w:rsidR="000F6C4C" w:rsidRDefault="000F6C4C" w:rsidP="003A60FA">
      <w:pPr>
        <w:pStyle w:val="Heading3"/>
        <w:rPr>
          <w:lang w:val="en-US"/>
        </w:rPr>
      </w:pPr>
    </w:p>
    <w:p w:rsidR="00CF4F25" w:rsidRPr="000F6C4C" w:rsidRDefault="000F6C4C" w:rsidP="0053195E">
      <w:pPr>
        <w:rPr>
          <w:lang w:val="en-US"/>
        </w:rPr>
      </w:pPr>
      <w:r>
        <w:rPr>
          <w:lang w:val="en-US"/>
        </w:rPr>
        <w:t>FACTS:</w:t>
      </w:r>
    </w:p>
    <w:p w:rsidR="000F6C4C" w:rsidRDefault="000F6C4C" w:rsidP="0053195E">
      <w:pPr>
        <w:rPr>
          <w:lang w:val="en-US"/>
        </w:rPr>
      </w:pPr>
    </w:p>
    <w:p w:rsidR="000F6C4C" w:rsidRDefault="000F6C4C" w:rsidP="0053195E">
      <w:pPr>
        <w:rPr>
          <w:lang w:val="en-US"/>
        </w:rPr>
      </w:pPr>
      <w:r>
        <w:rPr>
          <w:lang w:val="en-US"/>
        </w:rPr>
        <w:t xml:space="preserve">Mrs. Matthews was the equitable mortgagee (by deposit of duplicate certificate of title) of her son’s property. Later, Yeulet got a monetary judgment against her son, which they registered. </w:t>
      </w:r>
    </w:p>
    <w:p w:rsidR="000F6C4C" w:rsidRDefault="000F6C4C" w:rsidP="0053195E">
      <w:pPr>
        <w:rPr>
          <w:lang w:val="en-US"/>
        </w:rPr>
      </w:pPr>
    </w:p>
    <w:p w:rsidR="000F6C4C" w:rsidRDefault="000F6C4C" w:rsidP="0053195E">
      <w:pPr>
        <w:rPr>
          <w:lang w:val="en-US"/>
        </w:rPr>
      </w:pPr>
      <w:r>
        <w:rPr>
          <w:lang w:val="en-US"/>
        </w:rPr>
        <w:t>ISSUE:</w:t>
      </w:r>
    </w:p>
    <w:p w:rsidR="000F6C4C" w:rsidRDefault="000F6C4C" w:rsidP="0053195E">
      <w:pPr>
        <w:rPr>
          <w:lang w:val="en-US"/>
        </w:rPr>
      </w:pPr>
    </w:p>
    <w:p w:rsidR="000F6C4C" w:rsidRDefault="000F6C4C" w:rsidP="0053195E">
      <w:pPr>
        <w:rPr>
          <w:lang w:val="en-US"/>
        </w:rPr>
      </w:pPr>
      <w:r>
        <w:rPr>
          <w:lang w:val="en-US"/>
        </w:rPr>
        <w:t>Who has priority? Does it matter that the equitable mortgage is unregistrable?</w:t>
      </w:r>
    </w:p>
    <w:p w:rsidR="000F6C4C" w:rsidRDefault="000F6C4C" w:rsidP="0053195E">
      <w:pPr>
        <w:rPr>
          <w:lang w:val="en-US"/>
        </w:rPr>
      </w:pPr>
    </w:p>
    <w:p w:rsidR="000F6C4C" w:rsidRDefault="000F6C4C" w:rsidP="0053195E">
      <w:pPr>
        <w:rPr>
          <w:lang w:val="en-US"/>
        </w:rPr>
      </w:pPr>
      <w:r>
        <w:rPr>
          <w:lang w:val="en-US"/>
        </w:rPr>
        <w:t>HELD:</w:t>
      </w:r>
    </w:p>
    <w:p w:rsidR="000F6C4C" w:rsidRDefault="000F6C4C" w:rsidP="0053195E">
      <w:pPr>
        <w:rPr>
          <w:lang w:val="en-US"/>
        </w:rPr>
      </w:pPr>
    </w:p>
    <w:p w:rsidR="000F6C4C" w:rsidRDefault="000F6C4C" w:rsidP="0053195E">
      <w:pPr>
        <w:rPr>
          <w:lang w:val="en-US"/>
        </w:rPr>
      </w:pPr>
      <w:r>
        <w:rPr>
          <w:lang w:val="en-US"/>
        </w:rPr>
        <w:t>Mrs. Matthews has priority</w:t>
      </w:r>
    </w:p>
    <w:p w:rsidR="000F6C4C" w:rsidRDefault="000F6C4C" w:rsidP="0053195E">
      <w:pPr>
        <w:rPr>
          <w:lang w:val="en-US"/>
        </w:rPr>
      </w:pPr>
    </w:p>
    <w:p w:rsidR="000F6C4C" w:rsidRDefault="000F6C4C" w:rsidP="0053195E">
      <w:pPr>
        <w:rPr>
          <w:lang w:val="en-US"/>
        </w:rPr>
      </w:pPr>
      <w:r>
        <w:rPr>
          <w:lang w:val="en-US"/>
        </w:rPr>
        <w:t>RATIO:</w:t>
      </w:r>
    </w:p>
    <w:p w:rsidR="000F6C4C" w:rsidRDefault="000F6C4C" w:rsidP="0053195E">
      <w:pPr>
        <w:rPr>
          <w:lang w:val="en-US"/>
        </w:rPr>
      </w:pPr>
    </w:p>
    <w:p w:rsidR="000F6C4C" w:rsidRDefault="000F6C4C" w:rsidP="0053195E">
      <w:pPr>
        <w:rPr>
          <w:lang w:val="en-US"/>
        </w:rPr>
      </w:pPr>
      <w:r>
        <w:rPr>
          <w:lang w:val="en-US"/>
        </w:rPr>
        <w:t xml:space="preserve">Judgment creditors are “subject to the equities”, because of </w:t>
      </w:r>
      <w:r>
        <w:rPr>
          <w:i/>
          <w:lang w:val="en-US"/>
        </w:rPr>
        <w:t>nemo dat</w:t>
      </w:r>
      <w:r>
        <w:rPr>
          <w:lang w:val="en-US"/>
        </w:rPr>
        <w:t xml:space="preserve"> they can only collect after all prior unregistered and registered interests have been satisfied. The relevant date for prior interests is the date of execution.</w:t>
      </w:r>
    </w:p>
    <w:p w:rsidR="000F6C4C" w:rsidRDefault="000F6C4C" w:rsidP="0053195E">
      <w:pPr>
        <w:pBdr>
          <w:bottom w:val="single" w:sz="12" w:space="1" w:color="auto"/>
        </w:pBdr>
        <w:rPr>
          <w:lang w:val="en-US"/>
        </w:rPr>
      </w:pPr>
    </w:p>
    <w:p w:rsidR="000F6C4C" w:rsidRDefault="000F6C4C" w:rsidP="0053195E">
      <w:pPr>
        <w:rPr>
          <w:lang w:val="en-US"/>
        </w:rPr>
      </w:pPr>
    </w:p>
    <w:p w:rsidR="000F6C4C" w:rsidRPr="00C86ECC" w:rsidRDefault="000F6C4C" w:rsidP="006F69FB">
      <w:pPr>
        <w:pStyle w:val="Heading2"/>
        <w:rPr>
          <w:lang w:val="en-US"/>
        </w:rPr>
      </w:pPr>
      <w:bookmarkStart w:id="52" w:name="_Toc259911040"/>
      <w:r w:rsidRPr="006F69FB">
        <w:rPr>
          <w:color w:val="1F497D" w:themeColor="text2"/>
          <w:lang w:val="en-US"/>
        </w:rPr>
        <w:t>Court Order Enforcement Act</w:t>
      </w:r>
      <w:r w:rsidRPr="00C86ECC">
        <w:rPr>
          <w:lang w:val="en-US"/>
        </w:rPr>
        <w:t xml:space="preserve"> </w:t>
      </w:r>
      <w:r w:rsidR="006F69FB">
        <w:rPr>
          <w:lang w:val="en-US"/>
        </w:rPr>
        <w:t>– codification of Yeulet.</w:t>
      </w:r>
      <w:bookmarkEnd w:id="52"/>
    </w:p>
    <w:p w:rsidR="000F6C4C" w:rsidRDefault="000F6C4C" w:rsidP="0053195E">
      <w:pPr>
        <w:rPr>
          <w:lang w:val="en-US"/>
        </w:rPr>
      </w:pPr>
    </w:p>
    <w:p w:rsidR="000F6C4C" w:rsidRPr="000F6C4C" w:rsidRDefault="000F6C4C" w:rsidP="0053195E">
      <w:pPr>
        <w:rPr>
          <w:color w:val="1F497D" w:themeColor="text2"/>
          <w:lang w:val="en-US"/>
        </w:rPr>
      </w:pPr>
      <w:r w:rsidRPr="000F6C4C">
        <w:rPr>
          <w:color w:val="1F497D" w:themeColor="text2"/>
          <w:lang w:val="en-US"/>
        </w:rPr>
        <w:t>Section 86</w:t>
      </w:r>
    </w:p>
    <w:p w:rsidR="000F6C4C" w:rsidRDefault="000F6C4C" w:rsidP="0053195E">
      <w:pPr>
        <w:rPr>
          <w:lang w:val="en-US"/>
        </w:rPr>
      </w:pPr>
    </w:p>
    <w:p w:rsidR="000F6C4C" w:rsidRPr="000F6C4C" w:rsidRDefault="000F6C4C" w:rsidP="000F6C4C">
      <w:pPr>
        <w:pStyle w:val="ListParagraph"/>
        <w:numPr>
          <w:ilvl w:val="0"/>
          <w:numId w:val="28"/>
        </w:numPr>
        <w:rPr>
          <w:lang w:val="en-US"/>
        </w:rPr>
      </w:pPr>
      <w:r w:rsidRPr="000F6C4C">
        <w:rPr>
          <w:lang w:val="en-US"/>
        </w:rPr>
        <w:t xml:space="preserve">From the time of its registration the judgment forms a lien and charge on the land of the judgment debtor specified in </w:t>
      </w:r>
      <w:r w:rsidR="00DF0482">
        <w:rPr>
          <w:lang w:val="en-US"/>
        </w:rPr>
        <w:t xml:space="preserve">the application referred to in </w:t>
      </w:r>
      <w:r w:rsidR="00DF0482" w:rsidRPr="00DF0482">
        <w:rPr>
          <w:color w:val="1F497D" w:themeColor="text2"/>
          <w:lang w:val="en-US"/>
        </w:rPr>
        <w:t>S</w:t>
      </w:r>
      <w:r w:rsidRPr="00DF0482">
        <w:rPr>
          <w:color w:val="1F497D" w:themeColor="text2"/>
          <w:lang w:val="en-US"/>
        </w:rPr>
        <w:t>ection 88</w:t>
      </w:r>
      <w:r w:rsidRPr="000F6C4C">
        <w:rPr>
          <w:lang w:val="en-US"/>
        </w:rPr>
        <w:t xml:space="preserve"> in the same manner as if charged in writing by the judgment debtor under his or her signature and seal,</w:t>
      </w:r>
    </w:p>
    <w:p w:rsidR="000F6C4C" w:rsidRDefault="000F6C4C" w:rsidP="000F6C4C">
      <w:pPr>
        <w:pStyle w:val="ListParagraph"/>
        <w:numPr>
          <w:ilvl w:val="1"/>
          <w:numId w:val="28"/>
        </w:numPr>
        <w:rPr>
          <w:lang w:val="en-US"/>
        </w:rPr>
      </w:pPr>
      <w:r w:rsidRPr="00DF0482">
        <w:rPr>
          <w:b/>
          <w:color w:val="800000"/>
          <w:lang w:val="en-US"/>
        </w:rPr>
        <w:t>To the extent of his or her beneficial interest in the land</w:t>
      </w:r>
      <w:r>
        <w:rPr>
          <w:lang w:val="en-US"/>
        </w:rPr>
        <w:t>,</w:t>
      </w:r>
      <w:r w:rsidR="00DF0482">
        <w:rPr>
          <w:lang w:val="en-US"/>
        </w:rPr>
        <w:t xml:space="preserve"> [nemo dat]</w:t>
      </w:r>
    </w:p>
    <w:p w:rsidR="000F6C4C" w:rsidRDefault="000F6C4C" w:rsidP="000F6C4C">
      <w:pPr>
        <w:pStyle w:val="ListParagraph"/>
        <w:numPr>
          <w:ilvl w:val="1"/>
          <w:numId w:val="28"/>
        </w:numPr>
        <w:rPr>
          <w:lang w:val="en-US"/>
        </w:rPr>
      </w:pPr>
      <w:r>
        <w:rPr>
          <w:lang w:val="en-US"/>
        </w:rPr>
        <w:t>If an owner is registered as a personal representative or trustee, to the extent of the interest of a beneficiary who is a judgment debtor, and</w:t>
      </w:r>
    </w:p>
    <w:p w:rsidR="000F6C4C" w:rsidRPr="000F6C4C" w:rsidRDefault="000F6C4C" w:rsidP="000F6C4C">
      <w:pPr>
        <w:pStyle w:val="ListParagraph"/>
        <w:numPr>
          <w:ilvl w:val="1"/>
          <w:numId w:val="28"/>
        </w:numPr>
        <w:rPr>
          <w:lang w:val="en-US"/>
        </w:rPr>
      </w:pPr>
      <w:r>
        <w:rPr>
          <w:lang w:val="en-US"/>
        </w:rPr>
        <w:t xml:space="preserve">Subject to the </w:t>
      </w:r>
      <w:r w:rsidRPr="00DF0482">
        <w:rPr>
          <w:color w:val="800000"/>
          <w:lang w:val="en-US"/>
        </w:rPr>
        <w:t>rights of a purchaser</w:t>
      </w:r>
      <w:r>
        <w:rPr>
          <w:lang w:val="en-US"/>
        </w:rPr>
        <w:t xml:space="preserve"> who, </w:t>
      </w:r>
      <w:r w:rsidRPr="00DF0482">
        <w:rPr>
          <w:b/>
          <w:color w:val="800000"/>
          <w:lang w:val="en-US"/>
        </w:rPr>
        <w:t>before the registration of the judgment</w:t>
      </w:r>
      <w:r>
        <w:rPr>
          <w:lang w:val="en-US"/>
        </w:rPr>
        <w:t xml:space="preserve">, has acquired an </w:t>
      </w:r>
      <w:r w:rsidRPr="00DF0482">
        <w:rPr>
          <w:color w:val="800000"/>
          <w:lang w:val="en-US"/>
        </w:rPr>
        <w:t>interest in the land in good faith and for valuable consideration</w:t>
      </w:r>
      <w:r>
        <w:rPr>
          <w:lang w:val="en-US"/>
        </w:rPr>
        <w:t xml:space="preserve"> under an instrument not registered at the time of the registration of the judgment.</w:t>
      </w:r>
    </w:p>
    <w:p w:rsidR="00DF0482" w:rsidRDefault="00DF0482" w:rsidP="0053195E">
      <w:pPr>
        <w:rPr>
          <w:lang w:val="en-US"/>
        </w:rPr>
      </w:pPr>
    </w:p>
    <w:p w:rsidR="000F6C4C" w:rsidRDefault="000F6C4C" w:rsidP="0053195E">
      <w:pPr>
        <w:rPr>
          <w:lang w:val="en-US"/>
        </w:rPr>
      </w:pPr>
    </w:p>
    <w:p w:rsidR="005B63C0" w:rsidRDefault="00DF0482" w:rsidP="0053195E">
      <w:pPr>
        <w:rPr>
          <w:lang w:val="en-US"/>
        </w:rPr>
      </w:pPr>
      <w:r>
        <w:rPr>
          <w:lang w:val="en-US"/>
        </w:rPr>
        <w:t xml:space="preserve">In </w:t>
      </w:r>
      <w:r w:rsidRPr="005B63C0">
        <w:rPr>
          <w:i/>
          <w:color w:val="1F497D" w:themeColor="text2"/>
          <w:lang w:val="en-US"/>
        </w:rPr>
        <w:t>Martin Commercial Fueling</w:t>
      </w:r>
      <w:r w:rsidRPr="005B63C0">
        <w:rPr>
          <w:color w:val="1F497D" w:themeColor="text2"/>
          <w:lang w:val="en-US"/>
        </w:rPr>
        <w:t xml:space="preserve"> </w:t>
      </w:r>
      <w:r w:rsidRPr="005B63C0">
        <w:rPr>
          <w:i/>
          <w:color w:val="1F497D" w:themeColor="text2"/>
          <w:lang w:val="en-US"/>
        </w:rPr>
        <w:t>v Virtamen</w:t>
      </w:r>
      <w:r>
        <w:rPr>
          <w:lang w:val="en-US"/>
        </w:rPr>
        <w:t xml:space="preserve"> </w:t>
      </w:r>
      <w:r w:rsidR="005B63C0">
        <w:rPr>
          <w:lang w:val="en-US"/>
        </w:rPr>
        <w:t xml:space="preserve">the Court found that a transfer took priority over a registered </w:t>
      </w:r>
      <w:r w:rsidR="00605EFD">
        <w:rPr>
          <w:lang w:val="en-US"/>
        </w:rPr>
        <w:t>judgment</w:t>
      </w:r>
      <w:r w:rsidR="005B63C0">
        <w:rPr>
          <w:lang w:val="en-US"/>
        </w:rPr>
        <w:t xml:space="preserve"> even though the transfer’s closing and its registration were subsequent to the registration of the judgment. </w:t>
      </w:r>
      <w:r w:rsidR="005B63C0" w:rsidRPr="005B63C0">
        <w:rPr>
          <w:color w:val="800000"/>
          <w:lang w:val="en-US"/>
        </w:rPr>
        <w:t>The relevant time is the agreement of purchase and sale</w:t>
      </w:r>
      <w:r w:rsidR="005B63C0">
        <w:rPr>
          <w:lang w:val="en-US"/>
        </w:rPr>
        <w:t>.</w:t>
      </w:r>
    </w:p>
    <w:p w:rsidR="005B63C0" w:rsidRDefault="005B63C0" w:rsidP="0053195E">
      <w:pPr>
        <w:rPr>
          <w:lang w:val="en-US"/>
        </w:rPr>
      </w:pPr>
    </w:p>
    <w:p w:rsidR="005B63C0" w:rsidRPr="00C86ECC" w:rsidRDefault="005B63C0" w:rsidP="006F69FB">
      <w:pPr>
        <w:pStyle w:val="Heading2"/>
        <w:rPr>
          <w:lang w:val="en-US"/>
        </w:rPr>
      </w:pPr>
      <w:bookmarkStart w:id="53" w:name="_Toc259911041"/>
      <w:r w:rsidRPr="00C86ECC">
        <w:rPr>
          <w:lang w:val="en-US"/>
        </w:rPr>
        <w:t>Other Agreements</w:t>
      </w:r>
      <w:r w:rsidR="00605EFD">
        <w:rPr>
          <w:lang w:val="en-US"/>
        </w:rPr>
        <w:t xml:space="preserve"> </w:t>
      </w:r>
      <w:r w:rsidR="00FA207F">
        <w:rPr>
          <w:lang w:val="en-US"/>
        </w:rPr>
        <w:t>–</w:t>
      </w:r>
      <w:r w:rsidR="00605EFD">
        <w:rPr>
          <w:lang w:val="en-US"/>
        </w:rPr>
        <w:t xml:space="preserve"> </w:t>
      </w:r>
      <w:r w:rsidR="00FA207F" w:rsidRPr="00FA207F">
        <w:rPr>
          <w:b w:val="0"/>
          <w:lang w:val="en-US"/>
        </w:rPr>
        <w:t>in personam rights can be given through contract</w:t>
      </w:r>
      <w:r w:rsidR="00FA207F">
        <w:rPr>
          <w:lang w:val="en-US"/>
        </w:rPr>
        <w:t>.</w:t>
      </w:r>
      <w:bookmarkEnd w:id="53"/>
    </w:p>
    <w:p w:rsidR="005B63C0" w:rsidRDefault="005B63C0" w:rsidP="005B63C0">
      <w:pPr>
        <w:rPr>
          <w:lang w:val="en-US"/>
        </w:rPr>
      </w:pPr>
    </w:p>
    <w:p w:rsidR="005B63C0" w:rsidRDefault="005B63C0" w:rsidP="005B63C0">
      <w:pPr>
        <w:rPr>
          <w:lang w:val="en-US"/>
        </w:rPr>
      </w:pPr>
      <w:r w:rsidRPr="005B63C0">
        <w:rPr>
          <w:color w:val="1F497D" w:themeColor="text2"/>
          <w:lang w:val="en-US"/>
        </w:rPr>
        <w:t>Section 20(1)</w:t>
      </w:r>
      <w:r w:rsidRPr="005B63C0">
        <w:rPr>
          <w:lang w:val="en-US"/>
        </w:rPr>
        <w:t xml:space="preserve"> says that an unregistered instrument is ineffective to pass any estate or interest in land, either at law or in equity, until registered. Nevertheless, </w:t>
      </w:r>
      <w:r w:rsidRPr="005B63C0">
        <w:rPr>
          <w:color w:val="1F497D" w:themeColor="text2"/>
          <w:lang w:val="en-US"/>
        </w:rPr>
        <w:t>s. 20(1)</w:t>
      </w:r>
      <w:r w:rsidRPr="005B63C0">
        <w:rPr>
          <w:lang w:val="en-US"/>
        </w:rPr>
        <w:t xml:space="preserve"> also says obligations contained in an unregistered instrument are personally binding on the initial parties </w:t>
      </w:r>
      <w:r w:rsidRPr="005B63C0">
        <w:rPr>
          <w:b/>
          <w:color w:val="800000"/>
          <w:lang w:val="en-US"/>
        </w:rPr>
        <w:t>(“except as against the person making it”</w:t>
      </w:r>
      <w:r w:rsidRPr="005B63C0">
        <w:rPr>
          <w:lang w:val="en-US"/>
        </w:rPr>
        <w:t xml:space="preserve">) despite lack of registration on title. If a registered owner enters into a contract containing personal obligations concerning the land, </w:t>
      </w:r>
      <w:r w:rsidRPr="005B63C0">
        <w:rPr>
          <w:b/>
          <w:color w:val="800000"/>
          <w:lang w:val="en-US"/>
        </w:rPr>
        <w:t>the court can enforce the personal obligations</w:t>
      </w:r>
      <w:r w:rsidRPr="005B63C0">
        <w:rPr>
          <w:lang w:val="en-US"/>
        </w:rPr>
        <w:t xml:space="preserve">.  Without violating the letter of </w:t>
      </w:r>
      <w:r w:rsidRPr="005B63C0">
        <w:rPr>
          <w:color w:val="1F497D" w:themeColor="text2"/>
          <w:lang w:val="en-US"/>
        </w:rPr>
        <w:t>s. 20(1),</w:t>
      </w:r>
      <w:r w:rsidRPr="005B63C0">
        <w:rPr>
          <w:lang w:val="en-US"/>
        </w:rPr>
        <w:t xml:space="preserve"> courts can compel the initial parties to a contract to abide by their bargains on a personal level, even though the obligations concern a party’s land and the instrument containing the contractual terms is not registered.  </w:t>
      </w:r>
      <w:r w:rsidRPr="005B63C0">
        <w:rPr>
          <w:color w:val="1F497D" w:themeColor="text2"/>
          <w:lang w:val="en-US"/>
        </w:rPr>
        <w:t>Section 20(1)</w:t>
      </w:r>
      <w:r w:rsidRPr="005B63C0">
        <w:rPr>
          <w:lang w:val="en-US"/>
        </w:rPr>
        <w:t xml:space="preserve"> prohibits an unregistered instrument from directly affecting registered title, but allows personal enforcement against the registered fee simple holder, in their personal capacity as a party to the contract. </w:t>
      </w:r>
      <w:r w:rsidRPr="005B63C0">
        <w:rPr>
          <w:b/>
          <w:color w:val="800000"/>
          <w:lang w:val="en-US"/>
        </w:rPr>
        <w:t>Personal enforcement can have the indirect consequence of affecting the land</w:t>
      </w:r>
      <w:r w:rsidRPr="005B63C0">
        <w:rPr>
          <w:lang w:val="en-US"/>
        </w:rPr>
        <w:t xml:space="preserve">.  </w:t>
      </w:r>
    </w:p>
    <w:p w:rsidR="005B63C0" w:rsidRDefault="005B63C0" w:rsidP="005B63C0">
      <w:pPr>
        <w:rPr>
          <w:lang w:val="en-US"/>
        </w:rPr>
      </w:pPr>
    </w:p>
    <w:p w:rsidR="005B63C0" w:rsidRPr="005B63C0" w:rsidRDefault="005B63C0" w:rsidP="005B63C0">
      <w:pPr>
        <w:rPr>
          <w:lang w:val="en-US"/>
        </w:rPr>
      </w:pPr>
      <w:r w:rsidRPr="005B63C0">
        <w:rPr>
          <w:lang w:val="en-US"/>
        </w:rPr>
        <w:t>If the initial party sells their unregistered contractual rights against the registered owner to a purchaser, the purchaser of the contractual rights, as assignee of the contract, can exercise the same personal right of enforcement against the other initial party, the registered owner, without violating the Torrens system.</w:t>
      </w:r>
    </w:p>
    <w:p w:rsidR="005B63C0" w:rsidRDefault="005B63C0" w:rsidP="005B63C0">
      <w:pPr>
        <w:pBdr>
          <w:bottom w:val="single" w:sz="12" w:space="1" w:color="auto"/>
        </w:pBdr>
        <w:rPr>
          <w:lang w:val="en-US"/>
        </w:rPr>
      </w:pPr>
    </w:p>
    <w:p w:rsidR="005B63C0" w:rsidRDefault="005B63C0" w:rsidP="005B63C0">
      <w:pPr>
        <w:rPr>
          <w:lang w:val="en-US"/>
        </w:rPr>
      </w:pPr>
    </w:p>
    <w:p w:rsidR="005B63C0" w:rsidRPr="003A60FA" w:rsidRDefault="005B63C0" w:rsidP="003A60FA">
      <w:pPr>
        <w:pStyle w:val="Heading3"/>
        <w:rPr>
          <w:b w:val="0"/>
          <w:lang w:val="en-US"/>
        </w:rPr>
      </w:pPr>
      <w:bookmarkStart w:id="54" w:name="_Toc259911042"/>
      <w:r w:rsidRPr="00C86ECC">
        <w:rPr>
          <w:highlight w:val="yellow"/>
          <w:lang w:val="en-US"/>
        </w:rPr>
        <w:t>L &amp; C LUMBER CO. LTD v LUNGDREN [1942]</w:t>
      </w:r>
      <w:r w:rsidR="00B2215F">
        <w:rPr>
          <w:lang w:val="en-US"/>
        </w:rPr>
        <w:t xml:space="preserve"> – </w:t>
      </w:r>
      <w:r w:rsidR="00B2215F" w:rsidRPr="003A60FA">
        <w:rPr>
          <w:b w:val="0"/>
          <w:lang w:val="en-US"/>
        </w:rPr>
        <w:t>unregistered interests are transferable to third parties to original agreement</w:t>
      </w:r>
      <w:bookmarkEnd w:id="54"/>
    </w:p>
    <w:p w:rsidR="005B63C0" w:rsidRDefault="005B63C0" w:rsidP="005B63C0">
      <w:pPr>
        <w:rPr>
          <w:lang w:val="en-US"/>
        </w:rPr>
      </w:pPr>
    </w:p>
    <w:p w:rsidR="00F24750" w:rsidRDefault="005B63C0" w:rsidP="005B63C0">
      <w:pPr>
        <w:rPr>
          <w:lang w:val="en-US"/>
        </w:rPr>
      </w:pPr>
      <w:r>
        <w:rPr>
          <w:lang w:val="en-US"/>
        </w:rPr>
        <w:t>FACTS:</w:t>
      </w:r>
    </w:p>
    <w:p w:rsidR="00F24750" w:rsidRDefault="00F24750" w:rsidP="005B63C0">
      <w:pPr>
        <w:rPr>
          <w:lang w:val="en-US"/>
        </w:rPr>
      </w:pPr>
    </w:p>
    <w:p w:rsidR="00F24750" w:rsidRDefault="00F24750" w:rsidP="005B63C0">
      <w:pPr>
        <w:rPr>
          <w:lang w:val="en-US"/>
        </w:rPr>
      </w:pPr>
      <w:r>
        <w:rPr>
          <w:lang w:val="en-US"/>
        </w:rPr>
        <w:t>The appellant sold timber rights (right to come and cut all the standing lumber)</w:t>
      </w:r>
      <w:r w:rsidR="00FA0F98">
        <w:rPr>
          <w:lang w:val="en-US"/>
        </w:rPr>
        <w:t>—</w:t>
      </w:r>
      <w:r w:rsidR="00FA0F98">
        <w:rPr>
          <w:i/>
          <w:lang w:val="en-US"/>
        </w:rPr>
        <w:t>profit-a-pendre</w:t>
      </w:r>
      <w:r>
        <w:rPr>
          <w:lang w:val="en-US"/>
        </w:rPr>
        <w:t xml:space="preserve"> to Mr. McDonald. He then sold that right to the respondent company, with notice to the appellant. Neither the earlier nor subsequent agreement were registered. When the respondent company tried to enter the appellant’s land they were refused entry.</w:t>
      </w:r>
    </w:p>
    <w:p w:rsidR="00F24750" w:rsidRDefault="00F24750" w:rsidP="005B63C0">
      <w:pPr>
        <w:rPr>
          <w:lang w:val="en-US"/>
        </w:rPr>
      </w:pPr>
    </w:p>
    <w:p w:rsidR="00FA0F98" w:rsidRDefault="00F24750" w:rsidP="005B63C0">
      <w:pPr>
        <w:rPr>
          <w:lang w:val="en-US"/>
        </w:rPr>
      </w:pPr>
      <w:r>
        <w:rPr>
          <w:lang w:val="en-US"/>
        </w:rPr>
        <w:t xml:space="preserve">The appellants try to rely on the </w:t>
      </w:r>
      <w:r w:rsidR="00FA0F98">
        <w:rPr>
          <w:lang w:val="en-US"/>
        </w:rPr>
        <w:t>Section 34 [now section 20] provision that unregistered interests do not create interests as except the person making it.</w:t>
      </w:r>
    </w:p>
    <w:p w:rsidR="00FA0F98" w:rsidRDefault="00FA0F98" w:rsidP="005B63C0">
      <w:pPr>
        <w:rPr>
          <w:lang w:val="en-US"/>
        </w:rPr>
      </w:pPr>
    </w:p>
    <w:p w:rsidR="00FA0F98" w:rsidRDefault="00FA0F98" w:rsidP="005B63C0">
      <w:pPr>
        <w:rPr>
          <w:lang w:val="en-US"/>
        </w:rPr>
      </w:pPr>
      <w:r>
        <w:rPr>
          <w:lang w:val="en-US"/>
        </w:rPr>
        <w:t>ISSUE:</w:t>
      </w:r>
    </w:p>
    <w:p w:rsidR="00FA0F98" w:rsidRDefault="00FA0F98" w:rsidP="005B63C0">
      <w:pPr>
        <w:rPr>
          <w:lang w:val="en-US"/>
        </w:rPr>
      </w:pPr>
    </w:p>
    <w:p w:rsidR="00FA0F98" w:rsidRDefault="00FA0F98" w:rsidP="005B63C0">
      <w:pPr>
        <w:rPr>
          <w:lang w:val="en-US"/>
        </w:rPr>
      </w:pPr>
      <w:r>
        <w:rPr>
          <w:lang w:val="en-US"/>
        </w:rPr>
        <w:t>Are the appellants subject to rights of L &amp; C Lumber bargained for from a previous unregistered interest holder?</w:t>
      </w:r>
    </w:p>
    <w:p w:rsidR="00FA0F98" w:rsidRDefault="00FA0F98" w:rsidP="005B63C0">
      <w:pPr>
        <w:rPr>
          <w:lang w:val="en-US"/>
        </w:rPr>
      </w:pPr>
    </w:p>
    <w:p w:rsidR="00FA0F98" w:rsidRDefault="00FA0F98" w:rsidP="005B63C0">
      <w:pPr>
        <w:rPr>
          <w:lang w:val="en-US"/>
        </w:rPr>
      </w:pPr>
      <w:r>
        <w:rPr>
          <w:lang w:val="en-US"/>
        </w:rPr>
        <w:t>HELD:</w:t>
      </w:r>
    </w:p>
    <w:p w:rsidR="00FA0F98" w:rsidRDefault="00FA0F98" w:rsidP="005B63C0">
      <w:pPr>
        <w:rPr>
          <w:lang w:val="en-US"/>
        </w:rPr>
      </w:pPr>
      <w:r>
        <w:rPr>
          <w:lang w:val="en-US"/>
        </w:rPr>
        <w:br/>
        <w:t>Appeal dismissed.</w:t>
      </w:r>
    </w:p>
    <w:p w:rsidR="00FA0F98" w:rsidRDefault="00FA0F98" w:rsidP="005B63C0">
      <w:pPr>
        <w:rPr>
          <w:lang w:val="en-US"/>
        </w:rPr>
      </w:pPr>
    </w:p>
    <w:p w:rsidR="00FA0F98" w:rsidRDefault="00FA0F98" w:rsidP="005B63C0">
      <w:pPr>
        <w:rPr>
          <w:lang w:val="en-US"/>
        </w:rPr>
      </w:pPr>
      <w:r>
        <w:rPr>
          <w:lang w:val="en-US"/>
        </w:rPr>
        <w:t>RATIO:</w:t>
      </w:r>
    </w:p>
    <w:p w:rsidR="00FA0F98" w:rsidRDefault="00FA0F98" w:rsidP="005B63C0">
      <w:pPr>
        <w:rPr>
          <w:lang w:val="en-US"/>
        </w:rPr>
      </w:pPr>
    </w:p>
    <w:p w:rsidR="00FA0F98" w:rsidRDefault="00FA0F98" w:rsidP="005B63C0">
      <w:pPr>
        <w:rPr>
          <w:lang w:val="en-US"/>
        </w:rPr>
      </w:pPr>
      <w:r>
        <w:rPr>
          <w:lang w:val="en-US"/>
        </w:rPr>
        <w:t>Unregistered interests are transferable to third parties to original agreement. Section 20 should not be read literally to exclude third-parties to contracts which buy a party’s rights.</w:t>
      </w:r>
    </w:p>
    <w:p w:rsidR="00FA0F98" w:rsidRDefault="00FA0F98" w:rsidP="005B63C0">
      <w:pPr>
        <w:pBdr>
          <w:bottom w:val="single" w:sz="12" w:space="1" w:color="auto"/>
        </w:pBdr>
        <w:rPr>
          <w:lang w:val="en-US"/>
        </w:rPr>
      </w:pPr>
    </w:p>
    <w:p w:rsidR="00FA0F98" w:rsidRDefault="00FA0F98" w:rsidP="005B63C0">
      <w:pPr>
        <w:pBdr>
          <w:bottom w:val="single" w:sz="12" w:space="1" w:color="auto"/>
        </w:pBdr>
        <w:rPr>
          <w:lang w:val="en-US"/>
        </w:rPr>
      </w:pPr>
      <w:r w:rsidRPr="00FA0F98">
        <w:rPr>
          <w:lang w:val="en-US"/>
        </w:rPr>
        <w:t xml:space="preserve">Like a lease, a </w:t>
      </w:r>
      <w:r w:rsidRPr="00FA0F98">
        <w:rPr>
          <w:i/>
          <w:lang w:val="en-US"/>
        </w:rPr>
        <w:t>profit-à-prendre</w:t>
      </w:r>
      <w:r w:rsidRPr="00FA0F98">
        <w:rPr>
          <w:lang w:val="en-US"/>
        </w:rPr>
        <w:t xml:space="preserve"> comprises both personal (contractual) and property rights.  Section 20(1) does not invalidate for all purposes all rights contained in an unregistered instrument purporting to create or transfer an interest in land.</w:t>
      </w:r>
    </w:p>
    <w:p w:rsidR="00FA0F98" w:rsidRPr="008E22C7" w:rsidRDefault="00FA0F98" w:rsidP="005B63C0">
      <w:pPr>
        <w:pBdr>
          <w:bottom w:val="single" w:sz="12" w:space="1" w:color="auto"/>
        </w:pBdr>
        <w:rPr>
          <w:b/>
          <w:sz w:val="22"/>
          <w:u w:val="single"/>
          <w:lang w:val="en-US"/>
        </w:rPr>
      </w:pPr>
    </w:p>
    <w:p w:rsidR="00684179" w:rsidRDefault="008E22C7" w:rsidP="003A60FA">
      <w:pPr>
        <w:pStyle w:val="Heading3"/>
        <w:rPr>
          <w:lang w:val="en-US"/>
        </w:rPr>
      </w:pPr>
      <w:bookmarkStart w:id="55" w:name="_Toc259911043"/>
      <w:r w:rsidRPr="008E22C7">
        <w:rPr>
          <w:highlight w:val="yellow"/>
          <w:lang w:val="en-US"/>
        </w:rPr>
        <w:t>CARLSON v DUNCAN 1931</w:t>
      </w:r>
      <w:r w:rsidR="00684179">
        <w:rPr>
          <w:lang w:val="en-US"/>
        </w:rPr>
        <w:t>:</w:t>
      </w:r>
      <w:bookmarkEnd w:id="55"/>
      <w:r w:rsidR="00684179">
        <w:rPr>
          <w:lang w:val="en-US"/>
        </w:rPr>
        <w:t xml:space="preserve"> </w:t>
      </w:r>
    </w:p>
    <w:p w:rsidR="005B63C0" w:rsidRDefault="005B63C0" w:rsidP="005B63C0">
      <w:pPr>
        <w:rPr>
          <w:lang w:val="en-US"/>
        </w:rPr>
      </w:pPr>
    </w:p>
    <w:p w:rsidR="008E22C7" w:rsidRDefault="008E22C7" w:rsidP="005B63C0">
      <w:pPr>
        <w:rPr>
          <w:lang w:val="en-US"/>
        </w:rPr>
      </w:pPr>
      <w:r>
        <w:rPr>
          <w:lang w:val="en-US"/>
        </w:rPr>
        <w:t>FACTS:</w:t>
      </w:r>
    </w:p>
    <w:p w:rsidR="008E22C7" w:rsidRDefault="008E22C7" w:rsidP="005B63C0">
      <w:pPr>
        <w:rPr>
          <w:lang w:val="en-US"/>
        </w:rPr>
      </w:pPr>
    </w:p>
    <w:p w:rsidR="008E22C7" w:rsidRDefault="008E22C7" w:rsidP="005B63C0">
      <w:pPr>
        <w:rPr>
          <w:lang w:val="en-US"/>
        </w:rPr>
      </w:pPr>
      <w:r>
        <w:rPr>
          <w:lang w:val="en-US"/>
        </w:rPr>
        <w:t>Herrling, in 1908, granted all the timber, standing or fallen, on certain land to Kelliher, his heirs and assigns, with a right to enter on the lands and cut and take away timber at any time.</w:t>
      </w:r>
    </w:p>
    <w:p w:rsidR="008E22C7" w:rsidRDefault="008E22C7" w:rsidP="005B63C0">
      <w:pPr>
        <w:rPr>
          <w:lang w:val="en-US"/>
        </w:rPr>
      </w:pPr>
    </w:p>
    <w:p w:rsidR="008E22C7" w:rsidRDefault="008E22C7" w:rsidP="005B63C0">
      <w:pPr>
        <w:rPr>
          <w:lang w:val="en-US"/>
        </w:rPr>
      </w:pPr>
      <w:r>
        <w:rPr>
          <w:lang w:val="en-US"/>
        </w:rPr>
        <w:t xml:space="preserve">This grant was registered against the fee simple. Herrling then sold fee simple to Agassiz, and then in turn transferred to the appellant. </w:t>
      </w:r>
    </w:p>
    <w:p w:rsidR="008E22C7" w:rsidRDefault="008E22C7" w:rsidP="005B63C0">
      <w:pPr>
        <w:rPr>
          <w:lang w:val="en-US"/>
        </w:rPr>
      </w:pPr>
    </w:p>
    <w:p w:rsidR="008E22C7" w:rsidRDefault="008E22C7" w:rsidP="005B63C0">
      <w:pPr>
        <w:rPr>
          <w:lang w:val="en-US"/>
        </w:rPr>
      </w:pPr>
      <w:r>
        <w:rPr>
          <w:lang w:val="en-US"/>
        </w:rPr>
        <w:t>Kelliher died intestate and his heirs quit-claimed their interest to the respondent. The quitclaim was not registered. The respondent entered onto the land and commenced cutting timber.</w:t>
      </w:r>
    </w:p>
    <w:p w:rsidR="008E22C7" w:rsidRDefault="008E22C7" w:rsidP="005B63C0">
      <w:pPr>
        <w:rPr>
          <w:lang w:val="en-US"/>
        </w:rPr>
      </w:pPr>
    </w:p>
    <w:p w:rsidR="008E22C7" w:rsidRDefault="008E22C7" w:rsidP="005B63C0">
      <w:pPr>
        <w:rPr>
          <w:lang w:val="en-US"/>
        </w:rPr>
      </w:pPr>
      <w:r>
        <w:rPr>
          <w:lang w:val="en-US"/>
        </w:rPr>
        <w:t>The appellant sued, seeking an injunction, damages for trespass and an accounting. Failed at trial, got appealed.</w:t>
      </w:r>
    </w:p>
    <w:p w:rsidR="008E22C7" w:rsidRDefault="008E22C7" w:rsidP="005B63C0">
      <w:pPr>
        <w:rPr>
          <w:lang w:val="en-US"/>
        </w:rPr>
      </w:pPr>
    </w:p>
    <w:p w:rsidR="008E22C7" w:rsidRDefault="008E22C7" w:rsidP="005B63C0">
      <w:pPr>
        <w:rPr>
          <w:lang w:val="en-US"/>
        </w:rPr>
      </w:pPr>
      <w:r>
        <w:rPr>
          <w:lang w:val="en-US"/>
        </w:rPr>
        <w:t>ISSUE:</w:t>
      </w:r>
    </w:p>
    <w:p w:rsidR="008E22C7" w:rsidRDefault="008E22C7" w:rsidP="005B63C0">
      <w:pPr>
        <w:rPr>
          <w:lang w:val="en-US"/>
        </w:rPr>
      </w:pPr>
    </w:p>
    <w:p w:rsidR="005B63C0" w:rsidRDefault="008E22C7" w:rsidP="005B63C0">
      <w:pPr>
        <w:rPr>
          <w:lang w:val="en-US"/>
        </w:rPr>
      </w:pPr>
      <w:r>
        <w:rPr>
          <w:lang w:val="en-US"/>
        </w:rPr>
        <w:t xml:space="preserve">Does the quitclaim right constitute a transfer of chattels or an interest in land? If transfer in chattels, then it should not be registered, and is enforceable (due to contract law). If it is an interest in the land, that is unregistered, then it passes no estate or interest until registration and the </w:t>
      </w:r>
      <w:r w:rsidRPr="008E22C7">
        <w:rPr>
          <w:i/>
          <w:lang w:val="en-US"/>
        </w:rPr>
        <w:t>bona fide</w:t>
      </w:r>
      <w:r>
        <w:rPr>
          <w:lang w:val="en-US"/>
        </w:rPr>
        <w:t xml:space="preserve"> purchaser appellant is protected</w:t>
      </w:r>
      <w:r w:rsidR="00386DAA">
        <w:rPr>
          <w:lang w:val="en-US"/>
        </w:rPr>
        <w:t>, because of section 20</w:t>
      </w:r>
      <w:r>
        <w:rPr>
          <w:lang w:val="en-US"/>
        </w:rPr>
        <w:t xml:space="preserve">. </w:t>
      </w:r>
    </w:p>
    <w:p w:rsidR="008E22C7" w:rsidRDefault="008E22C7" w:rsidP="005B63C0">
      <w:pPr>
        <w:rPr>
          <w:lang w:val="en-US"/>
        </w:rPr>
      </w:pPr>
    </w:p>
    <w:p w:rsidR="008E22C7" w:rsidRDefault="008E22C7" w:rsidP="005B63C0">
      <w:pPr>
        <w:rPr>
          <w:lang w:val="en-US"/>
        </w:rPr>
      </w:pPr>
      <w:r>
        <w:rPr>
          <w:lang w:val="en-US"/>
        </w:rPr>
        <w:t>HELD:</w:t>
      </w:r>
    </w:p>
    <w:p w:rsidR="008E22C7" w:rsidRDefault="008E22C7" w:rsidP="005B63C0">
      <w:pPr>
        <w:rPr>
          <w:lang w:val="en-US"/>
        </w:rPr>
      </w:pPr>
    </w:p>
    <w:p w:rsidR="008E22C7" w:rsidRDefault="008E22C7" w:rsidP="005B63C0">
      <w:pPr>
        <w:rPr>
          <w:lang w:val="en-US"/>
        </w:rPr>
      </w:pPr>
      <w:r>
        <w:rPr>
          <w:lang w:val="en-US"/>
        </w:rPr>
        <w:t>Appeal allowed</w:t>
      </w:r>
    </w:p>
    <w:p w:rsidR="008E22C7" w:rsidRDefault="008E22C7" w:rsidP="005B63C0">
      <w:pPr>
        <w:rPr>
          <w:lang w:val="en-US"/>
        </w:rPr>
      </w:pPr>
    </w:p>
    <w:p w:rsidR="008E22C7" w:rsidRDefault="008E22C7" w:rsidP="005B63C0">
      <w:pPr>
        <w:rPr>
          <w:lang w:val="en-US"/>
        </w:rPr>
      </w:pPr>
      <w:r>
        <w:rPr>
          <w:lang w:val="en-US"/>
        </w:rPr>
        <w:t>RATIO:</w:t>
      </w:r>
    </w:p>
    <w:p w:rsidR="008E22C7" w:rsidRDefault="008E22C7" w:rsidP="005B63C0">
      <w:pPr>
        <w:rPr>
          <w:lang w:val="en-US"/>
        </w:rPr>
      </w:pPr>
    </w:p>
    <w:p w:rsidR="00386DAA" w:rsidRDefault="008E22C7" w:rsidP="005B63C0">
      <w:pPr>
        <w:rPr>
          <w:lang w:val="en-US"/>
        </w:rPr>
      </w:pPr>
      <w:r>
        <w:rPr>
          <w:lang w:val="en-US"/>
        </w:rPr>
        <w:t>Whether a contract relating to timber constitutes a sale of chattels or relates to an interest in land depends upon the terms of the contract.</w:t>
      </w:r>
    </w:p>
    <w:p w:rsidR="00386DAA" w:rsidRDefault="00386DAA" w:rsidP="005B63C0">
      <w:pPr>
        <w:rPr>
          <w:lang w:val="en-US"/>
        </w:rPr>
      </w:pPr>
    </w:p>
    <w:p w:rsidR="00386DAA" w:rsidRDefault="00386DAA" w:rsidP="005B63C0">
      <w:pPr>
        <w:pBdr>
          <w:bottom w:val="single" w:sz="12" w:space="1" w:color="auto"/>
        </w:pBdr>
        <w:rPr>
          <w:lang w:val="en-US"/>
        </w:rPr>
      </w:pPr>
      <w:r>
        <w:rPr>
          <w:lang w:val="en-US"/>
        </w:rPr>
        <w:t>The appellants were protected because they were bona fide purchasers and not party to the original contract.</w:t>
      </w:r>
    </w:p>
    <w:p w:rsidR="00386DAA" w:rsidRDefault="00386DAA" w:rsidP="005B63C0">
      <w:pPr>
        <w:rPr>
          <w:lang w:val="en-US"/>
        </w:rPr>
      </w:pPr>
    </w:p>
    <w:p w:rsidR="00386DAA" w:rsidRPr="00386DAA" w:rsidRDefault="00386DAA" w:rsidP="00400663">
      <w:pPr>
        <w:pStyle w:val="Heading2"/>
        <w:rPr>
          <w:lang w:val="en-US"/>
        </w:rPr>
      </w:pPr>
      <w:bookmarkStart w:id="56" w:name="_Toc259911044"/>
      <w:r w:rsidRPr="00386DAA">
        <w:rPr>
          <w:lang w:val="en-US"/>
        </w:rPr>
        <w:t>“Prohibited Transaction”</w:t>
      </w:r>
      <w:bookmarkEnd w:id="56"/>
    </w:p>
    <w:p w:rsidR="00D0004F" w:rsidRDefault="00D0004F" w:rsidP="00386DAA">
      <w:pPr>
        <w:pBdr>
          <w:bottom w:val="single" w:sz="12" w:space="1" w:color="auto"/>
        </w:pBdr>
        <w:rPr>
          <w:lang w:val="en-US"/>
        </w:rPr>
      </w:pPr>
    </w:p>
    <w:p w:rsidR="00BF1089" w:rsidRDefault="00BF1089" w:rsidP="00386DAA">
      <w:pPr>
        <w:rPr>
          <w:lang w:val="en-US"/>
        </w:rPr>
      </w:pPr>
    </w:p>
    <w:p w:rsidR="00BF1089" w:rsidRPr="003A60FA" w:rsidRDefault="00BF1089" w:rsidP="003A60FA">
      <w:pPr>
        <w:pStyle w:val="Heading3"/>
        <w:rPr>
          <w:b w:val="0"/>
          <w:lang w:val="en-US"/>
        </w:rPr>
      </w:pPr>
      <w:bookmarkStart w:id="57" w:name="_Toc259911045"/>
      <w:r w:rsidRPr="00BF1089">
        <w:rPr>
          <w:highlight w:val="yellow"/>
          <w:lang w:val="en-US"/>
        </w:rPr>
        <w:t>INTERNATIONAL PAPER INDUSTRIES v TOP LINE INDUSTRIES INC 1996</w:t>
      </w:r>
      <w:r w:rsidR="00400663">
        <w:rPr>
          <w:lang w:val="en-US"/>
        </w:rPr>
        <w:t xml:space="preserve">: </w:t>
      </w:r>
      <w:r w:rsidR="00400663" w:rsidRPr="003A60FA">
        <w:rPr>
          <w:b w:val="0"/>
          <w:lang w:val="en-US"/>
        </w:rPr>
        <w:t xml:space="preserve">incorrectly concludes that failure to subdivide was so contrary to public policy as to render a lease unenforceable </w:t>
      </w:r>
      <w:r w:rsidR="00400663" w:rsidRPr="003A60FA">
        <w:rPr>
          <w:b w:val="0"/>
          <w:i/>
          <w:lang w:val="en-US"/>
        </w:rPr>
        <w:t>in personam</w:t>
      </w:r>
      <w:r w:rsidR="00400663" w:rsidRPr="003A60FA">
        <w:rPr>
          <w:b w:val="0"/>
          <w:lang w:val="en-US"/>
        </w:rPr>
        <w:t xml:space="preserve"> against the landlord</w:t>
      </w:r>
      <w:bookmarkEnd w:id="57"/>
    </w:p>
    <w:p w:rsidR="00BF1089" w:rsidRPr="003A60FA" w:rsidRDefault="00BF1089" w:rsidP="00386DAA">
      <w:pPr>
        <w:rPr>
          <w:lang w:val="en-US"/>
        </w:rPr>
      </w:pPr>
    </w:p>
    <w:p w:rsidR="00BF1089" w:rsidRDefault="00BF1089" w:rsidP="00386DAA">
      <w:pPr>
        <w:rPr>
          <w:lang w:val="en-US"/>
        </w:rPr>
      </w:pPr>
      <w:r>
        <w:rPr>
          <w:lang w:val="en-US"/>
        </w:rPr>
        <w:t>FACTS:</w:t>
      </w:r>
    </w:p>
    <w:p w:rsidR="00BF1089" w:rsidRDefault="00BF1089" w:rsidP="00386DAA">
      <w:pPr>
        <w:rPr>
          <w:lang w:val="en-US"/>
        </w:rPr>
      </w:pPr>
    </w:p>
    <w:p w:rsidR="00BF1089" w:rsidRDefault="00BF1089" w:rsidP="00386DAA">
      <w:pPr>
        <w:rPr>
          <w:lang w:val="en-US"/>
        </w:rPr>
      </w:pPr>
      <w:r w:rsidRPr="00BF1089">
        <w:rPr>
          <w:lang w:val="en-US"/>
        </w:rPr>
        <w:t>Top Line Industries owned vacant land on Vancouver Island.  International Paper, which was in the business of recycling paper, wanted to lease a portion of the lot.  International Paper wanted to move and install a modular building on the leased part of the lot, to store its paper. International Paper, as tenant, and Top Line, as landlord, entered into a written agreement to lease for a term of 51 months with options for renewal.  The area of land comprised in the lease was part of an entire parcel, but the boundaries of the part were not surveyed and the leased portion was not subdivided from the rest of the parcel.  The agreement to lease could not be registered on Top Line’s title, without first subdividing the portion to be leased from the rest of the lot (s. 73).  International Paper moved the building to the area purportedly leased and installed it.  For several years, the parties coexisted on the assumption that the unregistered agreement was valid and enforceable between them (in personam).  As relations between the parties deteriorated, Top Line scrutinized the transaction for a way to rid itself of International Paper’s tenancy, and to keep the building. As an afterthought, Top Line decided to repudiate the lease on grounds of contractual illegality.</w:t>
      </w:r>
    </w:p>
    <w:p w:rsidR="00BF1089" w:rsidRDefault="00BF1089" w:rsidP="00386DAA">
      <w:pPr>
        <w:rPr>
          <w:lang w:val="en-US"/>
        </w:rPr>
      </w:pPr>
    </w:p>
    <w:p w:rsidR="00BF1089" w:rsidRDefault="00BF1089" w:rsidP="00386DAA">
      <w:pPr>
        <w:rPr>
          <w:lang w:val="en-US"/>
        </w:rPr>
      </w:pPr>
      <w:r>
        <w:rPr>
          <w:lang w:val="en-US"/>
        </w:rPr>
        <w:t>HELD:</w:t>
      </w:r>
    </w:p>
    <w:p w:rsidR="00BF1089" w:rsidRDefault="00BF1089" w:rsidP="00386DAA">
      <w:pPr>
        <w:rPr>
          <w:lang w:val="en-US"/>
        </w:rPr>
      </w:pPr>
    </w:p>
    <w:p w:rsidR="00BF1089" w:rsidRDefault="00BF1089" w:rsidP="00386DAA">
      <w:pPr>
        <w:rPr>
          <w:lang w:val="en-US"/>
        </w:rPr>
      </w:pPr>
      <w:r>
        <w:rPr>
          <w:lang w:val="en-US"/>
        </w:rPr>
        <w:t>International Paper could not enforce the lease against Top Line.</w:t>
      </w:r>
    </w:p>
    <w:p w:rsidR="00BF1089" w:rsidRDefault="00BF1089" w:rsidP="00386DAA">
      <w:pPr>
        <w:rPr>
          <w:lang w:val="en-US"/>
        </w:rPr>
      </w:pPr>
    </w:p>
    <w:p w:rsidR="00BF1089" w:rsidRDefault="00BF1089" w:rsidP="00386DAA">
      <w:pPr>
        <w:rPr>
          <w:lang w:val="en-US"/>
        </w:rPr>
      </w:pPr>
      <w:r>
        <w:rPr>
          <w:lang w:val="en-US"/>
        </w:rPr>
        <w:t>RATIO:</w:t>
      </w:r>
    </w:p>
    <w:p w:rsidR="00BF1089" w:rsidRDefault="00BF1089" w:rsidP="00386DAA">
      <w:pPr>
        <w:rPr>
          <w:lang w:val="en-US"/>
        </w:rPr>
      </w:pPr>
    </w:p>
    <w:p w:rsidR="00BF1089" w:rsidRPr="00BF1089" w:rsidRDefault="00BF1089" w:rsidP="00BF1089">
      <w:pPr>
        <w:rPr>
          <w:lang w:val="en-US"/>
        </w:rPr>
      </w:pPr>
      <w:r w:rsidRPr="00BF1089">
        <w:rPr>
          <w:lang w:val="en-US"/>
        </w:rPr>
        <w:t>The Court concluded, correctly with respect, that lack of registration prevented the lease from creating “proprietary rights” (</w:t>
      </w:r>
      <w:r w:rsidRPr="00BF1089">
        <w:rPr>
          <w:i/>
          <w:lang w:val="en-US"/>
        </w:rPr>
        <w:t>in rem</w:t>
      </w:r>
      <w:r w:rsidRPr="00BF1089">
        <w:rPr>
          <w:lang w:val="en-US"/>
        </w:rPr>
        <w:t xml:space="preserve">).  The Court erred, with the greatest respect, however, in concluding that failure to subdivide was so contrary to public policy as to render the lease unenforceable </w:t>
      </w:r>
      <w:r w:rsidRPr="00BF1089">
        <w:rPr>
          <w:i/>
          <w:lang w:val="en-US"/>
        </w:rPr>
        <w:t>in personam</w:t>
      </w:r>
      <w:r w:rsidRPr="00BF1089">
        <w:rPr>
          <w:lang w:val="en-US"/>
        </w:rPr>
        <w:t>, against the landlord.</w:t>
      </w:r>
    </w:p>
    <w:p w:rsidR="00BF1089" w:rsidRDefault="00BF1089" w:rsidP="00386DAA">
      <w:pPr>
        <w:pBdr>
          <w:bottom w:val="single" w:sz="12" w:space="1" w:color="auto"/>
        </w:pBdr>
        <w:rPr>
          <w:lang w:val="en-US"/>
        </w:rPr>
      </w:pPr>
    </w:p>
    <w:p w:rsidR="00BF1089" w:rsidRPr="00BF1089" w:rsidRDefault="00BF1089" w:rsidP="00386DAA">
      <w:pPr>
        <w:rPr>
          <w:color w:val="1F497D" w:themeColor="text2"/>
          <w:lang w:val="en-US"/>
        </w:rPr>
      </w:pPr>
    </w:p>
    <w:p w:rsidR="00BF1089" w:rsidRDefault="00BF1089" w:rsidP="00400663">
      <w:pPr>
        <w:pStyle w:val="Heading4"/>
      </w:pPr>
      <w:r w:rsidRPr="00BF1089">
        <w:rPr>
          <w:color w:val="1F497D" w:themeColor="text2"/>
        </w:rPr>
        <w:t xml:space="preserve">Land Title Act </w:t>
      </w:r>
      <w:r w:rsidR="00400663">
        <w:t xml:space="preserve"> </w:t>
      </w:r>
      <w:r w:rsidRPr="00BF1089">
        <w:rPr>
          <w:color w:val="1F497D" w:themeColor="text2"/>
        </w:rPr>
        <w:t>Section 73.1</w:t>
      </w:r>
      <w:r>
        <w:t xml:space="preserve"> was enacted to reverse the decision in </w:t>
      </w:r>
      <w:r w:rsidRPr="00BF1089">
        <w:rPr>
          <w:i/>
          <w:color w:val="1F497D" w:themeColor="text2"/>
        </w:rPr>
        <w:t>Top Line</w:t>
      </w:r>
      <w:r>
        <w:t>:</w:t>
      </w:r>
    </w:p>
    <w:p w:rsidR="00BF1089" w:rsidRDefault="00BF1089" w:rsidP="00386DAA">
      <w:pPr>
        <w:rPr>
          <w:lang w:val="en-US"/>
        </w:rPr>
      </w:pPr>
    </w:p>
    <w:p w:rsidR="00BF1089" w:rsidRPr="00BF1089" w:rsidRDefault="00BF1089" w:rsidP="00BF1089">
      <w:pPr>
        <w:pStyle w:val="ListParagraph"/>
        <w:numPr>
          <w:ilvl w:val="0"/>
          <w:numId w:val="29"/>
        </w:numPr>
        <w:rPr>
          <w:lang w:val="en-US"/>
        </w:rPr>
      </w:pPr>
      <w:r w:rsidRPr="00BF1089">
        <w:rPr>
          <w:lang w:val="en-US"/>
        </w:rPr>
        <w:t xml:space="preserve">A lease or an agreement for a lease of a part of a parcel of land </w:t>
      </w:r>
      <w:r w:rsidRPr="00BF1089">
        <w:rPr>
          <w:b/>
          <w:color w:val="800000"/>
          <w:lang w:val="en-US"/>
        </w:rPr>
        <w:t>is not unenforceable between the parties</w:t>
      </w:r>
      <w:r w:rsidRPr="00BF1089">
        <w:rPr>
          <w:lang w:val="en-US"/>
        </w:rPr>
        <w:t xml:space="preserve"> to the lease or agreement for lease by reason only that</w:t>
      </w:r>
    </w:p>
    <w:p w:rsidR="00BF1089" w:rsidRDefault="00BF1089" w:rsidP="00BF1089">
      <w:pPr>
        <w:pStyle w:val="ListParagraph"/>
        <w:numPr>
          <w:ilvl w:val="1"/>
          <w:numId w:val="29"/>
        </w:numPr>
        <w:rPr>
          <w:lang w:val="en-US"/>
        </w:rPr>
      </w:pPr>
      <w:r>
        <w:rPr>
          <w:lang w:val="en-US"/>
        </w:rPr>
        <w:t xml:space="preserve">The lease or agreement for lease does not comply with this Part, or </w:t>
      </w:r>
    </w:p>
    <w:p w:rsidR="00BF1089" w:rsidRDefault="00BF1089" w:rsidP="00BF1089">
      <w:pPr>
        <w:pStyle w:val="ListParagraph"/>
        <w:numPr>
          <w:ilvl w:val="1"/>
          <w:numId w:val="29"/>
        </w:numPr>
        <w:rPr>
          <w:lang w:val="en-US"/>
        </w:rPr>
      </w:pPr>
      <w:r>
        <w:rPr>
          <w:lang w:val="en-US"/>
        </w:rPr>
        <w:t>An application for the registration of the lease or agreement for lease may be refused or rejected.</w:t>
      </w:r>
    </w:p>
    <w:p w:rsidR="00BF1089" w:rsidRDefault="00BF1089" w:rsidP="00BF1089">
      <w:pPr>
        <w:rPr>
          <w:lang w:val="en-US"/>
        </w:rPr>
      </w:pPr>
    </w:p>
    <w:p w:rsidR="00BA01C9" w:rsidRDefault="00BF1089" w:rsidP="00BF1089">
      <w:pPr>
        <w:rPr>
          <w:lang w:val="en-US"/>
        </w:rPr>
      </w:pPr>
      <w:r>
        <w:rPr>
          <w:lang w:val="en-US"/>
        </w:rPr>
        <w:t>This wording (“</w:t>
      </w:r>
      <w:r w:rsidRPr="00C86ECC">
        <w:rPr>
          <w:color w:val="800000"/>
          <w:lang w:val="en-US"/>
        </w:rPr>
        <w:t>between the parties</w:t>
      </w:r>
      <w:r>
        <w:rPr>
          <w:lang w:val="en-US"/>
        </w:rPr>
        <w:t>”) suggests that third-partie</w:t>
      </w:r>
      <w:r w:rsidR="00BA01C9">
        <w:rPr>
          <w:lang w:val="en-US"/>
        </w:rPr>
        <w:t xml:space="preserve">s that buy the lease rights </w:t>
      </w:r>
      <w:r w:rsidR="00BA01C9" w:rsidRPr="00C86ECC">
        <w:rPr>
          <w:color w:val="800000"/>
          <w:lang w:val="en-US"/>
        </w:rPr>
        <w:t>cannot enforce them</w:t>
      </w:r>
      <w:r w:rsidR="00BA01C9">
        <w:rPr>
          <w:lang w:val="en-US"/>
        </w:rPr>
        <w:t xml:space="preserve"> against the party.</w:t>
      </w:r>
    </w:p>
    <w:p w:rsidR="00BA01C9" w:rsidRDefault="00BA01C9" w:rsidP="00BF1089">
      <w:pPr>
        <w:rPr>
          <w:lang w:val="en-US"/>
        </w:rPr>
      </w:pPr>
    </w:p>
    <w:p w:rsidR="00BA01C9" w:rsidRPr="00BA01C9" w:rsidRDefault="00BA01C9" w:rsidP="00BF1089">
      <w:pPr>
        <w:rPr>
          <w:lang w:val="en-US"/>
        </w:rPr>
      </w:pPr>
      <w:r>
        <w:rPr>
          <w:lang w:val="en-US"/>
        </w:rPr>
        <w:t xml:space="preserve">The BCCA interpreted </w:t>
      </w:r>
      <w:r w:rsidRPr="00C86ECC">
        <w:rPr>
          <w:color w:val="1F497D" w:themeColor="text2"/>
          <w:lang w:val="en-US"/>
        </w:rPr>
        <w:t>s. 73.1</w:t>
      </w:r>
      <w:r>
        <w:rPr>
          <w:lang w:val="en-US"/>
        </w:rPr>
        <w:t xml:space="preserve"> as having prospective effect only: </w:t>
      </w:r>
      <w:r w:rsidRPr="00BA01C9">
        <w:rPr>
          <w:i/>
          <w:color w:val="1F497D" w:themeColor="text2"/>
          <w:lang w:val="en-US"/>
        </w:rPr>
        <w:t>Idle-O</w:t>
      </w:r>
      <w:r>
        <w:rPr>
          <w:lang w:val="en-US"/>
        </w:rPr>
        <w:t xml:space="preserve"> and so only applied to cases with leases commenced post 2007. For leases commenced prior to 2007, </w:t>
      </w:r>
      <w:r w:rsidRPr="00BA01C9">
        <w:rPr>
          <w:i/>
          <w:color w:val="1F497D" w:themeColor="text2"/>
          <w:lang w:val="en-US"/>
        </w:rPr>
        <w:t>Top Line</w:t>
      </w:r>
      <w:r>
        <w:rPr>
          <w:lang w:val="en-US"/>
        </w:rPr>
        <w:t xml:space="preserve"> applies (if the lease is invalid due to impossibility of registration, it does not create </w:t>
      </w:r>
      <w:r w:rsidRPr="00BA01C9">
        <w:rPr>
          <w:i/>
          <w:color w:val="800000"/>
          <w:lang w:val="en-US"/>
        </w:rPr>
        <w:t>in personam</w:t>
      </w:r>
      <w:r>
        <w:rPr>
          <w:lang w:val="en-US"/>
        </w:rPr>
        <w:t xml:space="preserve"> rights.</w:t>
      </w:r>
    </w:p>
    <w:p w:rsidR="00BA01C9" w:rsidRDefault="00BA01C9" w:rsidP="00BF1089">
      <w:pPr>
        <w:pBdr>
          <w:bottom w:val="single" w:sz="12" w:space="1" w:color="auto"/>
        </w:pBdr>
        <w:rPr>
          <w:lang w:val="en-US"/>
        </w:rPr>
      </w:pPr>
    </w:p>
    <w:p w:rsidR="00BA01C9" w:rsidRDefault="00BA01C9" w:rsidP="00BF1089">
      <w:pPr>
        <w:rPr>
          <w:lang w:val="en-US"/>
        </w:rPr>
      </w:pPr>
    </w:p>
    <w:p w:rsidR="00BA01C9" w:rsidRPr="00512EFB" w:rsidRDefault="00BA01C9" w:rsidP="00512EFB">
      <w:pPr>
        <w:pStyle w:val="Heading1"/>
      </w:pPr>
      <w:bookmarkStart w:id="58" w:name="_Toc259911046"/>
      <w:r w:rsidRPr="00512EFB">
        <w:rPr>
          <w:highlight w:val="yellow"/>
        </w:rPr>
        <w:t>CHAPTER VIII — APPLICATIONS TO REGISTER</w:t>
      </w:r>
      <w:bookmarkEnd w:id="58"/>
    </w:p>
    <w:p w:rsidR="00BA01C9" w:rsidRDefault="00BA01C9" w:rsidP="00BF1089">
      <w:pPr>
        <w:rPr>
          <w:lang w:val="en-US"/>
        </w:rPr>
      </w:pPr>
    </w:p>
    <w:p w:rsidR="00BA01C9" w:rsidRPr="00A26F30" w:rsidRDefault="00BA01C9" w:rsidP="00BF1089">
      <w:pPr>
        <w:rPr>
          <w:color w:val="1F497D" w:themeColor="text2"/>
          <w:lang w:val="en-US"/>
        </w:rPr>
      </w:pPr>
      <w:r w:rsidRPr="00A26F30">
        <w:rPr>
          <w:color w:val="1F497D" w:themeColor="text2"/>
          <w:lang w:val="en-US"/>
        </w:rPr>
        <w:t>Land Title Act</w:t>
      </w:r>
    </w:p>
    <w:p w:rsidR="00A26F30" w:rsidRDefault="00A26F30" w:rsidP="00BF1089">
      <w:pPr>
        <w:rPr>
          <w:lang w:val="en-US"/>
        </w:rPr>
      </w:pPr>
    </w:p>
    <w:p w:rsidR="00A26F30" w:rsidRPr="00A26F30" w:rsidRDefault="00A26F30" w:rsidP="00512EFB">
      <w:pPr>
        <w:pStyle w:val="Heading4"/>
      </w:pPr>
      <w:r w:rsidRPr="00A26F30">
        <w:t>Priority of caveat or certificate of pending litigation:</w:t>
      </w:r>
      <w:r w:rsidR="00512EFB">
        <w:t xml:space="preserve"> [ahead of registered interests filed after]</w:t>
      </w:r>
    </w:p>
    <w:p w:rsidR="00BA01C9" w:rsidRDefault="00BA01C9" w:rsidP="00BF1089">
      <w:pPr>
        <w:rPr>
          <w:lang w:val="en-US"/>
        </w:rPr>
      </w:pPr>
    </w:p>
    <w:p w:rsidR="00A26F30" w:rsidRDefault="00A26F30" w:rsidP="00BF1089">
      <w:pPr>
        <w:rPr>
          <w:lang w:val="en-US"/>
        </w:rPr>
      </w:pPr>
      <w:r>
        <w:rPr>
          <w:color w:val="1F497D" w:themeColor="text2"/>
          <w:lang w:val="en-US"/>
        </w:rPr>
        <w:t xml:space="preserve">Section </w:t>
      </w:r>
      <w:r w:rsidR="00605CF8" w:rsidRPr="00A26F30">
        <w:rPr>
          <w:color w:val="1F497D" w:themeColor="text2"/>
          <w:lang w:val="en-US"/>
        </w:rPr>
        <w:t>31</w:t>
      </w:r>
      <w:r>
        <w:rPr>
          <w:color w:val="1F497D" w:themeColor="text2"/>
          <w:lang w:val="en-US"/>
        </w:rPr>
        <w:t>:</w:t>
      </w:r>
      <w:r w:rsidR="00605CF8" w:rsidRPr="00A26F30">
        <w:rPr>
          <w:color w:val="1F497D" w:themeColor="text2"/>
          <w:lang w:val="en-US"/>
        </w:rPr>
        <w:t xml:space="preserve"> </w:t>
      </w:r>
      <w:r w:rsidRPr="00A26F30">
        <w:rPr>
          <w:color w:val="1F497D" w:themeColor="text2"/>
          <w:lang w:val="en-US"/>
        </w:rPr>
        <w:t>If a caveat has been lodged or a certificate of pending litigation has been registered against the title to land,</w:t>
      </w:r>
    </w:p>
    <w:p w:rsidR="00605CF8" w:rsidRDefault="00605CF8" w:rsidP="00BF1089">
      <w:pPr>
        <w:rPr>
          <w:lang w:val="en-US"/>
        </w:rPr>
      </w:pPr>
    </w:p>
    <w:p w:rsidR="00605CF8" w:rsidRPr="00605CF8" w:rsidRDefault="00605CF8" w:rsidP="00BF1089">
      <w:pPr>
        <w:pStyle w:val="ListParagraph"/>
        <w:numPr>
          <w:ilvl w:val="0"/>
          <w:numId w:val="30"/>
        </w:numPr>
        <w:rPr>
          <w:lang w:val="en-US"/>
        </w:rPr>
      </w:pPr>
      <w:r w:rsidRPr="00605CF8">
        <w:rPr>
          <w:lang w:val="en-US"/>
        </w:rPr>
        <w:t xml:space="preserve">the caveator or plaintiff, if that person’s claim is subsequently established by a judgment or order or admitted by an instrument duly executed and produced, is </w:t>
      </w:r>
      <w:r w:rsidRPr="00605CF8">
        <w:rPr>
          <w:b/>
          <w:lang w:val="en-US"/>
        </w:rPr>
        <w:t xml:space="preserve">entitled to </w:t>
      </w:r>
      <w:r w:rsidRPr="00A26F30">
        <w:rPr>
          <w:b/>
          <w:color w:val="800000"/>
          <w:lang w:val="en-US"/>
        </w:rPr>
        <w:t>claim priority for that person’s application for registration of title or charge so claimed over a title, charge or claim, which was applied to be registered after the date of the lodging of caveat or registration of the CPL</w:t>
      </w:r>
    </w:p>
    <w:p w:rsidR="00A26F30" w:rsidRDefault="00A26F30" w:rsidP="00BF1089">
      <w:pPr>
        <w:pStyle w:val="ListParagraph"/>
        <w:numPr>
          <w:ilvl w:val="0"/>
          <w:numId w:val="30"/>
        </w:numPr>
        <w:rPr>
          <w:lang w:val="en-US"/>
        </w:rPr>
      </w:pPr>
      <w:r>
        <w:rPr>
          <w:lang w:val="en-US"/>
        </w:rPr>
        <w:t>The date of application of caveat is filed in the Registrar and used as the effective date of registration if the caveat/</w:t>
      </w:r>
      <w:r>
        <w:rPr>
          <w:i/>
          <w:lang w:val="en-US"/>
        </w:rPr>
        <w:t>lis pendens</w:t>
      </w:r>
      <w:r>
        <w:rPr>
          <w:lang w:val="en-US"/>
        </w:rPr>
        <w:t xml:space="preserve"> yields an interest or judgment in the property</w:t>
      </w:r>
    </w:p>
    <w:p w:rsidR="00A26F30" w:rsidRDefault="00A26F30" w:rsidP="00A26F30">
      <w:pPr>
        <w:rPr>
          <w:lang w:val="en-US"/>
        </w:rPr>
      </w:pPr>
    </w:p>
    <w:p w:rsidR="00E64BA5" w:rsidRDefault="00A26F30" w:rsidP="00B46DAE">
      <w:pPr>
        <w:pStyle w:val="Heading4"/>
      </w:pPr>
      <w:r w:rsidRPr="00A26F30">
        <w:t>Effect of Caveat</w:t>
      </w:r>
      <w:r w:rsidR="00B46DAE">
        <w:t xml:space="preserve"> [freezes title]</w:t>
      </w:r>
    </w:p>
    <w:p w:rsidR="00A26F30" w:rsidRPr="00E64BA5" w:rsidRDefault="00A26F30" w:rsidP="00E64BA5"/>
    <w:p w:rsidR="00A26F30" w:rsidRDefault="00A26F30" w:rsidP="00A26F30">
      <w:pPr>
        <w:rPr>
          <w:lang w:val="en-US"/>
        </w:rPr>
      </w:pPr>
      <w:r w:rsidRPr="00A26F30">
        <w:rPr>
          <w:color w:val="1F497D" w:themeColor="text2"/>
          <w:lang w:val="en-US"/>
        </w:rPr>
        <w:t>288 (1)</w:t>
      </w:r>
      <w:r>
        <w:rPr>
          <w:lang w:val="en-US"/>
        </w:rPr>
        <w:t xml:space="preserve"> As long as a caveat lodged with the registrar remains in force, the registrar must not</w:t>
      </w:r>
    </w:p>
    <w:p w:rsidR="00A26F30" w:rsidRDefault="00A26F30" w:rsidP="00A26F30">
      <w:pPr>
        <w:rPr>
          <w:lang w:val="en-US"/>
        </w:rPr>
      </w:pPr>
    </w:p>
    <w:p w:rsidR="00A26F30" w:rsidRDefault="00A26F30" w:rsidP="00A26F30">
      <w:pPr>
        <w:pStyle w:val="ListParagraph"/>
        <w:numPr>
          <w:ilvl w:val="0"/>
          <w:numId w:val="31"/>
        </w:numPr>
        <w:rPr>
          <w:lang w:val="en-US"/>
        </w:rPr>
      </w:pPr>
      <w:r>
        <w:rPr>
          <w:lang w:val="en-US"/>
        </w:rPr>
        <w:t xml:space="preserve">Register another instrument affecting the land described in the caveat, unless the instrument is expressed to be </w:t>
      </w:r>
      <w:r w:rsidRPr="00A26F30">
        <w:rPr>
          <w:b/>
          <w:color w:val="800000"/>
          <w:lang w:val="en-US"/>
        </w:rPr>
        <w:t>subject to the claim of the caveator</w:t>
      </w:r>
      <w:r>
        <w:rPr>
          <w:lang w:val="en-US"/>
        </w:rPr>
        <w:t>, or</w:t>
      </w:r>
    </w:p>
    <w:p w:rsidR="00A26F30" w:rsidRDefault="00A26F30" w:rsidP="00A26F30">
      <w:pPr>
        <w:pStyle w:val="ListParagraph"/>
        <w:numPr>
          <w:ilvl w:val="0"/>
          <w:numId w:val="31"/>
        </w:numPr>
        <w:rPr>
          <w:lang w:val="en-US"/>
        </w:rPr>
      </w:pPr>
      <w:r>
        <w:rPr>
          <w:lang w:val="en-US"/>
        </w:rPr>
        <w:t>Deposit a plan of subdivision or otherwise allow any change in the boundaries affecting the land described in the caveat, unless consented to by the caveator</w:t>
      </w:r>
    </w:p>
    <w:p w:rsidR="00A26F30" w:rsidRDefault="00A26F30" w:rsidP="00A26F30">
      <w:pPr>
        <w:rPr>
          <w:lang w:val="en-US"/>
        </w:rPr>
      </w:pPr>
    </w:p>
    <w:p w:rsidR="00A26F30" w:rsidRDefault="00A26F30" w:rsidP="00A26F30">
      <w:pPr>
        <w:rPr>
          <w:lang w:val="en-US"/>
        </w:rPr>
      </w:pPr>
      <w:r w:rsidRPr="00A26F30">
        <w:rPr>
          <w:color w:val="1F497D" w:themeColor="text2"/>
          <w:lang w:val="en-US"/>
        </w:rPr>
        <w:t>(2)</w:t>
      </w:r>
      <w:r>
        <w:rPr>
          <w:lang w:val="en-US"/>
        </w:rPr>
        <w:t xml:space="preserve"> An instrument expressed to be subject to the claim of the caveator may be registered or deposited, unless the claim of the caveator, </w:t>
      </w:r>
      <w:r w:rsidRPr="00A26F30">
        <w:rPr>
          <w:b/>
          <w:color w:val="800000"/>
          <w:lang w:val="en-US"/>
        </w:rPr>
        <w:t>if successful</w:t>
      </w:r>
      <w:r>
        <w:rPr>
          <w:lang w:val="en-US"/>
        </w:rPr>
        <w:t>, would, in the opinion of the registrar,</w:t>
      </w:r>
      <w:r w:rsidRPr="00A26F30">
        <w:rPr>
          <w:b/>
          <w:lang w:val="en-US"/>
        </w:rPr>
        <w:t xml:space="preserve"> </w:t>
      </w:r>
      <w:r w:rsidRPr="00A26F30">
        <w:rPr>
          <w:b/>
          <w:color w:val="800000"/>
          <w:lang w:val="en-US"/>
        </w:rPr>
        <w:t>destroy the root of title of the person against whose title the caveat has been lodged</w:t>
      </w:r>
      <w:r>
        <w:rPr>
          <w:lang w:val="en-US"/>
        </w:rPr>
        <w:t>.</w:t>
      </w:r>
    </w:p>
    <w:p w:rsidR="00166FC0" w:rsidRDefault="00166FC0" w:rsidP="00B46DAE">
      <w:pPr>
        <w:pStyle w:val="Heading4"/>
      </w:pPr>
      <w:r>
        <w:t>Registration of certificate of pending litigation in same manner as charge</w:t>
      </w:r>
      <w:r w:rsidR="00B46DAE">
        <w:t xml:space="preserve"> [rules regarding CPL]</w:t>
      </w:r>
    </w:p>
    <w:p w:rsidR="00166FC0" w:rsidRDefault="00166FC0" w:rsidP="00A26F30">
      <w:pPr>
        <w:rPr>
          <w:lang w:val="en-US"/>
        </w:rPr>
      </w:pPr>
    </w:p>
    <w:p w:rsidR="00166FC0" w:rsidRDefault="00166FC0" w:rsidP="00A26F30">
      <w:pPr>
        <w:rPr>
          <w:lang w:val="en-US"/>
        </w:rPr>
      </w:pPr>
      <w:r w:rsidRPr="00166FC0">
        <w:rPr>
          <w:color w:val="1F497D" w:themeColor="text2"/>
          <w:lang w:val="en-US"/>
        </w:rPr>
        <w:t>215.</w:t>
      </w:r>
      <w:r>
        <w:rPr>
          <w:lang w:val="en-US"/>
        </w:rPr>
        <w:t xml:space="preserve"> A person who has commenced or is a party to a proceeding may register a </w:t>
      </w:r>
      <w:r>
        <w:rPr>
          <w:b/>
          <w:lang w:val="en-US"/>
        </w:rPr>
        <w:t>certificate of pending litigation</w:t>
      </w:r>
      <w:r>
        <w:rPr>
          <w:lang w:val="en-US"/>
        </w:rPr>
        <w:t xml:space="preserve"> against the land in the same manner as a charge is registered. A copy of the pleading or petition must be attached.</w:t>
      </w:r>
    </w:p>
    <w:p w:rsidR="00166FC0" w:rsidRDefault="00166FC0" w:rsidP="00A26F30">
      <w:pPr>
        <w:rPr>
          <w:lang w:val="en-US"/>
        </w:rPr>
      </w:pPr>
    </w:p>
    <w:p w:rsidR="00166FC0" w:rsidRDefault="00166FC0" w:rsidP="00A26F30">
      <w:pPr>
        <w:rPr>
          <w:lang w:val="en-US"/>
        </w:rPr>
      </w:pPr>
      <w:r w:rsidRPr="00C86ECC">
        <w:rPr>
          <w:color w:val="1F497D" w:themeColor="text2"/>
          <w:lang w:val="en-US"/>
        </w:rPr>
        <w:t>(1)</w:t>
      </w:r>
      <w:r>
        <w:rPr>
          <w:lang w:val="en-US"/>
        </w:rPr>
        <w:t xml:space="preserve"> – (4) Rules regarding CPL registration and modifying on page </w:t>
      </w:r>
      <w:r w:rsidRPr="00166FC0">
        <w:rPr>
          <w:lang w:val="en-US"/>
        </w:rPr>
        <w:t>8-2</w:t>
      </w:r>
    </w:p>
    <w:p w:rsidR="00166FC0" w:rsidRDefault="00166FC0" w:rsidP="00A26F30">
      <w:pPr>
        <w:rPr>
          <w:lang w:val="en-US"/>
        </w:rPr>
      </w:pPr>
    </w:p>
    <w:p w:rsidR="00166FC0" w:rsidRDefault="00166FC0" w:rsidP="00A26F30">
      <w:pPr>
        <w:rPr>
          <w:lang w:val="en-US"/>
        </w:rPr>
      </w:pPr>
      <w:r w:rsidRPr="00C86ECC">
        <w:rPr>
          <w:color w:val="1F497D" w:themeColor="text2"/>
          <w:lang w:val="en-US"/>
        </w:rPr>
        <w:t>(5)</w:t>
      </w:r>
      <w:r>
        <w:rPr>
          <w:lang w:val="en-US"/>
        </w:rPr>
        <w:t xml:space="preserve"> – procedure for restrictive covenant or building scheme</w:t>
      </w:r>
    </w:p>
    <w:p w:rsidR="00166FC0" w:rsidRDefault="00166FC0" w:rsidP="00A26F30">
      <w:pPr>
        <w:rPr>
          <w:lang w:val="en-US"/>
        </w:rPr>
      </w:pPr>
    </w:p>
    <w:p w:rsidR="006626C7" w:rsidRDefault="00166FC0" w:rsidP="00A26F30">
      <w:pPr>
        <w:rPr>
          <w:lang w:val="en-US"/>
        </w:rPr>
      </w:pPr>
      <w:r w:rsidRPr="00C86ECC">
        <w:rPr>
          <w:color w:val="1F497D" w:themeColor="text2"/>
          <w:lang w:val="en-US"/>
        </w:rPr>
        <w:t>(6)</w:t>
      </w:r>
      <w:r>
        <w:rPr>
          <w:lang w:val="en-US"/>
        </w:rPr>
        <w:t xml:space="preserve"> – procedure for a </w:t>
      </w:r>
      <w:r w:rsidRPr="006626C7">
        <w:rPr>
          <w:i/>
          <w:color w:val="1F497D" w:themeColor="text2"/>
          <w:lang w:val="en-US"/>
        </w:rPr>
        <w:t>Family Law Act</w:t>
      </w:r>
      <w:r>
        <w:rPr>
          <w:i/>
          <w:lang w:val="en-US"/>
        </w:rPr>
        <w:t xml:space="preserve"> </w:t>
      </w:r>
      <w:r>
        <w:rPr>
          <w:lang w:val="en-US"/>
        </w:rPr>
        <w:t>claim page 8-3</w:t>
      </w:r>
    </w:p>
    <w:p w:rsidR="006626C7" w:rsidRDefault="006626C7" w:rsidP="00A26F30">
      <w:pPr>
        <w:rPr>
          <w:lang w:val="en-US"/>
        </w:rPr>
      </w:pPr>
    </w:p>
    <w:p w:rsidR="006626C7" w:rsidRDefault="006626C7" w:rsidP="00A26F30">
      <w:pPr>
        <w:rPr>
          <w:lang w:val="en-US"/>
        </w:rPr>
      </w:pPr>
      <w:r w:rsidRPr="00C86ECC">
        <w:rPr>
          <w:color w:val="1F497D" w:themeColor="text2"/>
          <w:lang w:val="en-US"/>
        </w:rPr>
        <w:t>(7)</w:t>
      </w:r>
      <w:r>
        <w:rPr>
          <w:lang w:val="en-US"/>
        </w:rPr>
        <w:t xml:space="preserve"> – procedure for </w:t>
      </w:r>
      <w:r w:rsidRPr="006626C7">
        <w:rPr>
          <w:i/>
          <w:color w:val="1F497D" w:themeColor="text2"/>
          <w:lang w:val="en-US"/>
        </w:rPr>
        <w:t>Wills Variation Act</w:t>
      </w:r>
    </w:p>
    <w:p w:rsidR="006626C7" w:rsidRDefault="006626C7" w:rsidP="00A26F30">
      <w:pPr>
        <w:rPr>
          <w:lang w:val="en-US"/>
        </w:rPr>
      </w:pPr>
    </w:p>
    <w:p w:rsidR="006626C7" w:rsidRPr="006626C7" w:rsidRDefault="006626C7" w:rsidP="00A26F30">
      <w:pPr>
        <w:rPr>
          <w:color w:val="1F497D" w:themeColor="text2"/>
          <w:lang w:val="en-US"/>
        </w:rPr>
      </w:pPr>
      <w:r w:rsidRPr="00C86ECC">
        <w:rPr>
          <w:color w:val="1F497D" w:themeColor="text2"/>
          <w:lang w:val="en-US"/>
        </w:rPr>
        <w:t>(8)</w:t>
      </w:r>
      <w:r>
        <w:rPr>
          <w:lang w:val="en-US"/>
        </w:rPr>
        <w:t xml:space="preserve"> – procedure for </w:t>
      </w:r>
      <w:r w:rsidRPr="006626C7">
        <w:rPr>
          <w:i/>
          <w:color w:val="1F497D" w:themeColor="text2"/>
          <w:lang w:val="en-US"/>
        </w:rPr>
        <w:t>Fraudulent Preference Act</w:t>
      </w:r>
    </w:p>
    <w:p w:rsidR="006626C7" w:rsidRDefault="006626C7" w:rsidP="00A26F30">
      <w:pPr>
        <w:rPr>
          <w:lang w:val="en-US"/>
        </w:rPr>
      </w:pPr>
    </w:p>
    <w:p w:rsidR="006626C7" w:rsidRDefault="006626C7" w:rsidP="00B46DAE">
      <w:pPr>
        <w:pStyle w:val="Heading4"/>
      </w:pPr>
      <w:r>
        <w:t>Effect of registered certificate of pending litigation</w:t>
      </w:r>
      <w:r w:rsidR="00B46DAE">
        <w:t xml:space="preserve"> </w:t>
      </w:r>
      <w:r w:rsidR="00B46DAE" w:rsidRPr="00B46DAE">
        <w:rPr>
          <w:u w:val="none"/>
        </w:rPr>
        <w:t>[freezes title with exceptions]</w:t>
      </w:r>
    </w:p>
    <w:p w:rsidR="006626C7" w:rsidRDefault="006626C7" w:rsidP="00A26F30">
      <w:pPr>
        <w:rPr>
          <w:lang w:val="en-US"/>
        </w:rPr>
      </w:pPr>
    </w:p>
    <w:p w:rsidR="006626C7" w:rsidRDefault="006626C7" w:rsidP="00A26F30">
      <w:pPr>
        <w:rPr>
          <w:lang w:val="en-US"/>
        </w:rPr>
      </w:pPr>
      <w:r w:rsidRPr="006626C7">
        <w:rPr>
          <w:color w:val="1F497D" w:themeColor="text2"/>
          <w:lang w:val="en-US"/>
        </w:rPr>
        <w:t>216 (1)</w:t>
      </w:r>
      <w:r>
        <w:rPr>
          <w:lang w:val="en-US"/>
        </w:rPr>
        <w:t xml:space="preserve"> After registration of a CPL the registrar </w:t>
      </w:r>
      <w:r w:rsidRPr="00C86ECC">
        <w:rPr>
          <w:b/>
          <w:color w:val="800000"/>
          <w:lang w:val="en-US"/>
        </w:rPr>
        <w:t>must not make any entry in the register that has the effect of dealing with the land</w:t>
      </w:r>
      <w:r>
        <w:rPr>
          <w:lang w:val="en-US"/>
        </w:rPr>
        <w:t xml:space="preserve"> describe</w:t>
      </w:r>
      <w:r w:rsidR="00C86ECC">
        <w:rPr>
          <w:lang w:val="en-US"/>
        </w:rPr>
        <w:t>d</w:t>
      </w:r>
      <w:r>
        <w:rPr>
          <w:lang w:val="en-US"/>
        </w:rPr>
        <w:t xml:space="preserve"> in the CPL until registration of the CPL is canceled in accordance with this Act</w:t>
      </w:r>
    </w:p>
    <w:p w:rsidR="006626C7" w:rsidRDefault="006626C7" w:rsidP="00A26F30">
      <w:pPr>
        <w:rPr>
          <w:lang w:val="en-US"/>
        </w:rPr>
      </w:pPr>
    </w:p>
    <w:p w:rsidR="006626C7" w:rsidRDefault="006626C7" w:rsidP="00A26F30">
      <w:pPr>
        <w:rPr>
          <w:lang w:val="en-US"/>
        </w:rPr>
      </w:pPr>
      <w:r w:rsidRPr="006626C7">
        <w:rPr>
          <w:color w:val="1F497D" w:themeColor="text2"/>
          <w:lang w:val="en-US"/>
        </w:rPr>
        <w:t>(2)</w:t>
      </w:r>
      <w:r>
        <w:rPr>
          <w:lang w:val="en-US"/>
        </w:rPr>
        <w:t xml:space="preserve"> Exceptions to </w:t>
      </w:r>
      <w:r w:rsidRPr="006626C7">
        <w:rPr>
          <w:color w:val="1F497D" w:themeColor="text2"/>
          <w:lang w:val="en-US"/>
        </w:rPr>
        <w:t>subsection (1)</w:t>
      </w:r>
      <w:r>
        <w:rPr>
          <w:lang w:val="en-US"/>
        </w:rPr>
        <w:t>:</w:t>
      </w:r>
    </w:p>
    <w:p w:rsidR="006626C7" w:rsidRPr="006626C7" w:rsidRDefault="006626C7" w:rsidP="006626C7">
      <w:pPr>
        <w:pStyle w:val="ListParagraph"/>
        <w:numPr>
          <w:ilvl w:val="0"/>
          <w:numId w:val="32"/>
        </w:numPr>
        <w:rPr>
          <w:b/>
          <w:color w:val="800000"/>
          <w:lang w:val="en-US"/>
        </w:rPr>
      </w:pPr>
      <w:r w:rsidRPr="006626C7">
        <w:rPr>
          <w:lang w:val="en-US"/>
        </w:rPr>
        <w:t xml:space="preserve">an indefeasible title or a charge if the instrument supporting the application is </w:t>
      </w:r>
      <w:r w:rsidRPr="006626C7">
        <w:rPr>
          <w:b/>
          <w:color w:val="800000"/>
          <w:lang w:val="en-US"/>
        </w:rPr>
        <w:t>expressed to be subject to the final outcome of the proceeding</w:t>
      </w:r>
    </w:p>
    <w:p w:rsidR="006626C7" w:rsidRDefault="006626C7" w:rsidP="006626C7">
      <w:pPr>
        <w:pStyle w:val="ListParagraph"/>
        <w:numPr>
          <w:ilvl w:val="0"/>
          <w:numId w:val="32"/>
        </w:numPr>
        <w:rPr>
          <w:lang w:val="en-US"/>
        </w:rPr>
      </w:pPr>
      <w:r w:rsidRPr="006626C7">
        <w:rPr>
          <w:lang w:val="en-US"/>
        </w:rPr>
        <w:t>an indefeasible title or a charge in respect of which the applicant in writing establishes that he is s</w:t>
      </w:r>
      <w:r>
        <w:rPr>
          <w:lang w:val="en-US"/>
        </w:rPr>
        <w:t>ubject to the outcome of the CPL</w:t>
      </w:r>
    </w:p>
    <w:p w:rsidR="006626C7" w:rsidRPr="006626C7" w:rsidRDefault="006626C7" w:rsidP="006626C7">
      <w:pPr>
        <w:pStyle w:val="ListParagraph"/>
        <w:numPr>
          <w:ilvl w:val="0"/>
          <w:numId w:val="32"/>
        </w:numPr>
        <w:rPr>
          <w:lang w:val="en-US"/>
        </w:rPr>
      </w:pPr>
      <w:r>
        <w:rPr>
          <w:lang w:val="en-US"/>
        </w:rPr>
        <w:t>priority or postponement agre</w:t>
      </w:r>
      <w:r w:rsidR="00B46DAE">
        <w:rPr>
          <w:lang w:val="en-US"/>
        </w:rPr>
        <w:t>e</w:t>
      </w:r>
      <w:r>
        <w:rPr>
          <w:lang w:val="en-US"/>
        </w:rPr>
        <w:t>ment</w:t>
      </w:r>
    </w:p>
    <w:p w:rsidR="006626C7" w:rsidRDefault="006626C7" w:rsidP="006626C7">
      <w:pPr>
        <w:pStyle w:val="ListParagraph"/>
        <w:numPr>
          <w:ilvl w:val="0"/>
          <w:numId w:val="32"/>
        </w:numPr>
        <w:rPr>
          <w:lang w:val="en-US"/>
        </w:rPr>
      </w:pPr>
      <w:r w:rsidRPr="006626C7">
        <w:rPr>
          <w:lang w:val="en-US"/>
        </w:rPr>
        <w:t>a</w:t>
      </w:r>
      <w:r>
        <w:rPr>
          <w:lang w:val="en-US"/>
        </w:rPr>
        <w:t>n assignment of a</w:t>
      </w:r>
      <w:r w:rsidRPr="006626C7">
        <w:rPr>
          <w:lang w:val="en-US"/>
        </w:rPr>
        <w:t xml:space="preserve"> charge registered before the CPL was registered</w:t>
      </w:r>
    </w:p>
    <w:p w:rsidR="006626C7" w:rsidRDefault="006626C7" w:rsidP="00A26F30">
      <w:pPr>
        <w:pStyle w:val="ListParagraph"/>
        <w:numPr>
          <w:ilvl w:val="0"/>
          <w:numId w:val="32"/>
        </w:numPr>
        <w:rPr>
          <w:lang w:val="en-US"/>
        </w:rPr>
      </w:pPr>
      <w:r>
        <w:rPr>
          <w:lang w:val="en-US"/>
        </w:rPr>
        <w:t>a sublease if the principal lease was registered before the CPL was registered</w:t>
      </w:r>
    </w:p>
    <w:p w:rsidR="006626C7" w:rsidRDefault="006626C7" w:rsidP="00A26F30">
      <w:pPr>
        <w:pStyle w:val="ListParagraph"/>
        <w:numPr>
          <w:ilvl w:val="0"/>
          <w:numId w:val="32"/>
        </w:numPr>
        <w:rPr>
          <w:lang w:val="en-US"/>
        </w:rPr>
      </w:pPr>
      <w:r>
        <w:rPr>
          <w:lang w:val="en-US"/>
        </w:rPr>
        <w:t>a builders lien or any other involuntary charge</w:t>
      </w:r>
    </w:p>
    <w:p w:rsidR="006626C7" w:rsidRDefault="006626C7" w:rsidP="006626C7">
      <w:pPr>
        <w:rPr>
          <w:lang w:val="en-US"/>
        </w:rPr>
      </w:pPr>
    </w:p>
    <w:p w:rsidR="006626C7" w:rsidRDefault="006626C7" w:rsidP="006626C7">
      <w:pPr>
        <w:rPr>
          <w:lang w:val="en-US"/>
        </w:rPr>
      </w:pPr>
      <w:r w:rsidRPr="006626C7">
        <w:rPr>
          <w:color w:val="1F497D" w:themeColor="text2"/>
          <w:lang w:val="en-US"/>
        </w:rPr>
        <w:t>(3)</w:t>
      </w:r>
      <w:r>
        <w:rPr>
          <w:lang w:val="en-US"/>
        </w:rPr>
        <w:t xml:space="preserve"> Registration under </w:t>
      </w:r>
      <w:r w:rsidRPr="006626C7">
        <w:rPr>
          <w:color w:val="1F497D" w:themeColor="text2"/>
          <w:lang w:val="en-US"/>
        </w:rPr>
        <w:t>subsection</w:t>
      </w:r>
      <w:r>
        <w:rPr>
          <w:lang w:val="en-US"/>
        </w:rPr>
        <w:t xml:space="preserve"> </w:t>
      </w:r>
      <w:r w:rsidRPr="006626C7">
        <w:rPr>
          <w:color w:val="1F497D" w:themeColor="text2"/>
          <w:lang w:val="en-US"/>
        </w:rPr>
        <w:t>(2)</w:t>
      </w:r>
      <w:r>
        <w:rPr>
          <w:lang w:val="en-US"/>
        </w:rPr>
        <w:t xml:space="preserve"> does not constitute a determination by the registrar that what was registered is not affected by the outcome of the CPL </w:t>
      </w:r>
      <w:r w:rsidRPr="006626C7">
        <w:rPr>
          <w:b/>
          <w:lang w:val="en-US"/>
        </w:rPr>
        <w:t>and</w:t>
      </w:r>
      <w:r>
        <w:rPr>
          <w:lang w:val="en-US"/>
        </w:rPr>
        <w:t xml:space="preserve"> is subject to that outcome if what was registered is affected by that outcome</w:t>
      </w:r>
    </w:p>
    <w:p w:rsidR="006626C7" w:rsidRDefault="006626C7" w:rsidP="006626C7">
      <w:pPr>
        <w:rPr>
          <w:lang w:val="en-US"/>
        </w:rPr>
      </w:pPr>
    </w:p>
    <w:p w:rsidR="006626C7" w:rsidRDefault="006626C7" w:rsidP="00E64BA5">
      <w:pPr>
        <w:pStyle w:val="Heading4"/>
      </w:pPr>
      <w:r>
        <w:t>Effect of CPL if prior application is pending</w:t>
      </w:r>
    </w:p>
    <w:p w:rsidR="006626C7" w:rsidRDefault="006626C7" w:rsidP="006626C7">
      <w:pPr>
        <w:rPr>
          <w:lang w:val="en-US"/>
        </w:rPr>
      </w:pPr>
    </w:p>
    <w:p w:rsidR="00910C27" w:rsidRDefault="006626C7" w:rsidP="006626C7">
      <w:pPr>
        <w:rPr>
          <w:lang w:val="en-US"/>
        </w:rPr>
      </w:pPr>
      <w:r w:rsidRPr="00910C27">
        <w:rPr>
          <w:color w:val="1F497D" w:themeColor="text2"/>
          <w:lang w:val="en-US"/>
        </w:rPr>
        <w:t>217 (1)</w:t>
      </w:r>
      <w:r>
        <w:rPr>
          <w:lang w:val="en-US"/>
        </w:rPr>
        <w:t xml:space="preserve"> </w:t>
      </w:r>
      <w:r w:rsidR="00910C27">
        <w:rPr>
          <w:lang w:val="en-US"/>
        </w:rPr>
        <w:t xml:space="preserve">The registrar may, despite </w:t>
      </w:r>
      <w:r w:rsidR="00910C27" w:rsidRPr="00910C27">
        <w:rPr>
          <w:color w:val="1F497D" w:themeColor="text2"/>
          <w:lang w:val="en-US"/>
        </w:rPr>
        <w:t>section 216</w:t>
      </w:r>
      <w:r w:rsidR="00910C27">
        <w:rPr>
          <w:lang w:val="en-US"/>
        </w:rPr>
        <w:t xml:space="preserve">, make an entry in the register to complete the </w:t>
      </w:r>
      <w:r w:rsidR="00910C27" w:rsidRPr="00910C27">
        <w:rPr>
          <w:b/>
          <w:color w:val="800000"/>
          <w:lang w:val="en-US"/>
        </w:rPr>
        <w:t>registration of an indefeasible title or charge</w:t>
      </w:r>
      <w:r w:rsidR="00910C27">
        <w:rPr>
          <w:lang w:val="en-US"/>
        </w:rPr>
        <w:t xml:space="preserve"> that was applied for before an application to register a CPL was received </w:t>
      </w:r>
    </w:p>
    <w:p w:rsidR="00910C27" w:rsidRDefault="00910C27" w:rsidP="006626C7">
      <w:pPr>
        <w:rPr>
          <w:lang w:val="en-US"/>
        </w:rPr>
      </w:pPr>
    </w:p>
    <w:p w:rsidR="00910C27" w:rsidRPr="00910C27" w:rsidRDefault="00910C27" w:rsidP="006626C7">
      <w:pPr>
        <w:rPr>
          <w:color w:val="1F497D" w:themeColor="text2"/>
          <w:lang w:val="en-US"/>
        </w:rPr>
      </w:pPr>
      <w:r w:rsidRPr="00910C27">
        <w:rPr>
          <w:color w:val="1F497D" w:themeColor="text2"/>
          <w:lang w:val="en-US"/>
        </w:rPr>
        <w:t>(2)</w:t>
      </w:r>
      <w:r>
        <w:rPr>
          <w:lang w:val="en-US"/>
        </w:rPr>
        <w:t xml:space="preserve"> Conditions on </w:t>
      </w:r>
      <w:r w:rsidRPr="00910C27">
        <w:rPr>
          <w:color w:val="1F497D" w:themeColor="text2"/>
          <w:lang w:val="en-US"/>
        </w:rPr>
        <w:t>subsection (1)</w:t>
      </w:r>
    </w:p>
    <w:p w:rsidR="00910C27" w:rsidRDefault="00910C27" w:rsidP="00910C27">
      <w:pPr>
        <w:pStyle w:val="ListParagraph"/>
        <w:numPr>
          <w:ilvl w:val="0"/>
          <w:numId w:val="33"/>
        </w:numPr>
        <w:rPr>
          <w:lang w:val="en-US"/>
        </w:rPr>
      </w:pPr>
      <w:r>
        <w:rPr>
          <w:lang w:val="en-US"/>
        </w:rPr>
        <w:t xml:space="preserve">if applicant is a </w:t>
      </w:r>
      <w:r w:rsidRPr="00910C27">
        <w:rPr>
          <w:b/>
          <w:color w:val="800000"/>
          <w:lang w:val="en-US"/>
        </w:rPr>
        <w:t>party to the proceeding</w:t>
      </w:r>
      <w:r>
        <w:rPr>
          <w:lang w:val="en-US"/>
        </w:rPr>
        <w:t xml:space="preserve"> = subject to its outcome</w:t>
      </w:r>
    </w:p>
    <w:p w:rsidR="00910C27" w:rsidRDefault="00910C27" w:rsidP="00910C27">
      <w:pPr>
        <w:pStyle w:val="ListParagraph"/>
        <w:numPr>
          <w:ilvl w:val="0"/>
          <w:numId w:val="33"/>
        </w:numPr>
        <w:rPr>
          <w:lang w:val="en-US"/>
        </w:rPr>
      </w:pPr>
      <w:r w:rsidRPr="00910C27">
        <w:rPr>
          <w:b/>
          <w:color w:val="800000"/>
          <w:lang w:val="en-US"/>
        </w:rPr>
        <w:t>if not a party</w:t>
      </w:r>
      <w:r>
        <w:rPr>
          <w:lang w:val="en-US"/>
        </w:rPr>
        <w:t>, then the CPL must be cancelled and the CPL applicant must be notified</w:t>
      </w:r>
    </w:p>
    <w:p w:rsidR="00910C27" w:rsidRDefault="00910C27" w:rsidP="00910C27">
      <w:pPr>
        <w:pStyle w:val="ListParagraph"/>
        <w:numPr>
          <w:ilvl w:val="0"/>
          <w:numId w:val="33"/>
        </w:numPr>
        <w:rPr>
          <w:lang w:val="en-US"/>
        </w:rPr>
      </w:pPr>
      <w:r>
        <w:rPr>
          <w:lang w:val="en-US"/>
        </w:rPr>
        <w:t xml:space="preserve">if the CPL relates to the following proceedings then </w:t>
      </w:r>
      <w:r w:rsidRPr="00910C27">
        <w:rPr>
          <w:b/>
          <w:color w:val="800000"/>
          <w:lang w:val="en-US"/>
        </w:rPr>
        <w:t>prior applications are subject to its outcome regardless of the party’s involvement</w:t>
      </w:r>
      <w:r>
        <w:rPr>
          <w:lang w:val="en-US"/>
        </w:rPr>
        <w:t xml:space="preserve"> with proceedings:</w:t>
      </w:r>
    </w:p>
    <w:p w:rsidR="00910C27" w:rsidRDefault="00910C27" w:rsidP="00910C27">
      <w:pPr>
        <w:pStyle w:val="ListParagraph"/>
        <w:numPr>
          <w:ilvl w:val="1"/>
          <w:numId w:val="33"/>
        </w:numPr>
        <w:rPr>
          <w:lang w:val="en-US"/>
        </w:rPr>
      </w:pPr>
      <w:r>
        <w:rPr>
          <w:lang w:val="en-US"/>
        </w:rPr>
        <w:t>a charge, to enforce, foreclose or cancel a registered charge</w:t>
      </w:r>
    </w:p>
    <w:p w:rsidR="00910C27" w:rsidRDefault="00910C27" w:rsidP="00910C27">
      <w:pPr>
        <w:pStyle w:val="ListParagraph"/>
        <w:numPr>
          <w:ilvl w:val="1"/>
          <w:numId w:val="33"/>
        </w:numPr>
        <w:rPr>
          <w:lang w:val="en-US"/>
        </w:rPr>
      </w:pPr>
      <w:r>
        <w:rPr>
          <w:lang w:val="en-US"/>
        </w:rPr>
        <w:t xml:space="preserve">a </w:t>
      </w:r>
      <w:r w:rsidRPr="00910C27">
        <w:rPr>
          <w:i/>
          <w:color w:val="1F497D" w:themeColor="text2"/>
          <w:lang w:val="en-US"/>
        </w:rPr>
        <w:t>Family Law Act</w:t>
      </w:r>
      <w:r>
        <w:rPr>
          <w:lang w:val="en-US"/>
        </w:rPr>
        <w:t xml:space="preserve"> proceeding respecting the division of property </w:t>
      </w:r>
    </w:p>
    <w:p w:rsidR="00910C27" w:rsidRDefault="00910C27" w:rsidP="00910C27">
      <w:pPr>
        <w:pStyle w:val="ListParagraph"/>
        <w:numPr>
          <w:ilvl w:val="1"/>
          <w:numId w:val="33"/>
        </w:numPr>
        <w:rPr>
          <w:lang w:val="en-US"/>
        </w:rPr>
      </w:pPr>
      <w:r>
        <w:rPr>
          <w:lang w:val="en-US"/>
        </w:rPr>
        <w:t xml:space="preserve">a </w:t>
      </w:r>
      <w:r w:rsidRPr="00910C27">
        <w:rPr>
          <w:i/>
          <w:color w:val="1F497D" w:themeColor="text2"/>
          <w:lang w:val="en-US"/>
        </w:rPr>
        <w:t>Wills Variation Act</w:t>
      </w:r>
      <w:r>
        <w:rPr>
          <w:lang w:val="en-US"/>
        </w:rPr>
        <w:t xml:space="preserve"> proceeding</w:t>
      </w:r>
    </w:p>
    <w:p w:rsidR="00910C27" w:rsidRDefault="00910C27" w:rsidP="00910C27">
      <w:pPr>
        <w:pBdr>
          <w:bottom w:val="single" w:sz="12" w:space="1" w:color="auto"/>
        </w:pBdr>
        <w:rPr>
          <w:lang w:val="en-US"/>
        </w:rPr>
      </w:pPr>
    </w:p>
    <w:p w:rsidR="00910C27" w:rsidRPr="00FC038B" w:rsidRDefault="00910C27" w:rsidP="00FC038B">
      <w:pPr>
        <w:pStyle w:val="Heading3"/>
        <w:rPr>
          <w:b w:val="0"/>
          <w:lang w:val="en-US"/>
        </w:rPr>
      </w:pPr>
      <w:bookmarkStart w:id="59" w:name="_Toc259911047"/>
      <w:r w:rsidRPr="00404AF5">
        <w:rPr>
          <w:highlight w:val="yellow"/>
          <w:lang w:val="en-US"/>
        </w:rPr>
        <w:t>PECK v SUN LIFE ASSURANCE CO.</w:t>
      </w:r>
      <w:r w:rsidR="00FC038B">
        <w:rPr>
          <w:lang w:val="en-US"/>
        </w:rPr>
        <w:t>:</w:t>
      </w:r>
      <w:r w:rsidR="00FC038B">
        <w:rPr>
          <w:b w:val="0"/>
          <w:lang w:val="en-US"/>
        </w:rPr>
        <w:t xml:space="preserve"> if a CPL is lodged after a BFPV registers his agreement (or agrees simpliciter) but before the completion of the transfer and the subsequent application to register, then that BFPV is protected but must pay the balance to the party who wins the claim disclosed in the CPL.</w:t>
      </w:r>
      <w:bookmarkEnd w:id="59"/>
    </w:p>
    <w:p w:rsidR="00910C27" w:rsidRDefault="00910C27" w:rsidP="00910C27">
      <w:pPr>
        <w:rPr>
          <w:lang w:val="en-US"/>
        </w:rPr>
      </w:pPr>
    </w:p>
    <w:p w:rsidR="00404AF5" w:rsidRDefault="00910C27" w:rsidP="00910C27">
      <w:pPr>
        <w:rPr>
          <w:lang w:val="en-US"/>
        </w:rPr>
      </w:pPr>
      <w:r>
        <w:rPr>
          <w:lang w:val="en-US"/>
        </w:rPr>
        <w:t>FACTS:</w:t>
      </w:r>
    </w:p>
    <w:p w:rsidR="00404AF5" w:rsidRDefault="00404AF5" w:rsidP="00910C27">
      <w:pPr>
        <w:rPr>
          <w:lang w:val="en-US"/>
        </w:rPr>
      </w:pPr>
    </w:p>
    <w:p w:rsidR="00404AF5" w:rsidRDefault="00404AF5" w:rsidP="00910C27">
      <w:pPr>
        <w:rPr>
          <w:lang w:val="en-US"/>
        </w:rPr>
      </w:pPr>
      <w:r>
        <w:rPr>
          <w:lang w:val="en-US"/>
        </w:rPr>
        <w:t>In 1894, Henry Elliot conveyed lands to his wife and from her by agreement dated 28th October 1896, and registered 7th March, 1897, the plaintiff contracted to purchase one parcel of this land. The agreement was that the purchase money, $3000, should be paid in installments; $500 at first, then the balance in monthly installments of $30 each. Money was paid in these terms until November, 1898. In that month, the plaintiff, having under a fresh arrangement paid a sufficient sum to reduce the unpaid bal</w:t>
      </w:r>
      <w:r w:rsidR="00817B58">
        <w:rPr>
          <w:lang w:val="en-US"/>
        </w:rPr>
        <w:t>a</w:t>
      </w:r>
      <w:r>
        <w:rPr>
          <w:lang w:val="en-US"/>
        </w:rPr>
        <w:t>nce of the purchase money to $1000, Mrs. Elliot then accepted his promissory note for that balance, and executed a deed conveying to him the parcel sold.</w:t>
      </w:r>
    </w:p>
    <w:p w:rsidR="00404AF5" w:rsidRDefault="00404AF5" w:rsidP="00910C27">
      <w:pPr>
        <w:rPr>
          <w:lang w:val="en-US"/>
        </w:rPr>
      </w:pPr>
    </w:p>
    <w:p w:rsidR="00404AF5" w:rsidRDefault="00404AF5" w:rsidP="00910C27">
      <w:pPr>
        <w:rPr>
          <w:lang w:val="en-US"/>
        </w:rPr>
      </w:pPr>
      <w:r>
        <w:rPr>
          <w:lang w:val="en-US"/>
        </w:rPr>
        <w:t>When the plaintiff applied to register he discovered that there were proceedings between his contract to purchase and registration date against Mrs. Elliot by the defendant company claiming that the original conveyance from her husband was fraudulent. There was a CPL lodged in September 1897. They won the case in 1901.</w:t>
      </w:r>
    </w:p>
    <w:p w:rsidR="00404AF5" w:rsidRDefault="00404AF5" w:rsidP="00910C27">
      <w:pPr>
        <w:rPr>
          <w:lang w:val="en-US"/>
        </w:rPr>
      </w:pPr>
    </w:p>
    <w:p w:rsidR="00404AF5" w:rsidRPr="00404AF5" w:rsidRDefault="00404AF5" w:rsidP="00910C27">
      <w:pPr>
        <w:rPr>
          <w:lang w:val="en-US"/>
        </w:rPr>
      </w:pPr>
      <w:r>
        <w:rPr>
          <w:lang w:val="en-US"/>
        </w:rPr>
        <w:t xml:space="preserve">Plaintiff argued that </w:t>
      </w:r>
      <w:r>
        <w:rPr>
          <w:i/>
          <w:lang w:val="en-US"/>
        </w:rPr>
        <w:t>lis pendens</w:t>
      </w:r>
      <w:r>
        <w:rPr>
          <w:lang w:val="en-US"/>
        </w:rPr>
        <w:t xml:space="preserve"> was improperly registered, and won at trial. Defendant appealed.</w:t>
      </w:r>
    </w:p>
    <w:p w:rsidR="00404AF5" w:rsidRDefault="00404AF5" w:rsidP="00910C27">
      <w:pPr>
        <w:rPr>
          <w:lang w:val="en-US"/>
        </w:rPr>
      </w:pPr>
    </w:p>
    <w:p w:rsidR="00404AF5" w:rsidRDefault="00404AF5" w:rsidP="00910C27">
      <w:pPr>
        <w:rPr>
          <w:lang w:val="en-US"/>
        </w:rPr>
      </w:pPr>
      <w:r>
        <w:rPr>
          <w:lang w:val="en-US"/>
        </w:rPr>
        <w:t>ISSUE:</w:t>
      </w:r>
    </w:p>
    <w:p w:rsidR="00404AF5" w:rsidRDefault="00404AF5" w:rsidP="00910C27">
      <w:pPr>
        <w:rPr>
          <w:lang w:val="en-US"/>
        </w:rPr>
      </w:pPr>
    </w:p>
    <w:p w:rsidR="00404AF5" w:rsidRDefault="00404AF5" w:rsidP="00910C27">
      <w:pPr>
        <w:rPr>
          <w:lang w:val="en-US"/>
        </w:rPr>
      </w:pPr>
      <w:r>
        <w:rPr>
          <w:lang w:val="en-US"/>
        </w:rPr>
        <w:t xml:space="preserve">Is Peck subject to the outcome of the trial? </w:t>
      </w:r>
    </w:p>
    <w:p w:rsidR="001B1C7D" w:rsidRDefault="001B1C7D" w:rsidP="00910C27">
      <w:pPr>
        <w:rPr>
          <w:lang w:val="en-US"/>
        </w:rPr>
      </w:pPr>
    </w:p>
    <w:p w:rsidR="001B1C7D" w:rsidRDefault="001B1C7D" w:rsidP="00910C27">
      <w:pPr>
        <w:rPr>
          <w:lang w:val="en-US"/>
        </w:rPr>
      </w:pPr>
      <w:r>
        <w:rPr>
          <w:lang w:val="en-US"/>
        </w:rPr>
        <w:t>If the CPL was not improperly lodged, then is the plaintiff subject to pay the outstanding balance he had already paid by promissory note to get the title?</w:t>
      </w:r>
    </w:p>
    <w:p w:rsidR="00404AF5" w:rsidRDefault="00404AF5" w:rsidP="00910C27">
      <w:pPr>
        <w:rPr>
          <w:lang w:val="en-US"/>
        </w:rPr>
      </w:pPr>
    </w:p>
    <w:p w:rsidR="00910C27" w:rsidRDefault="00404AF5" w:rsidP="00910C27">
      <w:pPr>
        <w:rPr>
          <w:lang w:val="en-US"/>
        </w:rPr>
      </w:pPr>
      <w:r>
        <w:rPr>
          <w:lang w:val="en-US"/>
        </w:rPr>
        <w:t xml:space="preserve">HELD: </w:t>
      </w:r>
    </w:p>
    <w:p w:rsidR="00404AF5" w:rsidRDefault="00404AF5" w:rsidP="00910C27">
      <w:pPr>
        <w:rPr>
          <w:lang w:val="en-US"/>
        </w:rPr>
      </w:pPr>
    </w:p>
    <w:p w:rsidR="00404AF5" w:rsidRPr="001B1C7D" w:rsidRDefault="00404AF5" w:rsidP="00910C27">
      <w:pPr>
        <w:rPr>
          <w:lang w:val="en-US"/>
        </w:rPr>
      </w:pPr>
      <w:r>
        <w:rPr>
          <w:lang w:val="en-US"/>
        </w:rPr>
        <w:t>CPL was not improperly lodged</w:t>
      </w:r>
      <w:r w:rsidR="001B1C7D">
        <w:rPr>
          <w:lang w:val="en-US"/>
        </w:rPr>
        <w:t xml:space="preserve">, since the “fresh arrangement” constituted a new transaction, which occurred after the CPL and there was </w:t>
      </w:r>
      <w:r w:rsidR="001B1C7D">
        <w:rPr>
          <w:i/>
          <w:lang w:val="en-US"/>
        </w:rPr>
        <w:t>subject to it</w:t>
      </w:r>
      <w:r w:rsidR="001B1C7D">
        <w:rPr>
          <w:lang w:val="en-US"/>
        </w:rPr>
        <w:t>.</w:t>
      </w:r>
    </w:p>
    <w:p w:rsidR="00817B58" w:rsidRDefault="00817B58" w:rsidP="00910C27">
      <w:pPr>
        <w:rPr>
          <w:lang w:val="en-US"/>
        </w:rPr>
      </w:pPr>
    </w:p>
    <w:p w:rsidR="00817B58" w:rsidRPr="00817B58" w:rsidRDefault="00817B58" w:rsidP="00910C27">
      <w:pPr>
        <w:rPr>
          <w:lang w:val="en-US"/>
        </w:rPr>
      </w:pPr>
      <w:r>
        <w:rPr>
          <w:lang w:val="en-US"/>
        </w:rPr>
        <w:t xml:space="preserve">However, the plaintiff can still pay the outstanding balance of the first deal (registered in March, 1897) since he was </w:t>
      </w:r>
      <w:r>
        <w:rPr>
          <w:i/>
          <w:lang w:val="en-US"/>
        </w:rPr>
        <w:t>bona fide</w:t>
      </w:r>
      <w:r>
        <w:rPr>
          <w:lang w:val="en-US"/>
        </w:rPr>
        <w:t xml:space="preserve"> without notice to get title. He must pay the money to the defendant and not Mrs. Eliot, because the transfer which granted her title was void due to fraud.</w:t>
      </w:r>
    </w:p>
    <w:p w:rsidR="00404AF5" w:rsidRDefault="00404AF5" w:rsidP="00910C27">
      <w:pPr>
        <w:rPr>
          <w:lang w:val="en-US"/>
        </w:rPr>
      </w:pPr>
    </w:p>
    <w:p w:rsidR="00404AF5" w:rsidRDefault="00404AF5" w:rsidP="00910C27">
      <w:pPr>
        <w:rPr>
          <w:lang w:val="en-US"/>
        </w:rPr>
      </w:pPr>
      <w:r>
        <w:rPr>
          <w:lang w:val="en-US"/>
        </w:rPr>
        <w:t>RATIO:</w:t>
      </w:r>
    </w:p>
    <w:p w:rsidR="00404AF5" w:rsidRDefault="00404AF5" w:rsidP="00910C27">
      <w:pPr>
        <w:rPr>
          <w:lang w:val="en-US"/>
        </w:rPr>
      </w:pPr>
    </w:p>
    <w:p w:rsidR="00817B58" w:rsidRDefault="00817B58" w:rsidP="00817B58">
      <w:pPr>
        <w:pBdr>
          <w:bottom w:val="single" w:sz="12" w:space="1" w:color="auto"/>
        </w:pBdr>
        <w:rPr>
          <w:lang w:val="en-US"/>
        </w:rPr>
      </w:pPr>
      <w:r>
        <w:rPr>
          <w:lang w:val="en-US"/>
        </w:rPr>
        <w:t xml:space="preserve">If a CPL is lodged after a </w:t>
      </w:r>
      <w:r>
        <w:rPr>
          <w:i/>
          <w:lang w:val="en-US"/>
        </w:rPr>
        <w:t>bona fide purchaser</w:t>
      </w:r>
      <w:r>
        <w:rPr>
          <w:lang w:val="en-US"/>
        </w:rPr>
        <w:t xml:space="preserve"> registers his agreement (or agrees </w:t>
      </w:r>
      <w:r>
        <w:rPr>
          <w:i/>
          <w:lang w:val="en-US"/>
        </w:rPr>
        <w:t>simpliciter</w:t>
      </w:r>
      <w:r>
        <w:rPr>
          <w:lang w:val="en-US"/>
        </w:rPr>
        <w:t xml:space="preserve">) but before the completion of the transfer and the subsequent application to register, then that </w:t>
      </w:r>
      <w:r>
        <w:rPr>
          <w:i/>
          <w:lang w:val="en-US"/>
        </w:rPr>
        <w:t xml:space="preserve">bona fide purchaser </w:t>
      </w:r>
      <w:r>
        <w:rPr>
          <w:lang w:val="en-US"/>
        </w:rPr>
        <w:t xml:space="preserve">is protected but must pay the balance to the party in favour of who the claim is resolved. </w:t>
      </w:r>
    </w:p>
    <w:p w:rsidR="00905A63" w:rsidRPr="00905A63" w:rsidRDefault="00905A63" w:rsidP="00D34F3B">
      <w:pPr>
        <w:pStyle w:val="Heading3"/>
        <w:rPr>
          <w:lang w:val="en-US"/>
        </w:rPr>
      </w:pPr>
      <w:bookmarkStart w:id="60" w:name="_Toc259911048"/>
      <w:r w:rsidRPr="00905A63">
        <w:rPr>
          <w:highlight w:val="yellow"/>
          <w:lang w:val="en-US"/>
        </w:rPr>
        <w:t>RUDLAND v ROMILLY</w:t>
      </w:r>
      <w:r w:rsidR="00FB3E21">
        <w:rPr>
          <w:lang w:val="en-US"/>
        </w:rPr>
        <w:t xml:space="preserve"> </w:t>
      </w:r>
      <w:r w:rsidR="00FB3E21" w:rsidRPr="00FB3E21">
        <w:rPr>
          <w:b w:val="0"/>
          <w:lang w:val="en-US"/>
        </w:rPr>
        <w:t>the delays inevitable in a busy land registry office cannot effect the title of an honest buyer</w:t>
      </w:r>
      <w:r w:rsidR="00FB3E21">
        <w:rPr>
          <w:lang w:val="en-US"/>
        </w:rPr>
        <w:t>.</w:t>
      </w:r>
      <w:r w:rsidR="00D5366F">
        <w:rPr>
          <w:lang w:val="en-US"/>
        </w:rPr>
        <w:t xml:space="preserve"> </w:t>
      </w:r>
      <w:r w:rsidR="00D5366F" w:rsidRPr="00D5366F">
        <w:rPr>
          <w:b w:val="0"/>
          <w:lang w:val="en-US"/>
        </w:rPr>
        <w:t>In the absence of fraud a clear right to registration is the same as registration (4 conditions)</w:t>
      </w:r>
      <w:bookmarkEnd w:id="60"/>
    </w:p>
    <w:p w:rsidR="00905A63" w:rsidRDefault="00905A63" w:rsidP="00817B58">
      <w:pPr>
        <w:rPr>
          <w:lang w:val="en-US"/>
        </w:rPr>
      </w:pPr>
    </w:p>
    <w:p w:rsidR="00905A63" w:rsidRDefault="00905A63" w:rsidP="00817B58">
      <w:pPr>
        <w:rPr>
          <w:lang w:val="en-US"/>
        </w:rPr>
      </w:pPr>
      <w:r>
        <w:rPr>
          <w:lang w:val="en-US"/>
        </w:rPr>
        <w:t>FACTS:</w:t>
      </w:r>
    </w:p>
    <w:p w:rsidR="00905A63" w:rsidRDefault="00905A63" w:rsidP="00817B58">
      <w:pPr>
        <w:rPr>
          <w:lang w:val="en-US"/>
        </w:rPr>
      </w:pPr>
    </w:p>
    <w:p w:rsidR="00905A63" w:rsidRDefault="00905A63" w:rsidP="00817B58">
      <w:pPr>
        <w:rPr>
          <w:lang w:val="en-US"/>
        </w:rPr>
      </w:pPr>
      <w:r>
        <w:rPr>
          <w:lang w:val="en-US"/>
        </w:rPr>
        <w:t>November 21: Romilly executed a deed conveying fee simple to Lindsay for consideration</w:t>
      </w:r>
    </w:p>
    <w:p w:rsidR="00905A63" w:rsidRDefault="00905A63" w:rsidP="00817B58">
      <w:pPr>
        <w:rPr>
          <w:lang w:val="en-US"/>
        </w:rPr>
      </w:pPr>
      <w:r>
        <w:rPr>
          <w:lang w:val="en-US"/>
        </w:rPr>
        <w:t>December 14: Lindsay applied to register that deed</w:t>
      </w:r>
    </w:p>
    <w:p w:rsidR="007D62E4" w:rsidRDefault="00905A63" w:rsidP="00817B58">
      <w:pPr>
        <w:rPr>
          <w:lang w:val="en-US"/>
        </w:rPr>
      </w:pPr>
      <w:r>
        <w:rPr>
          <w:lang w:val="en-US"/>
        </w:rPr>
        <w:t xml:space="preserve">December 16: Lindsay executed a deed to Rudland </w:t>
      </w:r>
      <w:r w:rsidR="007D62E4">
        <w:rPr>
          <w:lang w:val="en-US"/>
        </w:rPr>
        <w:t>as collateral for a loan due December 23rd</w:t>
      </w:r>
    </w:p>
    <w:p w:rsidR="007D62E4" w:rsidRDefault="007D62E4" w:rsidP="00817B58">
      <w:pPr>
        <w:rPr>
          <w:lang w:val="en-US"/>
        </w:rPr>
      </w:pPr>
      <w:r>
        <w:rPr>
          <w:lang w:val="en-US"/>
        </w:rPr>
        <w:t>December 29: a certificate of title (proof of registration) was issued to Lindsay free of charges</w:t>
      </w:r>
    </w:p>
    <w:p w:rsidR="007D62E4" w:rsidRDefault="007D62E4" w:rsidP="00817B58">
      <w:pPr>
        <w:rPr>
          <w:lang w:val="en-US"/>
        </w:rPr>
      </w:pPr>
      <w:r>
        <w:rPr>
          <w:lang w:val="en-US"/>
        </w:rPr>
        <w:t>December 29: an application to register the deed given from Lindsay to Rudland was lodged</w:t>
      </w:r>
    </w:p>
    <w:p w:rsidR="007D62E4" w:rsidRDefault="007D62E4" w:rsidP="00817B58">
      <w:pPr>
        <w:rPr>
          <w:lang w:val="en-US"/>
        </w:rPr>
      </w:pPr>
    </w:p>
    <w:p w:rsidR="007D62E4" w:rsidRDefault="007D62E4" w:rsidP="00817B58">
      <w:pPr>
        <w:rPr>
          <w:lang w:val="en-US"/>
        </w:rPr>
      </w:pPr>
      <w:r>
        <w:rPr>
          <w:lang w:val="en-US"/>
        </w:rPr>
        <w:t>After the application to register was made, but before the registration was effected, Romilly commenced proceedings against Lindsay on the ground of fraud</w:t>
      </w:r>
    </w:p>
    <w:p w:rsidR="007D62E4" w:rsidRDefault="007D62E4" w:rsidP="00817B58">
      <w:pPr>
        <w:rPr>
          <w:lang w:val="en-US"/>
        </w:rPr>
      </w:pPr>
    </w:p>
    <w:p w:rsidR="007D62E4" w:rsidRDefault="007D62E4" w:rsidP="00817B58">
      <w:pPr>
        <w:rPr>
          <w:lang w:val="en-US"/>
        </w:rPr>
      </w:pPr>
      <w:r>
        <w:rPr>
          <w:lang w:val="en-US"/>
        </w:rPr>
        <w:t>January 16: Romilly lodged a CPL on the land, still in Lindsay’s name.</w:t>
      </w:r>
      <w:r>
        <w:rPr>
          <w:lang w:val="en-US"/>
        </w:rPr>
        <w:br/>
      </w:r>
      <w:r>
        <w:rPr>
          <w:lang w:val="en-US"/>
        </w:rPr>
        <w:br/>
        <w:t>The registrar refused to issue a certificate of title to Rudland until CPL was disposed of.</w:t>
      </w:r>
    </w:p>
    <w:p w:rsidR="007D62E4" w:rsidRDefault="007D62E4" w:rsidP="00817B58">
      <w:pPr>
        <w:rPr>
          <w:lang w:val="en-US"/>
        </w:rPr>
      </w:pPr>
    </w:p>
    <w:p w:rsidR="007D62E4" w:rsidRPr="00C04247" w:rsidRDefault="007D62E4" w:rsidP="00817B58">
      <w:pPr>
        <w:rPr>
          <w:lang w:val="en-US"/>
        </w:rPr>
      </w:pPr>
      <w:r>
        <w:rPr>
          <w:lang w:val="en-US"/>
        </w:rPr>
        <w:t xml:space="preserve">Plaintiff commenced actions to get rid of lis pendens.  </w:t>
      </w:r>
      <w:r w:rsidR="00C04247">
        <w:rPr>
          <w:lang w:val="en-US"/>
        </w:rPr>
        <w:t xml:space="preserve">Romily did not add Rudland as a defendant to that </w:t>
      </w:r>
      <w:r w:rsidR="00C04247">
        <w:rPr>
          <w:i/>
          <w:lang w:val="en-US"/>
        </w:rPr>
        <w:t>lis</w:t>
      </w:r>
      <w:r w:rsidR="00C04247">
        <w:rPr>
          <w:lang w:val="en-US"/>
        </w:rPr>
        <w:t>.</w:t>
      </w:r>
    </w:p>
    <w:p w:rsidR="007D62E4" w:rsidRDefault="007D62E4" w:rsidP="00817B58">
      <w:pPr>
        <w:rPr>
          <w:lang w:val="en-US"/>
        </w:rPr>
      </w:pPr>
    </w:p>
    <w:p w:rsidR="007D62E4" w:rsidRDefault="007D62E4" w:rsidP="00817B58">
      <w:pPr>
        <w:rPr>
          <w:lang w:val="en-US"/>
        </w:rPr>
      </w:pPr>
      <w:r>
        <w:rPr>
          <w:lang w:val="en-US"/>
        </w:rPr>
        <w:t>ISSUE:</w:t>
      </w:r>
    </w:p>
    <w:p w:rsidR="007D62E4" w:rsidRDefault="007D62E4" w:rsidP="00817B58">
      <w:pPr>
        <w:rPr>
          <w:lang w:val="en-US"/>
        </w:rPr>
      </w:pPr>
    </w:p>
    <w:p w:rsidR="007D62E4" w:rsidRDefault="007D62E4" w:rsidP="007D62E4">
      <w:pPr>
        <w:rPr>
          <w:lang w:val="en-US"/>
        </w:rPr>
      </w:pPr>
      <w:r>
        <w:rPr>
          <w:lang w:val="en-US"/>
        </w:rPr>
        <w:t xml:space="preserve">Is Rudland’s </w:t>
      </w:r>
      <w:r>
        <w:rPr>
          <w:i/>
          <w:lang w:val="en-US"/>
        </w:rPr>
        <w:t>in rem</w:t>
      </w:r>
      <w:r>
        <w:rPr>
          <w:lang w:val="en-US"/>
        </w:rPr>
        <w:t xml:space="preserve"> right subject to the outcome of the </w:t>
      </w:r>
      <w:r>
        <w:rPr>
          <w:i/>
          <w:lang w:val="en-US"/>
        </w:rPr>
        <w:t>lis pendens</w:t>
      </w:r>
      <w:r>
        <w:rPr>
          <w:lang w:val="en-US"/>
        </w:rPr>
        <w:t>?</w:t>
      </w:r>
    </w:p>
    <w:p w:rsidR="007D62E4" w:rsidRDefault="007D62E4" w:rsidP="007D62E4">
      <w:pPr>
        <w:rPr>
          <w:lang w:val="en-US"/>
        </w:rPr>
      </w:pPr>
    </w:p>
    <w:p w:rsidR="007D62E4" w:rsidRDefault="007D62E4" w:rsidP="007D62E4">
      <w:pPr>
        <w:rPr>
          <w:lang w:val="en-US"/>
        </w:rPr>
      </w:pPr>
      <w:r>
        <w:rPr>
          <w:lang w:val="en-US"/>
        </w:rPr>
        <w:t>HELD:</w:t>
      </w:r>
    </w:p>
    <w:p w:rsidR="007D62E4" w:rsidRDefault="007D62E4" w:rsidP="007D62E4">
      <w:pPr>
        <w:rPr>
          <w:lang w:val="en-US"/>
        </w:rPr>
      </w:pPr>
    </w:p>
    <w:p w:rsidR="007D62E4" w:rsidRDefault="007D62E4" w:rsidP="007D62E4">
      <w:pPr>
        <w:rPr>
          <w:lang w:val="en-US"/>
        </w:rPr>
      </w:pPr>
      <w:r>
        <w:rPr>
          <w:lang w:val="en-US"/>
        </w:rPr>
        <w:t>Romilly has no interest in the land. Plaintiff wins. Only the delays inevitable in the operation of the LTO stopped her getting a clear certificate of title on application on January 29, when Lindsay had clear title, making Rudland BPFV</w:t>
      </w:r>
    </w:p>
    <w:p w:rsidR="007D62E4" w:rsidRDefault="007D62E4" w:rsidP="007D62E4">
      <w:pPr>
        <w:rPr>
          <w:lang w:val="en-US"/>
        </w:rPr>
      </w:pPr>
    </w:p>
    <w:p w:rsidR="007D62E4" w:rsidRDefault="007D62E4" w:rsidP="007D62E4">
      <w:pPr>
        <w:rPr>
          <w:lang w:val="en-US"/>
        </w:rPr>
      </w:pPr>
      <w:r>
        <w:rPr>
          <w:lang w:val="en-US"/>
        </w:rPr>
        <w:t>RATIO:</w:t>
      </w:r>
    </w:p>
    <w:p w:rsidR="007D62E4" w:rsidRDefault="007D62E4" w:rsidP="007D62E4">
      <w:pPr>
        <w:rPr>
          <w:lang w:val="en-US"/>
        </w:rPr>
      </w:pPr>
    </w:p>
    <w:p w:rsidR="007D62E4" w:rsidRDefault="007D62E4" w:rsidP="007D62E4">
      <w:pPr>
        <w:rPr>
          <w:lang w:val="en-US"/>
        </w:rPr>
      </w:pPr>
      <w:r>
        <w:rPr>
          <w:lang w:val="en-US"/>
        </w:rPr>
        <w:t xml:space="preserve">The delays inevitable in a busy land registry office cannot effect the title of an honest buyer. </w:t>
      </w:r>
    </w:p>
    <w:p w:rsidR="007D62E4" w:rsidRDefault="007D62E4" w:rsidP="007D62E4">
      <w:pPr>
        <w:rPr>
          <w:lang w:val="en-US"/>
        </w:rPr>
      </w:pPr>
    </w:p>
    <w:p w:rsidR="007D62E4" w:rsidRDefault="007D62E4" w:rsidP="007D62E4">
      <w:pPr>
        <w:rPr>
          <w:lang w:val="en-US"/>
        </w:rPr>
      </w:pPr>
      <w:r>
        <w:rPr>
          <w:lang w:val="en-US"/>
        </w:rPr>
        <w:t>In the absence of fraud, a clear right to registration is the same as registration</w:t>
      </w:r>
      <w:r w:rsidR="00C04247">
        <w:rPr>
          <w:lang w:val="en-US"/>
        </w:rPr>
        <w:t xml:space="preserve"> (</w:t>
      </w:r>
      <w:r w:rsidR="00C04247" w:rsidRPr="00C04247">
        <w:rPr>
          <w:i/>
          <w:color w:val="1F497D" w:themeColor="text2"/>
          <w:lang w:val="en-US"/>
        </w:rPr>
        <w:t>Re Saville Row</w:t>
      </w:r>
      <w:r w:rsidR="00C04247">
        <w:rPr>
          <w:lang w:val="en-US"/>
        </w:rPr>
        <w:t>)</w:t>
      </w:r>
      <w:r>
        <w:rPr>
          <w:lang w:val="en-US"/>
        </w:rPr>
        <w:t xml:space="preserve"> where:</w:t>
      </w:r>
    </w:p>
    <w:p w:rsidR="007D62E4" w:rsidRDefault="007D62E4" w:rsidP="007D62E4">
      <w:pPr>
        <w:rPr>
          <w:lang w:val="en-US"/>
        </w:rPr>
      </w:pPr>
    </w:p>
    <w:p w:rsidR="007D62E4" w:rsidRPr="007D62E4" w:rsidRDefault="007D62E4" w:rsidP="007D62E4">
      <w:pPr>
        <w:pStyle w:val="ListParagraph"/>
        <w:numPr>
          <w:ilvl w:val="0"/>
          <w:numId w:val="34"/>
        </w:numPr>
        <w:rPr>
          <w:lang w:val="en-US"/>
        </w:rPr>
      </w:pPr>
      <w:r w:rsidRPr="007D62E4">
        <w:rPr>
          <w:lang w:val="en-US"/>
        </w:rPr>
        <w:t xml:space="preserve">the person claiming such a right is a </w:t>
      </w:r>
      <w:r w:rsidRPr="007D62E4">
        <w:rPr>
          <w:i/>
          <w:lang w:val="en-US"/>
        </w:rPr>
        <w:t xml:space="preserve">bona fide </w:t>
      </w:r>
      <w:r w:rsidRPr="007D62E4">
        <w:rPr>
          <w:lang w:val="en-US"/>
        </w:rPr>
        <w:t>purchaser for valuable consideration</w:t>
      </w:r>
    </w:p>
    <w:p w:rsidR="007D62E4" w:rsidRDefault="007D62E4" w:rsidP="007D62E4">
      <w:pPr>
        <w:pStyle w:val="ListParagraph"/>
        <w:numPr>
          <w:ilvl w:val="0"/>
          <w:numId w:val="34"/>
        </w:numPr>
        <w:rPr>
          <w:lang w:val="en-US"/>
        </w:rPr>
      </w:pPr>
      <w:r>
        <w:rPr>
          <w:lang w:val="en-US"/>
        </w:rPr>
        <w:t xml:space="preserve">The right has been acquired and registration thereof applied for prior to the filing of the certificate of </w:t>
      </w:r>
      <w:r>
        <w:rPr>
          <w:i/>
          <w:lang w:val="en-US"/>
        </w:rPr>
        <w:t>lis pendens</w:t>
      </w:r>
      <w:r>
        <w:rPr>
          <w:lang w:val="en-US"/>
        </w:rPr>
        <w:t>, and</w:t>
      </w:r>
    </w:p>
    <w:p w:rsidR="00C04247" w:rsidRDefault="007D62E4" w:rsidP="007D62E4">
      <w:pPr>
        <w:pStyle w:val="ListParagraph"/>
        <w:numPr>
          <w:ilvl w:val="0"/>
          <w:numId w:val="34"/>
        </w:numPr>
        <w:rPr>
          <w:lang w:val="en-US"/>
        </w:rPr>
      </w:pPr>
      <w:r>
        <w:rPr>
          <w:lang w:val="en-US"/>
        </w:rPr>
        <w:t xml:space="preserve">Such a purchaser is not made a party to the </w:t>
      </w:r>
      <w:r>
        <w:rPr>
          <w:i/>
          <w:lang w:val="en-US"/>
        </w:rPr>
        <w:t>lis</w:t>
      </w:r>
      <w:r>
        <w:rPr>
          <w:lang w:val="en-US"/>
        </w:rPr>
        <w:t>, if he were the matter would then be “Before the court”</w:t>
      </w:r>
    </w:p>
    <w:p w:rsidR="00C04247" w:rsidRDefault="00C04247" w:rsidP="007D62E4">
      <w:pPr>
        <w:pStyle w:val="ListParagraph"/>
        <w:numPr>
          <w:ilvl w:val="0"/>
          <w:numId w:val="34"/>
        </w:numPr>
        <w:rPr>
          <w:lang w:val="en-US"/>
        </w:rPr>
      </w:pPr>
      <w:r>
        <w:rPr>
          <w:lang w:val="en-US"/>
        </w:rPr>
        <w:t>In the case of an agreement for sale or mortgage the plaintiff has failed to give the purchaser or mortgagor notice and taken the proper proceedings by way of equitable execution or otherwise.</w:t>
      </w:r>
    </w:p>
    <w:p w:rsidR="00817B58" w:rsidRPr="00C04247" w:rsidRDefault="00817B58" w:rsidP="00C04247">
      <w:pPr>
        <w:rPr>
          <w:lang w:val="en-US"/>
        </w:rPr>
      </w:pPr>
    </w:p>
    <w:p w:rsidR="00817B58" w:rsidRDefault="00817B58" w:rsidP="00910C27">
      <w:pPr>
        <w:rPr>
          <w:lang w:val="en-US"/>
        </w:rPr>
      </w:pPr>
    </w:p>
    <w:p w:rsidR="00D336A0" w:rsidRPr="00D336A0" w:rsidRDefault="00D336A0" w:rsidP="00910C27">
      <w:pPr>
        <w:rPr>
          <w:color w:val="800000"/>
          <w:lang w:val="en-US"/>
        </w:rPr>
      </w:pPr>
      <w:r>
        <w:rPr>
          <w:lang w:val="en-US"/>
        </w:rPr>
        <w:t xml:space="preserve">In </w:t>
      </w:r>
      <w:r w:rsidRPr="00D336A0">
        <w:rPr>
          <w:i/>
          <w:color w:val="1F497D" w:themeColor="text2"/>
          <w:lang w:val="en-US"/>
        </w:rPr>
        <w:t>Paramount Life</w:t>
      </w:r>
      <w:r>
        <w:rPr>
          <w:lang w:val="en-US"/>
        </w:rPr>
        <w:t xml:space="preserve">, a fraudulent conveyance led to an application registration and application of mortgage at the registry on the same day. Both were duly registered, which resulted in a registered charge of the mortgage on the certificate of title. Once the fraud was discovered, the title reverted to its rightful owner, but the Alberta Court of Appeal held that the original owner was subject to the mortgage. An applicant wishing to register a charge does not have to wait for the certificate of title to be produced, only that the application of the charge follows the application of the fee simple. </w:t>
      </w:r>
      <w:r w:rsidRPr="00D336A0">
        <w:rPr>
          <w:color w:val="800000"/>
          <w:lang w:val="en-US"/>
        </w:rPr>
        <w:t xml:space="preserve">The legislation in Alberta is different, it grants immediate indefeasibility to all </w:t>
      </w:r>
      <w:r w:rsidRPr="00D336A0">
        <w:rPr>
          <w:i/>
          <w:color w:val="800000"/>
          <w:lang w:val="en-US"/>
        </w:rPr>
        <w:t>in rem</w:t>
      </w:r>
      <w:r w:rsidRPr="00D336A0">
        <w:rPr>
          <w:color w:val="800000"/>
          <w:lang w:val="en-US"/>
        </w:rPr>
        <w:t xml:space="preserve"> interests.</w:t>
      </w:r>
    </w:p>
    <w:p w:rsidR="00D336A0" w:rsidRDefault="00D336A0" w:rsidP="00910C27">
      <w:pPr>
        <w:pBdr>
          <w:bottom w:val="single" w:sz="12" w:space="1" w:color="auto"/>
        </w:pBdr>
        <w:rPr>
          <w:lang w:val="en-US"/>
        </w:rPr>
      </w:pPr>
    </w:p>
    <w:p w:rsidR="00D336A0" w:rsidRPr="00D336A0" w:rsidRDefault="00D336A0" w:rsidP="00910C27">
      <w:pPr>
        <w:rPr>
          <w:b/>
          <w:sz w:val="22"/>
          <w:u w:val="single"/>
          <w:lang w:val="en-US"/>
        </w:rPr>
      </w:pPr>
    </w:p>
    <w:p w:rsidR="00D336A0" w:rsidRPr="002F44A4" w:rsidRDefault="00D336A0" w:rsidP="003A60FA">
      <w:pPr>
        <w:pStyle w:val="Heading3"/>
        <w:rPr>
          <w:lang w:val="en-US"/>
        </w:rPr>
      </w:pPr>
      <w:bookmarkStart w:id="61" w:name="_Toc259911049"/>
      <w:r w:rsidRPr="00D336A0">
        <w:rPr>
          <w:highlight w:val="yellow"/>
          <w:lang w:val="en-US"/>
        </w:rPr>
        <w:t>CANADA PERMANENT MORTGAGE CORPORATION v BRITISH COLUMBIA (REGISTRAR OF TITLES)</w:t>
      </w:r>
      <w:r w:rsidR="002F44A4">
        <w:rPr>
          <w:lang w:val="en-US"/>
        </w:rPr>
        <w:t xml:space="preserve">: </w:t>
      </w:r>
      <w:r w:rsidR="002F44A4" w:rsidRPr="003A60FA">
        <w:rPr>
          <w:b w:val="0"/>
          <w:lang w:val="en-US"/>
        </w:rPr>
        <w:t>charge holder does not have to wait for certificate of title to be issued to R.O. to register charge (overturned by section 155</w:t>
      </w:r>
      <w:r w:rsidR="00F13D45" w:rsidRPr="003A60FA">
        <w:rPr>
          <w:b w:val="0"/>
          <w:lang w:val="en-US"/>
        </w:rPr>
        <w:t>, 198</w:t>
      </w:r>
      <w:r w:rsidR="002F44A4" w:rsidRPr="003A60FA">
        <w:rPr>
          <w:b w:val="0"/>
          <w:lang w:val="en-US"/>
        </w:rPr>
        <w:t xml:space="preserve"> LTA)</w:t>
      </w:r>
      <w:bookmarkEnd w:id="61"/>
    </w:p>
    <w:p w:rsidR="00D336A0" w:rsidRDefault="00D336A0" w:rsidP="00910C27">
      <w:pPr>
        <w:rPr>
          <w:lang w:val="en-US"/>
        </w:rPr>
      </w:pPr>
    </w:p>
    <w:p w:rsidR="00D336A0" w:rsidRDefault="00D336A0" w:rsidP="00910C27">
      <w:pPr>
        <w:rPr>
          <w:lang w:val="en-US"/>
        </w:rPr>
      </w:pPr>
      <w:r>
        <w:rPr>
          <w:lang w:val="en-US"/>
        </w:rPr>
        <w:t>FACTS</w:t>
      </w:r>
    </w:p>
    <w:p w:rsidR="00D336A0" w:rsidRDefault="00D336A0" w:rsidP="00910C27">
      <w:pPr>
        <w:rPr>
          <w:lang w:val="en-US"/>
        </w:rPr>
      </w:pPr>
    </w:p>
    <w:p w:rsidR="008E7F60" w:rsidRDefault="008E7F60" w:rsidP="00910C27">
      <w:pPr>
        <w:rPr>
          <w:lang w:val="en-US"/>
        </w:rPr>
      </w:pPr>
      <w:r>
        <w:rPr>
          <w:lang w:val="en-US"/>
        </w:rPr>
        <w:t>Vorsteher transfer title to Vistica. Vistica applies to register, gives mortgage to CPM. CPM applies to register. Vorsteher then files a CPL, before either the title or the mortgage were registered but after they were pending registration. Registrar rejects mortgage registration. CPM commences action against Registrar. Registrar wins at trial. CPM appeals</w:t>
      </w:r>
    </w:p>
    <w:p w:rsidR="008E7F60" w:rsidRDefault="008E7F60" w:rsidP="00910C27">
      <w:pPr>
        <w:rPr>
          <w:lang w:val="en-US"/>
        </w:rPr>
      </w:pPr>
    </w:p>
    <w:p w:rsidR="008E7F60" w:rsidRDefault="008E7F60" w:rsidP="00910C27">
      <w:pPr>
        <w:rPr>
          <w:lang w:val="en-US"/>
        </w:rPr>
      </w:pPr>
      <w:r>
        <w:rPr>
          <w:lang w:val="en-US"/>
        </w:rPr>
        <w:t>HELD:</w:t>
      </w:r>
      <w:r w:rsidR="003A7B90">
        <w:rPr>
          <w:lang w:val="en-US"/>
        </w:rPr>
        <w:tab/>
      </w:r>
    </w:p>
    <w:p w:rsidR="008E7F60" w:rsidRDefault="008E7F60" w:rsidP="00910C27">
      <w:pPr>
        <w:rPr>
          <w:lang w:val="en-US"/>
        </w:rPr>
      </w:pPr>
    </w:p>
    <w:p w:rsidR="008E7F60" w:rsidRDefault="008E7F60" w:rsidP="00910C27">
      <w:pPr>
        <w:rPr>
          <w:lang w:val="en-US"/>
        </w:rPr>
      </w:pPr>
      <w:r>
        <w:rPr>
          <w:lang w:val="en-US"/>
        </w:rPr>
        <w:t>Mortgage should be registered.</w:t>
      </w:r>
    </w:p>
    <w:p w:rsidR="008E7F60" w:rsidRDefault="008E7F60" w:rsidP="00910C27">
      <w:pPr>
        <w:rPr>
          <w:lang w:val="en-US"/>
        </w:rPr>
      </w:pPr>
    </w:p>
    <w:p w:rsidR="008E7F60" w:rsidRDefault="008E7F60" w:rsidP="00910C27">
      <w:pPr>
        <w:rPr>
          <w:lang w:val="en-US"/>
        </w:rPr>
      </w:pPr>
      <w:r>
        <w:rPr>
          <w:lang w:val="en-US"/>
        </w:rPr>
        <w:t>RATIO:</w:t>
      </w:r>
    </w:p>
    <w:p w:rsidR="008E7F60" w:rsidRDefault="008E7F60" w:rsidP="00910C27">
      <w:pPr>
        <w:rPr>
          <w:lang w:val="en-US"/>
        </w:rPr>
      </w:pPr>
    </w:p>
    <w:p w:rsidR="008E7F60" w:rsidRDefault="008E7F60" w:rsidP="00910C27">
      <w:pPr>
        <w:rPr>
          <w:lang w:val="en-US"/>
        </w:rPr>
      </w:pPr>
      <w:r>
        <w:rPr>
          <w:lang w:val="en-US"/>
        </w:rPr>
        <w:t xml:space="preserve">Charge holder does not have to wait for certificate of title to be issued to R.O. to register charge. </w:t>
      </w:r>
    </w:p>
    <w:p w:rsidR="008E7F60" w:rsidRDefault="008E7F60" w:rsidP="00910C27">
      <w:pPr>
        <w:pBdr>
          <w:bottom w:val="single" w:sz="12" w:space="1" w:color="auto"/>
        </w:pBdr>
        <w:rPr>
          <w:lang w:val="en-US"/>
        </w:rPr>
      </w:pPr>
    </w:p>
    <w:p w:rsidR="008E7F60" w:rsidRDefault="008E7F60" w:rsidP="00910C27">
      <w:pPr>
        <w:rPr>
          <w:lang w:val="en-US"/>
        </w:rPr>
      </w:pPr>
    </w:p>
    <w:p w:rsidR="008E7F60" w:rsidRPr="007E766C" w:rsidRDefault="008E7F60" w:rsidP="00910C27">
      <w:pPr>
        <w:rPr>
          <w:color w:val="1F497D" w:themeColor="text2"/>
          <w:lang w:val="en-US"/>
        </w:rPr>
      </w:pPr>
      <w:r w:rsidRPr="007E766C">
        <w:rPr>
          <w:color w:val="1F497D" w:themeColor="text2"/>
          <w:lang w:val="en-US"/>
        </w:rPr>
        <w:t xml:space="preserve">Land Title Act </w:t>
      </w:r>
    </w:p>
    <w:p w:rsidR="008E7F60" w:rsidRDefault="008E7F60" w:rsidP="00910C27">
      <w:pPr>
        <w:rPr>
          <w:lang w:val="en-US"/>
        </w:rPr>
      </w:pPr>
    </w:p>
    <w:p w:rsidR="008E7F60" w:rsidRPr="007E766C" w:rsidRDefault="008E7F60" w:rsidP="00910C27">
      <w:pPr>
        <w:rPr>
          <w:color w:val="1F497D" w:themeColor="text2"/>
          <w:lang w:val="en-US"/>
        </w:rPr>
      </w:pPr>
      <w:r w:rsidRPr="007E766C">
        <w:rPr>
          <w:color w:val="1F497D" w:themeColor="text2"/>
          <w:lang w:val="en-US"/>
        </w:rPr>
        <w:t xml:space="preserve">Section 155: </w:t>
      </w:r>
    </w:p>
    <w:p w:rsidR="008E7F60" w:rsidRDefault="008E7F60" w:rsidP="00910C27">
      <w:pPr>
        <w:rPr>
          <w:lang w:val="en-US"/>
        </w:rPr>
      </w:pPr>
    </w:p>
    <w:p w:rsidR="008E7F60" w:rsidRDefault="008E7F60" w:rsidP="008E7F60">
      <w:pPr>
        <w:pStyle w:val="ListParagraph"/>
        <w:numPr>
          <w:ilvl w:val="0"/>
          <w:numId w:val="35"/>
        </w:numPr>
        <w:rPr>
          <w:lang w:val="en-US"/>
        </w:rPr>
      </w:pPr>
      <w:r w:rsidRPr="008E7F60">
        <w:rPr>
          <w:lang w:val="en-US"/>
        </w:rPr>
        <w:t>Charge holders must await the registration of a fee simple to be processed (</w:t>
      </w:r>
      <w:r w:rsidRPr="008E7F60">
        <w:rPr>
          <w:b/>
          <w:color w:val="800000"/>
          <w:lang w:val="en-US"/>
        </w:rPr>
        <w:t xml:space="preserve">opposite of </w:t>
      </w:r>
      <w:r w:rsidRPr="008E7F60">
        <w:rPr>
          <w:b/>
          <w:i/>
          <w:color w:val="1F497D" w:themeColor="text2"/>
          <w:lang w:val="en-US"/>
        </w:rPr>
        <w:t>CPM</w:t>
      </w:r>
      <w:r w:rsidRPr="008E7F60">
        <w:rPr>
          <w:lang w:val="en-US"/>
        </w:rPr>
        <w:t>)</w:t>
      </w:r>
    </w:p>
    <w:p w:rsidR="008E7F60" w:rsidRDefault="008E7F60" w:rsidP="008E7F60">
      <w:pPr>
        <w:pStyle w:val="ListParagraph"/>
        <w:numPr>
          <w:ilvl w:val="0"/>
          <w:numId w:val="35"/>
        </w:numPr>
        <w:rPr>
          <w:lang w:val="en-US"/>
        </w:rPr>
      </w:pPr>
      <w:r>
        <w:rPr>
          <w:lang w:val="en-US"/>
        </w:rPr>
        <w:t>If Charge rights date to Crown grant before June 1, 1921 then subsequent persons claiming under that right can just register</w:t>
      </w:r>
    </w:p>
    <w:p w:rsidR="008E7F60" w:rsidRDefault="008E7F60" w:rsidP="008E7F60">
      <w:pPr>
        <w:pStyle w:val="ListParagraph"/>
        <w:numPr>
          <w:ilvl w:val="0"/>
          <w:numId w:val="35"/>
        </w:numPr>
        <w:rPr>
          <w:lang w:val="en-US"/>
        </w:rPr>
      </w:pPr>
      <w:r>
        <w:rPr>
          <w:lang w:val="en-US"/>
        </w:rPr>
        <w:t>You can apply a charge but it has to be approved by the director and “suited to the circumstances”</w:t>
      </w:r>
    </w:p>
    <w:p w:rsidR="008E7F60" w:rsidRDefault="008E7F60" w:rsidP="008E7F60">
      <w:pPr>
        <w:rPr>
          <w:lang w:val="en-US"/>
        </w:rPr>
      </w:pPr>
    </w:p>
    <w:p w:rsidR="008E7F60" w:rsidRPr="007E766C" w:rsidRDefault="008E7F60" w:rsidP="008E7F60">
      <w:pPr>
        <w:rPr>
          <w:color w:val="1F497D" w:themeColor="text2"/>
          <w:lang w:val="en-US"/>
        </w:rPr>
      </w:pPr>
      <w:r w:rsidRPr="007E766C">
        <w:rPr>
          <w:color w:val="1F497D" w:themeColor="text2"/>
          <w:lang w:val="en-US"/>
        </w:rPr>
        <w:t>Section 198:</w:t>
      </w:r>
    </w:p>
    <w:p w:rsidR="008E7F60" w:rsidRDefault="008E7F60" w:rsidP="008E7F60">
      <w:pPr>
        <w:rPr>
          <w:lang w:val="en-US"/>
        </w:rPr>
      </w:pPr>
    </w:p>
    <w:p w:rsidR="007E766C" w:rsidRDefault="008E7F60" w:rsidP="00C86ECC">
      <w:pPr>
        <w:rPr>
          <w:lang w:val="en-US"/>
        </w:rPr>
      </w:pPr>
      <w:r>
        <w:rPr>
          <w:lang w:val="en-US"/>
        </w:rPr>
        <w:t xml:space="preserve">An instrument purporting to create a charge </w:t>
      </w:r>
      <w:r w:rsidR="007E766C">
        <w:rPr>
          <w:lang w:val="en-US"/>
        </w:rPr>
        <w:t xml:space="preserve">executed by a person who is entitled to be the registered fee simple holder </w:t>
      </w:r>
      <w:r w:rsidRPr="007E766C">
        <w:rPr>
          <w:b/>
          <w:color w:val="800000"/>
          <w:lang w:val="en-US"/>
        </w:rPr>
        <w:t>must not be registered unless the</w:t>
      </w:r>
      <w:r w:rsidR="007E766C" w:rsidRPr="007E766C">
        <w:rPr>
          <w:b/>
          <w:color w:val="800000"/>
          <w:lang w:val="en-US"/>
        </w:rPr>
        <w:t xml:space="preserve"> person has first been registered as the owner of the fee simple</w:t>
      </w:r>
      <w:r w:rsidR="007E766C">
        <w:rPr>
          <w:lang w:val="en-US"/>
        </w:rPr>
        <w:t>.</w:t>
      </w:r>
      <w:r w:rsidR="00C86ECC">
        <w:rPr>
          <w:lang w:val="en-US"/>
        </w:rPr>
        <w:t xml:space="preserve"> </w:t>
      </w:r>
      <w:r w:rsidR="007E766C" w:rsidRPr="008E7F60">
        <w:rPr>
          <w:lang w:val="en-US"/>
        </w:rPr>
        <w:t>(</w:t>
      </w:r>
      <w:r w:rsidR="007E766C" w:rsidRPr="008E7F60">
        <w:rPr>
          <w:b/>
          <w:color w:val="800000"/>
          <w:lang w:val="en-US"/>
        </w:rPr>
        <w:t xml:space="preserve">opposite of </w:t>
      </w:r>
      <w:r w:rsidR="007E766C" w:rsidRPr="008E7F60">
        <w:rPr>
          <w:b/>
          <w:i/>
          <w:color w:val="1F497D" w:themeColor="text2"/>
          <w:lang w:val="en-US"/>
        </w:rPr>
        <w:t>CPM</w:t>
      </w:r>
      <w:r w:rsidR="007E766C" w:rsidRPr="008E7F60">
        <w:rPr>
          <w:lang w:val="en-US"/>
        </w:rPr>
        <w:t>)</w:t>
      </w:r>
    </w:p>
    <w:p w:rsidR="00C86ECC" w:rsidRDefault="00C86ECC" w:rsidP="008E7F60">
      <w:pPr>
        <w:pBdr>
          <w:bottom w:val="single" w:sz="12" w:space="1" w:color="auto"/>
        </w:pBdr>
        <w:rPr>
          <w:lang w:val="en-US"/>
        </w:rPr>
      </w:pPr>
    </w:p>
    <w:p w:rsidR="007E766C" w:rsidRDefault="007E766C" w:rsidP="008E7F60">
      <w:pPr>
        <w:rPr>
          <w:lang w:val="en-US"/>
        </w:rPr>
      </w:pPr>
    </w:p>
    <w:p w:rsidR="007E766C" w:rsidRPr="003A60FA" w:rsidRDefault="007E766C" w:rsidP="003A60FA">
      <w:pPr>
        <w:pStyle w:val="Heading3"/>
        <w:rPr>
          <w:b w:val="0"/>
          <w:lang w:val="en-US"/>
        </w:rPr>
      </w:pPr>
      <w:bookmarkStart w:id="62" w:name="_Toc259911050"/>
      <w:r w:rsidRPr="00F00870">
        <w:rPr>
          <w:highlight w:val="yellow"/>
          <w:lang w:val="en-US"/>
        </w:rPr>
        <w:t>BRESKVAR v WALL</w:t>
      </w:r>
      <w:r w:rsidRPr="00F00870">
        <w:rPr>
          <w:lang w:val="en-US"/>
        </w:rPr>
        <w:t xml:space="preserve"> </w:t>
      </w:r>
      <w:r w:rsidR="00F13D45" w:rsidRPr="003A60FA">
        <w:rPr>
          <w:b w:val="0"/>
          <w:lang w:val="en-US"/>
        </w:rPr>
        <w:t>where the equities are equal, first in time prevails, a caveat only grants a caveator an equitable interest in property (in personam against party involved in dispute)</w:t>
      </w:r>
      <w:bookmarkEnd w:id="62"/>
    </w:p>
    <w:p w:rsidR="007E766C" w:rsidRDefault="007E766C" w:rsidP="008E7F60">
      <w:pPr>
        <w:rPr>
          <w:lang w:val="en-US"/>
        </w:rPr>
      </w:pPr>
    </w:p>
    <w:p w:rsidR="007E766C" w:rsidRDefault="007E766C" w:rsidP="008E7F60">
      <w:pPr>
        <w:rPr>
          <w:lang w:val="en-US"/>
        </w:rPr>
      </w:pPr>
      <w:r>
        <w:rPr>
          <w:lang w:val="en-US"/>
        </w:rPr>
        <w:t>FACTS:</w:t>
      </w:r>
    </w:p>
    <w:p w:rsidR="007E766C" w:rsidRDefault="007E766C" w:rsidP="008E7F60">
      <w:pPr>
        <w:rPr>
          <w:lang w:val="en-US"/>
        </w:rPr>
      </w:pPr>
    </w:p>
    <w:p w:rsidR="006639EB" w:rsidRDefault="006639EB" w:rsidP="008E7F60">
      <w:pPr>
        <w:rPr>
          <w:lang w:val="en-US"/>
        </w:rPr>
      </w:pPr>
      <w:r>
        <w:rPr>
          <w:lang w:val="en-US"/>
        </w:rPr>
        <w:t xml:space="preserve">Breskvars were joint tenants and registered owners of the fee simple. They signed a transfer in blank (later proven to be a mortgage and not a fee simple transfer) to Mr. Petrie. They did not fill the name of the transferee. Mr. Petrie, acting as agent for Wall, put his grandson Wall’s name as transferee. This enabled him to register the title in Wall’s name, and later use that title to sell the land to one Alban. </w:t>
      </w:r>
    </w:p>
    <w:p w:rsidR="006639EB" w:rsidRDefault="006639EB" w:rsidP="008E7F60">
      <w:pPr>
        <w:rPr>
          <w:lang w:val="en-US"/>
        </w:rPr>
      </w:pPr>
    </w:p>
    <w:p w:rsidR="006639EB" w:rsidRDefault="006639EB" w:rsidP="008E7F60">
      <w:pPr>
        <w:rPr>
          <w:lang w:val="en-US"/>
        </w:rPr>
      </w:pPr>
      <w:r>
        <w:rPr>
          <w:lang w:val="en-US"/>
        </w:rPr>
        <w:t>Wall to Alban transaction transpired on October 31st.</w:t>
      </w:r>
    </w:p>
    <w:p w:rsidR="006639EB" w:rsidRDefault="006639EB" w:rsidP="008E7F60">
      <w:pPr>
        <w:rPr>
          <w:lang w:val="en-US"/>
        </w:rPr>
      </w:pPr>
    </w:p>
    <w:p w:rsidR="006639EB" w:rsidRDefault="006639EB" w:rsidP="008E7F60">
      <w:pPr>
        <w:rPr>
          <w:lang w:val="en-US"/>
        </w:rPr>
      </w:pPr>
      <w:r>
        <w:rPr>
          <w:lang w:val="en-US"/>
        </w:rPr>
        <w:t>Breskvars lodged a caveat on December 13.</w:t>
      </w:r>
    </w:p>
    <w:p w:rsidR="006639EB" w:rsidRDefault="006639EB" w:rsidP="008E7F60">
      <w:pPr>
        <w:rPr>
          <w:lang w:val="en-US"/>
        </w:rPr>
      </w:pPr>
    </w:p>
    <w:p w:rsidR="006639EB" w:rsidRDefault="006639EB" w:rsidP="008E7F60">
      <w:pPr>
        <w:rPr>
          <w:lang w:val="en-US"/>
        </w:rPr>
      </w:pPr>
      <w:r>
        <w:rPr>
          <w:lang w:val="en-US"/>
        </w:rPr>
        <w:t>Alban was bona fide for value without notice and he applied to register his title on January 8th.</w:t>
      </w:r>
    </w:p>
    <w:p w:rsidR="006639EB" w:rsidRDefault="006639EB" w:rsidP="008E7F60">
      <w:pPr>
        <w:rPr>
          <w:lang w:val="en-US"/>
        </w:rPr>
      </w:pPr>
    </w:p>
    <w:p w:rsidR="006639EB" w:rsidRDefault="006639EB" w:rsidP="008E7F60">
      <w:pPr>
        <w:rPr>
          <w:lang w:val="en-US"/>
        </w:rPr>
      </w:pPr>
      <w:r>
        <w:rPr>
          <w:lang w:val="en-US"/>
        </w:rPr>
        <w:t>Alban could not register his title because of Breskvar’s caveat (which was also filed not sufficiently promptly [after transfer to Alban was executed]).</w:t>
      </w:r>
    </w:p>
    <w:p w:rsidR="006639EB" w:rsidRDefault="006639EB" w:rsidP="008E7F60">
      <w:pPr>
        <w:rPr>
          <w:lang w:val="en-US"/>
        </w:rPr>
      </w:pPr>
    </w:p>
    <w:p w:rsidR="006639EB" w:rsidRDefault="006639EB" w:rsidP="008E7F60">
      <w:pPr>
        <w:rPr>
          <w:lang w:val="en-US"/>
        </w:rPr>
      </w:pPr>
      <w:r>
        <w:rPr>
          <w:lang w:val="en-US"/>
        </w:rPr>
        <w:t>Both had equitable interests against Wall but neither had legal title.</w:t>
      </w:r>
    </w:p>
    <w:p w:rsidR="006639EB" w:rsidRDefault="006639EB" w:rsidP="008E7F60">
      <w:pPr>
        <w:rPr>
          <w:lang w:val="en-US"/>
        </w:rPr>
      </w:pPr>
    </w:p>
    <w:p w:rsidR="006639EB" w:rsidRDefault="006639EB" w:rsidP="008E7F60">
      <w:pPr>
        <w:rPr>
          <w:lang w:val="en-US"/>
        </w:rPr>
      </w:pPr>
      <w:r>
        <w:rPr>
          <w:lang w:val="en-US"/>
        </w:rPr>
        <w:t>ISSUE:</w:t>
      </w:r>
    </w:p>
    <w:p w:rsidR="006639EB" w:rsidRDefault="006639EB" w:rsidP="008E7F60">
      <w:pPr>
        <w:rPr>
          <w:lang w:val="en-US"/>
        </w:rPr>
      </w:pPr>
    </w:p>
    <w:p w:rsidR="006639EB" w:rsidRDefault="006639EB" w:rsidP="008E7F60">
      <w:pPr>
        <w:rPr>
          <w:lang w:val="en-US"/>
        </w:rPr>
      </w:pPr>
      <w:r>
        <w:rPr>
          <w:lang w:val="en-US"/>
        </w:rPr>
        <w:t xml:space="preserve">Who should get title? </w:t>
      </w:r>
    </w:p>
    <w:p w:rsidR="006639EB" w:rsidRDefault="006639EB" w:rsidP="008E7F60">
      <w:pPr>
        <w:rPr>
          <w:lang w:val="en-US"/>
        </w:rPr>
      </w:pPr>
    </w:p>
    <w:p w:rsidR="006639EB" w:rsidRDefault="006639EB" w:rsidP="008E7F60">
      <w:pPr>
        <w:rPr>
          <w:lang w:val="en-US"/>
        </w:rPr>
      </w:pPr>
      <w:r>
        <w:rPr>
          <w:lang w:val="en-US"/>
        </w:rPr>
        <w:t>HELD:</w:t>
      </w:r>
    </w:p>
    <w:p w:rsidR="006639EB" w:rsidRDefault="006639EB" w:rsidP="008E7F60">
      <w:pPr>
        <w:rPr>
          <w:lang w:val="en-US"/>
        </w:rPr>
      </w:pPr>
    </w:p>
    <w:p w:rsidR="006639EB" w:rsidRDefault="006639EB" w:rsidP="008E7F60">
      <w:pPr>
        <w:rPr>
          <w:lang w:val="en-US"/>
        </w:rPr>
      </w:pPr>
      <w:r>
        <w:rPr>
          <w:lang w:val="en-US"/>
        </w:rPr>
        <w:t>Alban got the title to the land. Breskvar and Alban had equitable interests but they were not equal in equity because Breskvar were careless in giving blank transfer, and did not provide the LTO with any information of retaining interest so this defeats their claim of chronological priority as against Alban.</w:t>
      </w:r>
    </w:p>
    <w:p w:rsidR="006639EB" w:rsidRDefault="006639EB" w:rsidP="008E7F60">
      <w:pPr>
        <w:rPr>
          <w:lang w:val="en-US"/>
        </w:rPr>
      </w:pPr>
    </w:p>
    <w:p w:rsidR="006639EB" w:rsidRDefault="006639EB" w:rsidP="008E7F60">
      <w:pPr>
        <w:rPr>
          <w:lang w:val="en-US"/>
        </w:rPr>
      </w:pPr>
      <w:r>
        <w:rPr>
          <w:lang w:val="en-US"/>
        </w:rPr>
        <w:t>RATIO:</w:t>
      </w:r>
    </w:p>
    <w:p w:rsidR="006639EB" w:rsidRDefault="006639EB" w:rsidP="008E7F60">
      <w:pPr>
        <w:rPr>
          <w:lang w:val="en-US"/>
        </w:rPr>
      </w:pPr>
    </w:p>
    <w:p w:rsidR="006639EB" w:rsidRDefault="006639EB" w:rsidP="008E7F60">
      <w:pPr>
        <w:rPr>
          <w:lang w:val="en-US"/>
        </w:rPr>
      </w:pPr>
      <w:r>
        <w:rPr>
          <w:lang w:val="en-US"/>
        </w:rPr>
        <w:t>Where the equities are equal, first in time prevails. (here equities were not equal)</w:t>
      </w:r>
    </w:p>
    <w:p w:rsidR="006639EB" w:rsidRDefault="006639EB" w:rsidP="008E7F60">
      <w:pPr>
        <w:rPr>
          <w:lang w:val="en-US"/>
        </w:rPr>
      </w:pPr>
    </w:p>
    <w:p w:rsidR="006639EB" w:rsidRDefault="006639EB" w:rsidP="008E7F60">
      <w:pPr>
        <w:rPr>
          <w:lang w:val="en-US"/>
        </w:rPr>
      </w:pPr>
      <w:r>
        <w:rPr>
          <w:lang w:val="en-US"/>
        </w:rPr>
        <w:t>A caveat only grants a caveator an equitable interest in property (</w:t>
      </w:r>
      <w:r>
        <w:rPr>
          <w:i/>
          <w:lang w:val="en-US"/>
        </w:rPr>
        <w:t>in personam against party involved in dispute</w:t>
      </w:r>
      <w:r>
        <w:rPr>
          <w:lang w:val="en-US"/>
        </w:rPr>
        <w:t>)</w:t>
      </w:r>
    </w:p>
    <w:p w:rsidR="006639EB" w:rsidRDefault="006639EB" w:rsidP="008E7F60">
      <w:pPr>
        <w:pBdr>
          <w:bottom w:val="single" w:sz="12" w:space="1" w:color="auto"/>
        </w:pBdr>
        <w:rPr>
          <w:lang w:val="en-US"/>
        </w:rPr>
      </w:pPr>
    </w:p>
    <w:p w:rsidR="00837B06" w:rsidRPr="00E6506C" w:rsidRDefault="00837B06" w:rsidP="008E7F60">
      <w:pPr>
        <w:rPr>
          <w:sz w:val="32"/>
          <w:lang w:val="en-US"/>
        </w:rPr>
      </w:pPr>
    </w:p>
    <w:p w:rsidR="00837B06" w:rsidRPr="00E6506C" w:rsidRDefault="00837B06" w:rsidP="006B5AA7">
      <w:pPr>
        <w:pStyle w:val="Heading1"/>
        <w:rPr>
          <w:lang w:val="en-US"/>
        </w:rPr>
      </w:pPr>
      <w:bookmarkStart w:id="63" w:name="_Toc259911051"/>
      <w:r w:rsidRPr="00E6506C">
        <w:rPr>
          <w:highlight w:val="yellow"/>
          <w:lang w:val="en-US"/>
        </w:rPr>
        <w:t>CHAPTER IX: THE FEE SIMPLE</w:t>
      </w:r>
      <w:bookmarkEnd w:id="63"/>
    </w:p>
    <w:p w:rsidR="00837B06" w:rsidRPr="00E6506C" w:rsidRDefault="00837B06" w:rsidP="008E7F60">
      <w:pPr>
        <w:rPr>
          <w:sz w:val="14"/>
          <w:lang w:val="en-US"/>
        </w:rPr>
      </w:pPr>
    </w:p>
    <w:p w:rsidR="0006320E" w:rsidRPr="003C640B" w:rsidRDefault="0006320E" w:rsidP="006B5AA7">
      <w:pPr>
        <w:pStyle w:val="Heading2"/>
        <w:rPr>
          <w:lang w:val="en-US"/>
        </w:rPr>
      </w:pPr>
      <w:bookmarkStart w:id="64" w:name="_Toc259911052"/>
      <w:r w:rsidRPr="003C640B">
        <w:rPr>
          <w:lang w:val="en-US"/>
        </w:rPr>
        <w:t>CREATION</w:t>
      </w:r>
      <w:bookmarkEnd w:id="64"/>
    </w:p>
    <w:p w:rsidR="0006320E" w:rsidRDefault="0006320E" w:rsidP="0006320E">
      <w:pPr>
        <w:rPr>
          <w:lang w:val="en-US"/>
        </w:rPr>
      </w:pPr>
    </w:p>
    <w:p w:rsidR="0006320E" w:rsidRPr="0006320E" w:rsidRDefault="0006320E" w:rsidP="0006320E">
      <w:pPr>
        <w:rPr>
          <w:lang w:val="en-US"/>
        </w:rPr>
      </w:pPr>
    </w:p>
    <w:p w:rsidR="000E01A2" w:rsidRPr="00C9334D" w:rsidRDefault="000E01A2" w:rsidP="006B5AA7">
      <w:pPr>
        <w:pStyle w:val="Heading2"/>
        <w:rPr>
          <w:lang w:val="en-US"/>
        </w:rPr>
      </w:pPr>
      <w:bookmarkStart w:id="65" w:name="_Toc259911053"/>
      <w:r w:rsidRPr="00C9334D">
        <w:rPr>
          <w:lang w:val="en-US"/>
        </w:rPr>
        <w:t>Common Law</w:t>
      </w:r>
      <w:r w:rsidR="006B5AA7">
        <w:rPr>
          <w:lang w:val="en-US"/>
        </w:rPr>
        <w:t xml:space="preserve"> – </w:t>
      </w:r>
      <w:r w:rsidR="006B5AA7" w:rsidRPr="006B5AA7">
        <w:rPr>
          <w:b w:val="0"/>
          <w:lang w:val="en-US"/>
        </w:rPr>
        <w:t>presumed life estate, needed “to B and his heirs”</w:t>
      </w:r>
      <w:bookmarkEnd w:id="65"/>
    </w:p>
    <w:p w:rsidR="000E01A2" w:rsidRDefault="000E01A2" w:rsidP="000E01A2">
      <w:pPr>
        <w:rPr>
          <w:lang w:val="en-US"/>
        </w:rPr>
      </w:pPr>
    </w:p>
    <w:p w:rsidR="000E01A2" w:rsidRDefault="000E01A2" w:rsidP="000E01A2">
      <w:pPr>
        <w:rPr>
          <w:lang w:val="en-US"/>
        </w:rPr>
      </w:pPr>
      <w:r>
        <w:rPr>
          <w:lang w:val="en-US"/>
        </w:rPr>
        <w:t xml:space="preserve">At common law, in order to create a fee simple by an </w:t>
      </w:r>
      <w:r>
        <w:rPr>
          <w:i/>
          <w:lang w:val="en-US"/>
        </w:rPr>
        <w:t>inter vivos</w:t>
      </w:r>
      <w:r>
        <w:rPr>
          <w:lang w:val="en-US"/>
        </w:rPr>
        <w:t xml:space="preserve"> transfer it was necessary to use the precise words “To B and his heirs”. </w:t>
      </w:r>
    </w:p>
    <w:p w:rsidR="000E01A2" w:rsidRDefault="000E01A2" w:rsidP="000E01A2">
      <w:pPr>
        <w:rPr>
          <w:lang w:val="en-US"/>
        </w:rPr>
      </w:pPr>
    </w:p>
    <w:p w:rsidR="000E01A2" w:rsidRDefault="000E01A2" w:rsidP="000E01A2">
      <w:pPr>
        <w:rPr>
          <w:lang w:val="en-US"/>
        </w:rPr>
      </w:pPr>
      <w:r>
        <w:rPr>
          <w:lang w:val="en-US"/>
        </w:rPr>
        <w:t xml:space="preserve">“To B” – </w:t>
      </w:r>
      <w:r w:rsidRPr="000E01A2">
        <w:rPr>
          <w:color w:val="800000"/>
          <w:lang w:val="en-US"/>
        </w:rPr>
        <w:t>Words of Purchase</w:t>
      </w:r>
      <w:r>
        <w:rPr>
          <w:lang w:val="en-US"/>
        </w:rPr>
        <w:t>.</w:t>
      </w:r>
    </w:p>
    <w:p w:rsidR="000E01A2" w:rsidRDefault="000E01A2" w:rsidP="000E01A2">
      <w:pPr>
        <w:rPr>
          <w:lang w:val="en-US"/>
        </w:rPr>
      </w:pPr>
      <w:r>
        <w:rPr>
          <w:lang w:val="en-US"/>
        </w:rPr>
        <w:t xml:space="preserve">“and his heirs” – </w:t>
      </w:r>
      <w:r w:rsidRPr="000E01A2">
        <w:rPr>
          <w:color w:val="800000"/>
          <w:lang w:val="en-US"/>
        </w:rPr>
        <w:t>Words of limitation</w:t>
      </w:r>
      <w:r>
        <w:rPr>
          <w:lang w:val="en-US"/>
        </w:rPr>
        <w:t xml:space="preserve">. </w:t>
      </w:r>
    </w:p>
    <w:p w:rsidR="000E01A2" w:rsidRDefault="000E01A2" w:rsidP="000E01A2">
      <w:pPr>
        <w:rPr>
          <w:lang w:val="en-US"/>
        </w:rPr>
      </w:pPr>
    </w:p>
    <w:p w:rsidR="000E01A2" w:rsidRDefault="000E01A2" w:rsidP="000E01A2">
      <w:pPr>
        <w:rPr>
          <w:lang w:val="en-US"/>
        </w:rPr>
      </w:pPr>
      <w:r>
        <w:rPr>
          <w:lang w:val="en-US"/>
        </w:rPr>
        <w:t xml:space="preserve">Every other configuration of words in an </w:t>
      </w:r>
      <w:r w:rsidRPr="000E01A2">
        <w:rPr>
          <w:i/>
          <w:lang w:val="en-US"/>
        </w:rPr>
        <w:t>inter vivos</w:t>
      </w:r>
      <w:r>
        <w:rPr>
          <w:lang w:val="en-US"/>
        </w:rPr>
        <w:t xml:space="preserve"> transfer was presumed to pass a life estate, and not a fee simple.</w:t>
      </w:r>
    </w:p>
    <w:p w:rsidR="000E01A2" w:rsidRDefault="000E01A2" w:rsidP="000E01A2">
      <w:pPr>
        <w:rPr>
          <w:lang w:val="en-US"/>
        </w:rPr>
      </w:pPr>
    </w:p>
    <w:p w:rsidR="00837B06" w:rsidRPr="000E01A2" w:rsidRDefault="000E01A2" w:rsidP="000E01A2">
      <w:pPr>
        <w:rPr>
          <w:lang w:val="en-US"/>
        </w:rPr>
      </w:pPr>
      <w:r>
        <w:rPr>
          <w:lang w:val="en-US"/>
        </w:rPr>
        <w:t xml:space="preserve">In the case of a will, if words of limitation were used, the courts generally gave effect to them. In the absence of words of limitation they were sometimes prepared to construe the document as conferring the fee simple on a beneficiary if that was clearly the testator’s </w:t>
      </w:r>
      <w:r w:rsidRPr="000E01A2">
        <w:rPr>
          <w:color w:val="800000"/>
          <w:lang w:val="en-US"/>
        </w:rPr>
        <w:t>intention</w:t>
      </w:r>
      <w:r>
        <w:rPr>
          <w:lang w:val="en-US"/>
        </w:rPr>
        <w:t>.</w:t>
      </w:r>
    </w:p>
    <w:p w:rsidR="000E01A2" w:rsidRDefault="000E01A2" w:rsidP="008E7F60">
      <w:pPr>
        <w:rPr>
          <w:lang w:val="en-US"/>
        </w:rPr>
      </w:pPr>
    </w:p>
    <w:p w:rsidR="000E01A2" w:rsidRDefault="000E01A2" w:rsidP="008E7F60">
      <w:pPr>
        <w:rPr>
          <w:lang w:val="en-US"/>
        </w:rPr>
      </w:pPr>
      <w:r>
        <w:rPr>
          <w:lang w:val="en-US"/>
        </w:rPr>
        <w:t>Equity dealt with cases when the words “</w:t>
      </w:r>
      <w:r w:rsidRPr="00A47BE4">
        <w:rPr>
          <w:color w:val="800000"/>
          <w:lang w:val="en-US"/>
        </w:rPr>
        <w:t>To B and his heirs</w:t>
      </w:r>
      <w:r>
        <w:rPr>
          <w:lang w:val="en-US"/>
        </w:rPr>
        <w:t>” were not used, and looked at intention for both inter vivos and wills.</w:t>
      </w:r>
    </w:p>
    <w:p w:rsidR="000E01A2" w:rsidRDefault="000E01A2" w:rsidP="008E7F60">
      <w:pPr>
        <w:rPr>
          <w:lang w:val="en-US"/>
        </w:rPr>
      </w:pPr>
    </w:p>
    <w:p w:rsidR="000E01A2" w:rsidRPr="006B5AA7" w:rsidRDefault="000E01A2" w:rsidP="006B5AA7">
      <w:pPr>
        <w:pStyle w:val="Heading2"/>
        <w:rPr>
          <w:b w:val="0"/>
          <w:lang w:val="en-US"/>
        </w:rPr>
      </w:pPr>
      <w:bookmarkStart w:id="66" w:name="_Toc259911054"/>
      <w:r w:rsidRPr="00C9334D">
        <w:rPr>
          <w:lang w:val="en-US"/>
        </w:rPr>
        <w:t>Statute</w:t>
      </w:r>
      <w:r w:rsidR="006B5AA7">
        <w:rPr>
          <w:lang w:val="en-US"/>
        </w:rPr>
        <w:t xml:space="preserve">: </w:t>
      </w:r>
      <w:r w:rsidR="006B5AA7" w:rsidRPr="006B5AA7">
        <w:rPr>
          <w:b w:val="0"/>
          <w:lang w:val="en-US"/>
        </w:rPr>
        <w:t>presumes fee simple</w:t>
      </w:r>
      <w:r w:rsidR="00676AA2">
        <w:rPr>
          <w:b w:val="0"/>
          <w:lang w:val="en-US"/>
        </w:rPr>
        <w:t>/highest estate possessed</w:t>
      </w:r>
      <w:r w:rsidR="006B5AA7" w:rsidRPr="006B5AA7">
        <w:rPr>
          <w:b w:val="0"/>
          <w:lang w:val="en-US"/>
        </w:rPr>
        <w:t xml:space="preserve"> [</w:t>
      </w:r>
      <w:r w:rsidR="006B5AA7" w:rsidRPr="00676AA2">
        <w:rPr>
          <w:b w:val="0"/>
          <w:color w:val="1F497D" w:themeColor="text2"/>
          <w:lang w:val="en-US"/>
        </w:rPr>
        <w:t>PLA 19.1, 19.2, LTA 186. 4-8</w:t>
      </w:r>
      <w:r w:rsidR="00676AA2" w:rsidRPr="00676AA2">
        <w:rPr>
          <w:b w:val="0"/>
          <w:color w:val="1F497D" w:themeColor="text2"/>
          <w:lang w:val="en-US"/>
        </w:rPr>
        <w:t>, WESA 41(3)</w:t>
      </w:r>
      <w:r w:rsidR="006B5AA7" w:rsidRPr="006B5AA7">
        <w:rPr>
          <w:b w:val="0"/>
          <w:lang w:val="en-US"/>
        </w:rPr>
        <w:t>]</w:t>
      </w:r>
      <w:bookmarkEnd w:id="66"/>
      <w:r w:rsidR="006B5AA7" w:rsidRPr="006B5AA7">
        <w:rPr>
          <w:b w:val="0"/>
          <w:lang w:val="en-US"/>
        </w:rPr>
        <w:t xml:space="preserve"> </w:t>
      </w:r>
    </w:p>
    <w:p w:rsidR="007E766C" w:rsidRPr="000E01A2" w:rsidRDefault="007E766C" w:rsidP="000E01A2">
      <w:pPr>
        <w:rPr>
          <w:lang w:val="en-US"/>
        </w:rPr>
      </w:pPr>
    </w:p>
    <w:p w:rsidR="000E01A2" w:rsidRPr="007D3F2F" w:rsidRDefault="000E01A2" w:rsidP="008E7F60">
      <w:pPr>
        <w:rPr>
          <w:color w:val="1F497D" w:themeColor="text2"/>
          <w:lang w:val="en-US"/>
        </w:rPr>
      </w:pPr>
      <w:r w:rsidRPr="007D3F2F">
        <w:rPr>
          <w:color w:val="1F497D" w:themeColor="text2"/>
          <w:lang w:val="en-US"/>
        </w:rPr>
        <w:t>Property Law Act</w:t>
      </w:r>
    </w:p>
    <w:p w:rsidR="000E01A2" w:rsidRPr="000E01A2" w:rsidRDefault="000E01A2" w:rsidP="008E7F60">
      <w:pPr>
        <w:rPr>
          <w:u w:val="single"/>
          <w:lang w:val="en-US"/>
        </w:rPr>
      </w:pPr>
    </w:p>
    <w:p w:rsidR="000E01A2" w:rsidRDefault="000E01A2" w:rsidP="008E7F60">
      <w:pPr>
        <w:rPr>
          <w:lang w:val="en-US"/>
        </w:rPr>
      </w:pPr>
      <w:r w:rsidRPr="000E01A2">
        <w:rPr>
          <w:u w:val="single"/>
          <w:lang w:val="en-US"/>
        </w:rPr>
        <w:t>Words of transfer</w:t>
      </w:r>
      <w:r w:rsidR="003A7B90" w:rsidRPr="008E7F60">
        <w:rPr>
          <w:lang w:val="en-US"/>
        </w:rPr>
        <w:tab/>
      </w:r>
      <w:r w:rsidR="003A7B90" w:rsidRPr="008E7F60">
        <w:rPr>
          <w:lang w:val="en-US"/>
        </w:rPr>
        <w:tab/>
      </w:r>
      <w:r w:rsidR="003A7B90" w:rsidRPr="008E7F60">
        <w:rPr>
          <w:lang w:val="en-US"/>
        </w:rPr>
        <w:tab/>
      </w:r>
      <w:r w:rsidR="003A7B90" w:rsidRPr="008E7F60">
        <w:rPr>
          <w:lang w:val="en-US"/>
        </w:rPr>
        <w:tab/>
      </w:r>
      <w:r w:rsidR="003A7B90" w:rsidRPr="008E7F60">
        <w:rPr>
          <w:lang w:val="en-US"/>
        </w:rPr>
        <w:tab/>
      </w:r>
    </w:p>
    <w:p w:rsidR="000E01A2" w:rsidRDefault="000E01A2" w:rsidP="008E7F60">
      <w:pPr>
        <w:rPr>
          <w:lang w:val="en-US"/>
        </w:rPr>
      </w:pPr>
    </w:p>
    <w:p w:rsidR="000E01A2" w:rsidRDefault="000E01A2" w:rsidP="008E7F60">
      <w:pPr>
        <w:rPr>
          <w:lang w:val="en-US"/>
        </w:rPr>
      </w:pPr>
      <w:r w:rsidRPr="007D3F2F">
        <w:rPr>
          <w:color w:val="1F497D" w:themeColor="text2"/>
          <w:lang w:val="en-US"/>
        </w:rPr>
        <w:t>19. (1)</w:t>
      </w:r>
      <w:r>
        <w:rPr>
          <w:lang w:val="en-US"/>
        </w:rPr>
        <w:t xml:space="preserve"> in the transfer of estate in fee simple, it is sufficient to use the words </w:t>
      </w:r>
      <w:r w:rsidRPr="000E01A2">
        <w:rPr>
          <w:b/>
          <w:color w:val="800000"/>
          <w:lang w:val="en-US"/>
        </w:rPr>
        <w:t>“in fee simple”</w:t>
      </w:r>
      <w:r>
        <w:rPr>
          <w:lang w:val="en-US"/>
        </w:rPr>
        <w:t xml:space="preserve"> without the words “and his heirs” </w:t>
      </w:r>
    </w:p>
    <w:p w:rsidR="000E01A2" w:rsidRDefault="000E01A2" w:rsidP="008E7F60">
      <w:pPr>
        <w:rPr>
          <w:lang w:val="en-US"/>
        </w:rPr>
      </w:pPr>
    </w:p>
    <w:p w:rsidR="000E01A2" w:rsidRDefault="000E01A2" w:rsidP="008E7F60">
      <w:pPr>
        <w:rPr>
          <w:lang w:val="en-US"/>
        </w:rPr>
      </w:pPr>
      <w:r w:rsidRPr="007D3F2F">
        <w:rPr>
          <w:color w:val="1F497D" w:themeColor="text2"/>
          <w:lang w:val="en-US"/>
        </w:rPr>
        <w:t>(2)</w:t>
      </w:r>
      <w:r>
        <w:rPr>
          <w:lang w:val="en-US"/>
        </w:rPr>
        <w:t xml:space="preserve"> a transfer of land to a person without words limiting the interest transferred </w:t>
      </w:r>
      <w:r w:rsidRPr="007D3F2F">
        <w:rPr>
          <w:b/>
          <w:color w:val="800000"/>
          <w:lang w:val="en-US"/>
        </w:rPr>
        <w:t>passes the fee simple or the greatest estate that the transferor has the power to transfer</w:t>
      </w:r>
      <w:r>
        <w:rPr>
          <w:lang w:val="en-US"/>
        </w:rPr>
        <w:t xml:space="preserve">, unless the transfer expressly provides that a lesser estate or a particular interest is being transferred. </w:t>
      </w:r>
    </w:p>
    <w:p w:rsidR="000E01A2" w:rsidRDefault="000E01A2" w:rsidP="008E7F60">
      <w:pPr>
        <w:rPr>
          <w:lang w:val="en-US"/>
        </w:rPr>
      </w:pPr>
    </w:p>
    <w:p w:rsidR="000E01A2" w:rsidRPr="00676AA2" w:rsidRDefault="000E01A2" w:rsidP="008E7F60">
      <w:pPr>
        <w:rPr>
          <w:color w:val="1F497D" w:themeColor="text2"/>
          <w:lang w:val="en-US"/>
        </w:rPr>
      </w:pPr>
      <w:r w:rsidRPr="00676AA2">
        <w:rPr>
          <w:color w:val="1F497D" w:themeColor="text2"/>
          <w:lang w:val="en-US"/>
        </w:rPr>
        <w:t>Land Title Act</w:t>
      </w:r>
    </w:p>
    <w:p w:rsidR="000E01A2" w:rsidRDefault="000E01A2" w:rsidP="008E7F60">
      <w:pPr>
        <w:rPr>
          <w:lang w:val="en-US"/>
        </w:rPr>
      </w:pPr>
    </w:p>
    <w:p w:rsidR="000E01A2" w:rsidRDefault="000E01A2" w:rsidP="008E7F60">
      <w:pPr>
        <w:rPr>
          <w:lang w:val="en-US"/>
        </w:rPr>
      </w:pPr>
      <w:r>
        <w:rPr>
          <w:u w:val="single"/>
          <w:lang w:val="en-US"/>
        </w:rPr>
        <w:t>Implied covenants</w:t>
      </w:r>
    </w:p>
    <w:p w:rsidR="000E01A2" w:rsidRDefault="000E01A2" w:rsidP="008E7F60">
      <w:pPr>
        <w:rPr>
          <w:lang w:val="en-US"/>
        </w:rPr>
      </w:pPr>
    </w:p>
    <w:p w:rsidR="007D3F2F" w:rsidRDefault="000E01A2" w:rsidP="008E7F60">
      <w:pPr>
        <w:rPr>
          <w:lang w:val="en-US"/>
        </w:rPr>
      </w:pPr>
      <w:r w:rsidRPr="007D3F2F">
        <w:rPr>
          <w:color w:val="1F497D" w:themeColor="text2"/>
          <w:lang w:val="en-US"/>
        </w:rPr>
        <w:t>186. (4)</w:t>
      </w:r>
      <w:r>
        <w:rPr>
          <w:lang w:val="en-US"/>
        </w:rPr>
        <w:t xml:space="preserve"> A transfer of freehold estate for valuable consideration and in the approved form [form A] operates to transfer the freehold estate of the transferor to the transferee </w:t>
      </w:r>
      <w:r w:rsidRPr="007D3F2F">
        <w:rPr>
          <w:b/>
          <w:color w:val="800000"/>
          <w:lang w:val="en-US"/>
        </w:rPr>
        <w:t>whether or not it contains express words of transfer</w:t>
      </w:r>
      <w:r>
        <w:rPr>
          <w:lang w:val="en-US"/>
        </w:rPr>
        <w:t>.</w:t>
      </w:r>
    </w:p>
    <w:p w:rsidR="007D3F2F" w:rsidRDefault="007D3F2F" w:rsidP="008E7F60">
      <w:pPr>
        <w:rPr>
          <w:lang w:val="en-US"/>
        </w:rPr>
      </w:pPr>
    </w:p>
    <w:p w:rsidR="007D3F2F" w:rsidRDefault="007D3F2F" w:rsidP="008E7F60">
      <w:pPr>
        <w:rPr>
          <w:lang w:val="en-US"/>
        </w:rPr>
      </w:pPr>
      <w:r w:rsidRPr="007D3F2F">
        <w:rPr>
          <w:color w:val="1F497D" w:themeColor="text2"/>
          <w:lang w:val="en-US"/>
        </w:rPr>
        <w:t>(5)</w:t>
      </w:r>
      <w:r>
        <w:rPr>
          <w:lang w:val="en-US"/>
        </w:rPr>
        <w:t xml:space="preserve"> If no express words of limitation, then fee simple</w:t>
      </w:r>
    </w:p>
    <w:p w:rsidR="007D3F2F" w:rsidRDefault="007D3F2F" w:rsidP="008E7F60">
      <w:pPr>
        <w:rPr>
          <w:lang w:val="en-US"/>
        </w:rPr>
      </w:pPr>
    </w:p>
    <w:p w:rsidR="007D3F2F" w:rsidRDefault="007D3F2F" w:rsidP="008E7F60">
      <w:pPr>
        <w:rPr>
          <w:lang w:val="en-US"/>
        </w:rPr>
      </w:pPr>
      <w:r w:rsidRPr="007D3F2F">
        <w:rPr>
          <w:color w:val="1F497D" w:themeColor="text2"/>
          <w:lang w:val="en-US"/>
        </w:rPr>
        <w:t xml:space="preserve">(6) </w:t>
      </w:r>
      <w:r>
        <w:rPr>
          <w:lang w:val="en-US"/>
        </w:rPr>
        <w:t>if express words of limitation then transfer of freehold estate in accordance with limitation</w:t>
      </w:r>
    </w:p>
    <w:p w:rsidR="007D3F2F" w:rsidRDefault="007D3F2F" w:rsidP="008E7F60">
      <w:pPr>
        <w:rPr>
          <w:lang w:val="en-US"/>
        </w:rPr>
      </w:pPr>
    </w:p>
    <w:p w:rsidR="007D3F2F" w:rsidRDefault="007D3F2F" w:rsidP="008E7F60">
      <w:pPr>
        <w:rPr>
          <w:lang w:val="en-US"/>
        </w:rPr>
      </w:pPr>
      <w:r w:rsidRPr="007D3F2F">
        <w:rPr>
          <w:color w:val="1F497D" w:themeColor="text2"/>
          <w:lang w:val="en-US"/>
        </w:rPr>
        <w:t>(7)</w:t>
      </w:r>
      <w:r>
        <w:rPr>
          <w:lang w:val="en-US"/>
        </w:rPr>
        <w:t xml:space="preserve"> if express reservations or conditions then transfer of freehold estate subject to the reservation or condition</w:t>
      </w:r>
    </w:p>
    <w:p w:rsidR="007D3F2F" w:rsidRDefault="007D3F2F" w:rsidP="008E7F60">
      <w:pPr>
        <w:rPr>
          <w:lang w:val="en-US"/>
        </w:rPr>
      </w:pPr>
    </w:p>
    <w:p w:rsidR="007D3F2F" w:rsidRDefault="007D3F2F" w:rsidP="008E7F60">
      <w:pPr>
        <w:rPr>
          <w:lang w:val="en-US"/>
        </w:rPr>
      </w:pPr>
      <w:r w:rsidRPr="007D3F2F">
        <w:rPr>
          <w:color w:val="1F497D" w:themeColor="text2"/>
          <w:lang w:val="en-US"/>
        </w:rPr>
        <w:t>(8)</w:t>
      </w:r>
      <w:r>
        <w:rPr>
          <w:lang w:val="en-US"/>
        </w:rPr>
        <w:t xml:space="preserve"> </w:t>
      </w:r>
      <w:r w:rsidRPr="007D3F2F">
        <w:rPr>
          <w:color w:val="800000"/>
          <w:lang w:val="en-US"/>
        </w:rPr>
        <w:t>Transferor cannot pass an estate greater than that which the transferor is the registered owner of</w:t>
      </w:r>
    </w:p>
    <w:p w:rsidR="007D3F2F" w:rsidRDefault="007D3F2F" w:rsidP="008E7F60">
      <w:pPr>
        <w:rPr>
          <w:lang w:val="en-US"/>
        </w:rPr>
      </w:pPr>
    </w:p>
    <w:p w:rsidR="007D3F2F" w:rsidRPr="007D3F2F" w:rsidRDefault="007D3F2F" w:rsidP="00676AA2">
      <w:pPr>
        <w:pStyle w:val="Heading4"/>
      </w:pPr>
      <w:r w:rsidRPr="007D3F2F">
        <w:t>Wills, Estate and Succession Act (WESA) – In Force March 31, 2014</w:t>
      </w:r>
    </w:p>
    <w:p w:rsidR="007D3F2F" w:rsidRDefault="007D3F2F" w:rsidP="008E7F60">
      <w:pPr>
        <w:rPr>
          <w:lang w:val="en-US"/>
        </w:rPr>
      </w:pPr>
    </w:p>
    <w:p w:rsidR="007D3F2F" w:rsidRDefault="007D3F2F" w:rsidP="007D3F2F">
      <w:pPr>
        <w:rPr>
          <w:lang w:val="en-US"/>
        </w:rPr>
      </w:pPr>
      <w:r w:rsidRPr="007D3F2F">
        <w:rPr>
          <w:color w:val="1F497D" w:themeColor="text2"/>
          <w:lang w:val="en-US"/>
        </w:rPr>
        <w:t>41 (3</w:t>
      </w:r>
      <w:r>
        <w:rPr>
          <w:lang w:val="en-US"/>
        </w:rPr>
        <w:t>) A gift in a will</w:t>
      </w:r>
    </w:p>
    <w:p w:rsidR="007D3F2F" w:rsidRDefault="007D3F2F" w:rsidP="003E0F58">
      <w:pPr>
        <w:pStyle w:val="ListBullet"/>
        <w:numPr>
          <w:ilvl w:val="0"/>
          <w:numId w:val="50"/>
        </w:numPr>
        <w:rPr>
          <w:lang w:val="en-US"/>
        </w:rPr>
      </w:pPr>
      <w:r>
        <w:rPr>
          <w:lang w:val="en-US"/>
        </w:rPr>
        <w:t>Takes effect according to its terms, and</w:t>
      </w:r>
    </w:p>
    <w:p w:rsidR="003E0F58" w:rsidRPr="003E0F58" w:rsidRDefault="007D3F2F" w:rsidP="003E0F58">
      <w:pPr>
        <w:pStyle w:val="ListBullet"/>
        <w:numPr>
          <w:ilvl w:val="0"/>
          <w:numId w:val="50"/>
        </w:numPr>
        <w:rPr>
          <w:lang w:val="en-US"/>
        </w:rPr>
      </w:pPr>
      <w:r>
        <w:rPr>
          <w:lang w:val="en-US"/>
        </w:rPr>
        <w:t xml:space="preserve">Subject to the terms of the gift, </w:t>
      </w:r>
      <w:r w:rsidRPr="007D3F2F">
        <w:rPr>
          <w:b/>
          <w:color w:val="800000"/>
          <w:lang w:val="en-US"/>
        </w:rPr>
        <w:t>gives to the recipient of the gift every legal or equitable interest in the property that the will-maker had the legal capacity to give</w:t>
      </w:r>
    </w:p>
    <w:p w:rsidR="007D3F2F" w:rsidRDefault="007D3F2F" w:rsidP="003E0F58">
      <w:pPr>
        <w:pStyle w:val="ListBullet"/>
        <w:numPr>
          <w:ilvl w:val="0"/>
          <w:numId w:val="0"/>
        </w:numPr>
        <w:pBdr>
          <w:bottom w:val="single" w:sz="12" w:space="1" w:color="auto"/>
        </w:pBdr>
        <w:ind w:left="360" w:hanging="360"/>
        <w:rPr>
          <w:lang w:val="en-US"/>
        </w:rPr>
      </w:pPr>
    </w:p>
    <w:p w:rsidR="007D3F2F" w:rsidRDefault="007D3F2F" w:rsidP="007D3F2F">
      <w:pPr>
        <w:pStyle w:val="ListBullet"/>
        <w:numPr>
          <w:ilvl w:val="0"/>
          <w:numId w:val="0"/>
        </w:numPr>
        <w:pBdr>
          <w:bottom w:val="single" w:sz="12" w:space="1" w:color="auto"/>
        </w:pBdr>
        <w:ind w:left="360" w:hanging="360"/>
        <w:rPr>
          <w:lang w:val="en-US"/>
        </w:rPr>
      </w:pPr>
    </w:p>
    <w:p w:rsidR="007D3F2F" w:rsidRDefault="007D3F2F" w:rsidP="007D3F2F">
      <w:pPr>
        <w:pStyle w:val="ListBullet"/>
        <w:numPr>
          <w:ilvl w:val="0"/>
          <w:numId w:val="0"/>
        </w:numPr>
        <w:ind w:left="360" w:hanging="360"/>
        <w:rPr>
          <w:lang w:val="en-US"/>
        </w:rPr>
      </w:pPr>
    </w:p>
    <w:p w:rsidR="007D3F2F" w:rsidRPr="00AA6417" w:rsidRDefault="007D3F2F" w:rsidP="00AA6417">
      <w:pPr>
        <w:pStyle w:val="Heading3"/>
        <w:rPr>
          <w:b w:val="0"/>
          <w:lang w:val="en-US"/>
        </w:rPr>
      </w:pPr>
      <w:bookmarkStart w:id="67" w:name="_Toc259911055"/>
      <w:r w:rsidRPr="00514F2D">
        <w:rPr>
          <w:highlight w:val="yellow"/>
          <w:lang w:val="en-US"/>
        </w:rPr>
        <w:t>TOTTRUP v OTTEWELL ESTATE</w:t>
      </w:r>
      <w:r w:rsidR="00AA6417">
        <w:rPr>
          <w:lang w:val="en-US"/>
        </w:rPr>
        <w:t xml:space="preserve"> –</w:t>
      </w:r>
      <w:r w:rsidR="00AA6417" w:rsidRPr="00AA6417">
        <w:rPr>
          <w:b w:val="0"/>
          <w:lang w:val="en-US"/>
        </w:rPr>
        <w:t xml:space="preserve"> will is an ambulatory document, equity will not allow the gift to fail</w:t>
      </w:r>
      <w:bookmarkEnd w:id="67"/>
    </w:p>
    <w:p w:rsidR="007D3F2F" w:rsidRDefault="007D3F2F" w:rsidP="007D3F2F">
      <w:pPr>
        <w:pStyle w:val="ListBullet"/>
        <w:numPr>
          <w:ilvl w:val="0"/>
          <w:numId w:val="0"/>
        </w:numPr>
        <w:ind w:left="360" w:hanging="360"/>
        <w:rPr>
          <w:lang w:val="en-US"/>
        </w:rPr>
      </w:pPr>
    </w:p>
    <w:p w:rsidR="00D45A94" w:rsidRDefault="00D45A94" w:rsidP="007D3F2F">
      <w:pPr>
        <w:pStyle w:val="ListBullet"/>
        <w:numPr>
          <w:ilvl w:val="0"/>
          <w:numId w:val="0"/>
        </w:numPr>
        <w:ind w:left="360" w:hanging="360"/>
        <w:rPr>
          <w:lang w:val="en-US"/>
        </w:rPr>
      </w:pPr>
      <w:r>
        <w:rPr>
          <w:lang w:val="en-US"/>
        </w:rPr>
        <w:t>FACTS:</w:t>
      </w:r>
    </w:p>
    <w:p w:rsidR="00D45A94" w:rsidRDefault="00D45A94" w:rsidP="007D3F2F">
      <w:pPr>
        <w:pStyle w:val="ListBullet"/>
        <w:numPr>
          <w:ilvl w:val="0"/>
          <w:numId w:val="0"/>
        </w:numPr>
        <w:ind w:left="360" w:hanging="360"/>
        <w:rPr>
          <w:lang w:val="en-US"/>
        </w:rPr>
      </w:pPr>
    </w:p>
    <w:p w:rsidR="00D45A94" w:rsidRDefault="00D45A94" w:rsidP="007D3F2F">
      <w:pPr>
        <w:pStyle w:val="ListBullet"/>
        <w:numPr>
          <w:ilvl w:val="0"/>
          <w:numId w:val="0"/>
        </w:numPr>
        <w:ind w:left="360" w:hanging="360"/>
        <w:rPr>
          <w:lang w:val="en-US"/>
        </w:rPr>
      </w:pPr>
      <w:r>
        <w:rPr>
          <w:lang w:val="en-US"/>
        </w:rPr>
        <w:t xml:space="preserve">Frank Ottewell left his entire estate to his twin Fred: “to Fred </w:t>
      </w:r>
      <w:r>
        <w:rPr>
          <w:i/>
          <w:lang w:val="en-US"/>
        </w:rPr>
        <w:t xml:space="preserve">and </w:t>
      </w:r>
      <w:r>
        <w:rPr>
          <w:lang w:val="en-US"/>
        </w:rPr>
        <w:t>his heirs”. Fred died before Frank. Frank’s testators</w:t>
      </w:r>
    </w:p>
    <w:p w:rsidR="00D45A94" w:rsidRDefault="00D45A94" w:rsidP="007D3F2F">
      <w:pPr>
        <w:pStyle w:val="ListBullet"/>
        <w:numPr>
          <w:ilvl w:val="0"/>
          <w:numId w:val="0"/>
        </w:numPr>
        <w:ind w:left="360" w:hanging="360"/>
        <w:rPr>
          <w:lang w:val="en-US"/>
        </w:rPr>
      </w:pPr>
      <w:r>
        <w:rPr>
          <w:lang w:val="en-US"/>
        </w:rPr>
        <w:t>proceeded with dividing up the estate as if he died intestate. Fred’s only daughter (his heir apparent) sued Frank’s estate.</w:t>
      </w:r>
    </w:p>
    <w:p w:rsidR="00D45A94" w:rsidRDefault="00D45A94" w:rsidP="007D3F2F">
      <w:pPr>
        <w:pStyle w:val="ListBullet"/>
        <w:numPr>
          <w:ilvl w:val="0"/>
          <w:numId w:val="0"/>
        </w:numPr>
        <w:ind w:left="360" w:hanging="360"/>
        <w:rPr>
          <w:lang w:val="en-US"/>
        </w:rPr>
      </w:pPr>
      <w:r>
        <w:rPr>
          <w:lang w:val="en-US"/>
        </w:rPr>
        <w:t>She argued that the words “and his heirs” signified a substitution clause – a clause that directed a testator’s executor to an</w:t>
      </w:r>
    </w:p>
    <w:p w:rsidR="00D45A94" w:rsidRDefault="00D45A94" w:rsidP="007D3F2F">
      <w:pPr>
        <w:pStyle w:val="ListBullet"/>
        <w:numPr>
          <w:ilvl w:val="0"/>
          <w:numId w:val="0"/>
        </w:numPr>
        <w:ind w:left="360" w:hanging="360"/>
        <w:rPr>
          <w:lang w:val="en-US"/>
        </w:rPr>
      </w:pPr>
      <w:r>
        <w:rPr>
          <w:lang w:val="en-US"/>
        </w:rPr>
        <w:t>alternate disbursement of the estate should the will “lapse”.</w:t>
      </w:r>
    </w:p>
    <w:p w:rsidR="00D45A94" w:rsidRDefault="00D45A94" w:rsidP="007D3F2F">
      <w:pPr>
        <w:pStyle w:val="ListBullet"/>
        <w:numPr>
          <w:ilvl w:val="0"/>
          <w:numId w:val="0"/>
        </w:numPr>
        <w:ind w:left="360" w:hanging="360"/>
        <w:rPr>
          <w:lang w:val="en-US"/>
        </w:rPr>
      </w:pPr>
    </w:p>
    <w:p w:rsidR="00D45A94" w:rsidRDefault="00D45A94" w:rsidP="00D45A94">
      <w:pPr>
        <w:pStyle w:val="ListBullet"/>
        <w:numPr>
          <w:ilvl w:val="0"/>
          <w:numId w:val="0"/>
        </w:numPr>
        <w:rPr>
          <w:lang w:val="en-US"/>
        </w:rPr>
      </w:pPr>
      <w:r>
        <w:rPr>
          <w:lang w:val="en-US"/>
        </w:rPr>
        <w:t>A will is said to lapse when the gift cannot be completed. I.e, A leaves house to B in will but before A dies he sells the house, or if the beneficiary pre-deceases the testator.</w:t>
      </w:r>
    </w:p>
    <w:p w:rsidR="00D45A94" w:rsidRDefault="00D45A94" w:rsidP="00D45A94">
      <w:pPr>
        <w:pStyle w:val="ListBullet"/>
        <w:numPr>
          <w:ilvl w:val="0"/>
          <w:numId w:val="0"/>
        </w:numPr>
        <w:rPr>
          <w:lang w:val="en-US"/>
        </w:rPr>
      </w:pPr>
    </w:p>
    <w:p w:rsidR="00D45A94" w:rsidRDefault="00D45A94" w:rsidP="00D45A94">
      <w:pPr>
        <w:pStyle w:val="ListBullet"/>
        <w:numPr>
          <w:ilvl w:val="0"/>
          <w:numId w:val="0"/>
        </w:numPr>
        <w:rPr>
          <w:lang w:val="en-US"/>
        </w:rPr>
      </w:pPr>
      <w:r>
        <w:rPr>
          <w:lang w:val="en-US"/>
        </w:rPr>
        <w:t>HELD:</w:t>
      </w:r>
    </w:p>
    <w:p w:rsidR="00D45A94" w:rsidRDefault="00D45A94" w:rsidP="00D45A94">
      <w:pPr>
        <w:pStyle w:val="ListBullet"/>
        <w:numPr>
          <w:ilvl w:val="0"/>
          <w:numId w:val="0"/>
        </w:numPr>
        <w:rPr>
          <w:lang w:val="en-US"/>
        </w:rPr>
      </w:pPr>
    </w:p>
    <w:p w:rsidR="00514F2D" w:rsidRDefault="00D45A94" w:rsidP="00514F2D">
      <w:pPr>
        <w:pStyle w:val="ListBullet"/>
        <w:numPr>
          <w:ilvl w:val="0"/>
          <w:numId w:val="0"/>
        </w:numPr>
        <w:rPr>
          <w:lang w:val="en-US"/>
        </w:rPr>
      </w:pPr>
      <w:r>
        <w:rPr>
          <w:lang w:val="en-US"/>
        </w:rPr>
        <w:t>Frank’s estate passes pursuant to rules of intestacy, the words “to Fred and his heirs” are words of limitation, not words of substitution</w:t>
      </w:r>
      <w:r w:rsidR="00514F2D">
        <w:rPr>
          <w:lang w:val="en-US"/>
        </w:rPr>
        <w:t>/residuary clause</w:t>
      </w:r>
      <w:r>
        <w:rPr>
          <w:lang w:val="en-US"/>
        </w:rPr>
        <w:t>.</w:t>
      </w:r>
      <w:r w:rsidR="00514F2D">
        <w:rPr>
          <w:lang w:val="en-US"/>
        </w:rPr>
        <w:t xml:space="preserve"> </w:t>
      </w:r>
    </w:p>
    <w:p w:rsidR="00514F2D" w:rsidRDefault="00514F2D" w:rsidP="00514F2D">
      <w:pPr>
        <w:pStyle w:val="ListBullet"/>
        <w:numPr>
          <w:ilvl w:val="0"/>
          <w:numId w:val="0"/>
        </w:numPr>
        <w:rPr>
          <w:lang w:val="en-US"/>
        </w:rPr>
      </w:pPr>
    </w:p>
    <w:p w:rsidR="00514F2D" w:rsidRPr="00514F2D" w:rsidRDefault="00514F2D" w:rsidP="00514F2D">
      <w:pPr>
        <w:pStyle w:val="ListBullet"/>
        <w:numPr>
          <w:ilvl w:val="0"/>
          <w:numId w:val="0"/>
        </w:numPr>
        <w:rPr>
          <w:lang w:val="en-US"/>
        </w:rPr>
      </w:pPr>
      <w:r>
        <w:rPr>
          <w:lang w:val="en-US"/>
        </w:rPr>
        <w:t xml:space="preserve">The </w:t>
      </w:r>
      <w:r>
        <w:t>phrase that confused everyone is “to Fred, to hold unto him, his heirs, executors, and administrators absolutely and forever.”  There’s a comma between “to Fred” and “to his heirs” and it’s whether that comma is standing for an “and” or an “or”.</w:t>
      </w:r>
    </w:p>
    <w:p w:rsidR="00D45A94" w:rsidRPr="00300143" w:rsidRDefault="00514F2D" w:rsidP="00300143">
      <w:pPr>
        <w:spacing w:after="200" w:line="276" w:lineRule="auto"/>
      </w:pPr>
      <w:r>
        <w:t>SCC ruled the phrase is read as conjunctive, not disjunctive.  it passed by lapse to Frank’s next of kin or the people entitled to Frank’s estate.  Because Fred used word “heirs, executors, and administrators,” use of all those words, unnecessarily, implied that the intention was for it to be conjunctive, not disjunctive.</w:t>
      </w:r>
    </w:p>
    <w:p w:rsidR="00D45A94" w:rsidRDefault="00D45A94" w:rsidP="00D45A94">
      <w:pPr>
        <w:pStyle w:val="ListBullet"/>
        <w:numPr>
          <w:ilvl w:val="0"/>
          <w:numId w:val="0"/>
        </w:numPr>
        <w:rPr>
          <w:lang w:val="en-US"/>
        </w:rPr>
      </w:pPr>
      <w:r>
        <w:rPr>
          <w:lang w:val="en-US"/>
        </w:rPr>
        <w:t>RATIO:</w:t>
      </w:r>
    </w:p>
    <w:p w:rsidR="00D45A94" w:rsidRDefault="00D45A94" w:rsidP="00D45A94">
      <w:pPr>
        <w:pStyle w:val="ListBullet"/>
        <w:numPr>
          <w:ilvl w:val="0"/>
          <w:numId w:val="0"/>
        </w:numPr>
        <w:rPr>
          <w:lang w:val="en-US"/>
        </w:rPr>
      </w:pPr>
    </w:p>
    <w:p w:rsidR="00D45A94" w:rsidRDefault="00D45A94" w:rsidP="00D45A94">
      <w:pPr>
        <w:pStyle w:val="ListBullet"/>
        <w:numPr>
          <w:ilvl w:val="0"/>
          <w:numId w:val="0"/>
        </w:numPr>
        <w:rPr>
          <w:lang w:val="en-US"/>
        </w:rPr>
      </w:pPr>
      <w:r>
        <w:rPr>
          <w:lang w:val="en-US"/>
        </w:rPr>
        <w:t>A will is an ambulatory document, it has no effect, traction and attaches to nothing until the testator dies. Circumstances can change such that a will lapses and the Court must give a construction to the will before they look at the circumstances.</w:t>
      </w:r>
    </w:p>
    <w:p w:rsidR="00D45A94" w:rsidRDefault="00D45A94" w:rsidP="00D45A94">
      <w:pPr>
        <w:pStyle w:val="ListBullet"/>
        <w:numPr>
          <w:ilvl w:val="0"/>
          <w:numId w:val="0"/>
        </w:numPr>
        <w:rPr>
          <w:lang w:val="en-US"/>
        </w:rPr>
      </w:pPr>
    </w:p>
    <w:p w:rsidR="00D45A94" w:rsidRDefault="00D45A94" w:rsidP="00D45A94">
      <w:pPr>
        <w:pStyle w:val="ListBullet"/>
        <w:numPr>
          <w:ilvl w:val="0"/>
          <w:numId w:val="0"/>
        </w:numPr>
        <w:rPr>
          <w:lang w:val="en-US"/>
        </w:rPr>
      </w:pPr>
      <w:r>
        <w:rPr>
          <w:lang w:val="en-US"/>
        </w:rPr>
        <w:t>Circumstances should only be looked at when the will’s wording is ambiguous.</w:t>
      </w:r>
    </w:p>
    <w:p w:rsidR="00D45A94" w:rsidRDefault="00D45A94" w:rsidP="00D45A94">
      <w:pPr>
        <w:pStyle w:val="ListBullet"/>
        <w:numPr>
          <w:ilvl w:val="0"/>
          <w:numId w:val="0"/>
        </w:numPr>
        <w:rPr>
          <w:lang w:val="en-US"/>
        </w:rPr>
      </w:pPr>
    </w:p>
    <w:p w:rsidR="00D45A94" w:rsidRDefault="00D45A94" w:rsidP="00D45A94">
      <w:pPr>
        <w:pStyle w:val="ListBullet"/>
        <w:numPr>
          <w:ilvl w:val="0"/>
          <w:numId w:val="0"/>
        </w:numPr>
        <w:rPr>
          <w:lang w:val="en-US"/>
        </w:rPr>
      </w:pPr>
      <w:r>
        <w:rPr>
          <w:lang w:val="en-US"/>
        </w:rPr>
        <w:t xml:space="preserve">Had Frank said “to Fred </w:t>
      </w:r>
      <w:r>
        <w:rPr>
          <w:i/>
          <w:lang w:val="en-US"/>
        </w:rPr>
        <w:t>or</w:t>
      </w:r>
      <w:r>
        <w:rPr>
          <w:lang w:val="en-US"/>
        </w:rPr>
        <w:t xml:space="preserve"> his heirs” the estate would have passed to Fred’s daughter.</w:t>
      </w:r>
    </w:p>
    <w:p w:rsidR="00D45A94" w:rsidRDefault="00D45A94" w:rsidP="00D45A94">
      <w:pPr>
        <w:pStyle w:val="ListBullet"/>
        <w:numPr>
          <w:ilvl w:val="0"/>
          <w:numId w:val="0"/>
        </w:numPr>
        <w:rPr>
          <w:lang w:val="en-US"/>
        </w:rPr>
      </w:pPr>
    </w:p>
    <w:p w:rsidR="00514F2D" w:rsidRDefault="00514F2D" w:rsidP="00D45A94">
      <w:pPr>
        <w:pStyle w:val="ListBullet"/>
        <w:numPr>
          <w:ilvl w:val="0"/>
          <w:numId w:val="0"/>
        </w:numPr>
        <w:rPr>
          <w:lang w:val="en-US"/>
        </w:rPr>
      </w:pPr>
      <w:r>
        <w:rPr>
          <w:lang w:val="en-US"/>
        </w:rPr>
        <w:t>Equity will not allow the gift to fail.</w:t>
      </w:r>
    </w:p>
    <w:p w:rsidR="00514F2D" w:rsidRDefault="00514F2D" w:rsidP="00D45A94">
      <w:pPr>
        <w:pStyle w:val="ListBullet"/>
        <w:numPr>
          <w:ilvl w:val="0"/>
          <w:numId w:val="0"/>
        </w:numPr>
        <w:pBdr>
          <w:bottom w:val="single" w:sz="12" w:space="1" w:color="auto"/>
        </w:pBdr>
        <w:rPr>
          <w:lang w:val="en-US"/>
        </w:rPr>
      </w:pPr>
    </w:p>
    <w:p w:rsidR="00514F2D" w:rsidRDefault="00514F2D" w:rsidP="00D45A94">
      <w:pPr>
        <w:pStyle w:val="ListBullet"/>
        <w:numPr>
          <w:ilvl w:val="0"/>
          <w:numId w:val="0"/>
        </w:numPr>
        <w:rPr>
          <w:lang w:val="en-US"/>
        </w:rPr>
      </w:pPr>
    </w:p>
    <w:p w:rsidR="00C9334D" w:rsidRPr="00C9334D" w:rsidRDefault="00C9334D" w:rsidP="00D45A94">
      <w:pPr>
        <w:pStyle w:val="ListBullet"/>
        <w:numPr>
          <w:ilvl w:val="0"/>
          <w:numId w:val="0"/>
        </w:numPr>
        <w:rPr>
          <w:color w:val="1F497D" w:themeColor="text2"/>
          <w:lang w:val="en-US"/>
        </w:rPr>
      </w:pPr>
      <w:r w:rsidRPr="00C9334D">
        <w:rPr>
          <w:color w:val="1F497D" w:themeColor="text2"/>
          <w:lang w:val="en-US"/>
        </w:rPr>
        <w:t>WILLS, ESTATES AND SUCCESSION ACT (WESA)</w:t>
      </w:r>
    </w:p>
    <w:p w:rsidR="00C9334D" w:rsidRDefault="00C9334D" w:rsidP="00D45A94">
      <w:pPr>
        <w:pStyle w:val="ListBullet"/>
        <w:numPr>
          <w:ilvl w:val="0"/>
          <w:numId w:val="0"/>
        </w:numPr>
        <w:rPr>
          <w:lang w:val="en-US"/>
        </w:rPr>
      </w:pPr>
    </w:p>
    <w:p w:rsidR="00C9334D" w:rsidRDefault="00C9334D" w:rsidP="008B5827">
      <w:pPr>
        <w:pStyle w:val="Heading4"/>
      </w:pPr>
      <w:r>
        <w:t>Meaning of particular words in a will</w:t>
      </w:r>
      <w:r w:rsidR="008B5827">
        <w:t xml:space="preserve"> – “heir” and “next of kin” determined by rules of intestacy [WSA 41.1/2]</w:t>
      </w:r>
    </w:p>
    <w:p w:rsidR="00C9334D" w:rsidRDefault="00C9334D" w:rsidP="00D45A94">
      <w:pPr>
        <w:pStyle w:val="ListBullet"/>
        <w:numPr>
          <w:ilvl w:val="0"/>
          <w:numId w:val="0"/>
        </w:numPr>
        <w:rPr>
          <w:lang w:val="en-US"/>
        </w:rPr>
      </w:pPr>
    </w:p>
    <w:p w:rsidR="00C9334D" w:rsidRDefault="00C9334D" w:rsidP="00D45A94">
      <w:pPr>
        <w:pStyle w:val="ListBullet"/>
        <w:numPr>
          <w:ilvl w:val="0"/>
          <w:numId w:val="0"/>
        </w:numPr>
        <w:rPr>
          <w:lang w:val="en-US"/>
        </w:rPr>
      </w:pPr>
      <w:r w:rsidRPr="00C9334D">
        <w:rPr>
          <w:color w:val="1F497D" w:themeColor="text2"/>
          <w:lang w:val="en-US"/>
        </w:rPr>
        <w:t xml:space="preserve">41 (1) </w:t>
      </w:r>
      <w:r>
        <w:rPr>
          <w:lang w:val="en-US"/>
        </w:rPr>
        <w:t>This section is subject to a contrary intention appearing in a will</w:t>
      </w:r>
    </w:p>
    <w:p w:rsidR="00C9334D" w:rsidRDefault="00C9334D" w:rsidP="00D45A94">
      <w:pPr>
        <w:pStyle w:val="ListBullet"/>
        <w:numPr>
          <w:ilvl w:val="0"/>
          <w:numId w:val="0"/>
        </w:numPr>
        <w:rPr>
          <w:lang w:val="en-US"/>
        </w:rPr>
      </w:pPr>
      <w:r w:rsidRPr="00C9334D">
        <w:rPr>
          <w:color w:val="1F497D" w:themeColor="text2"/>
          <w:lang w:val="en-US"/>
        </w:rPr>
        <w:t>(2)</w:t>
      </w:r>
      <w:r>
        <w:rPr>
          <w:lang w:val="en-US"/>
        </w:rPr>
        <w:t xml:space="preserve"> a gift of property in a will to persons described as “heir” or “next of kin” of the will-maker or of another person takes effect as if it had been made to the person among whom and in the share in which the estate of the will-maker or other person would have been divisible if the will-maker or other person had died without a will [</w:t>
      </w:r>
      <w:r w:rsidRPr="00C9334D">
        <w:rPr>
          <w:color w:val="800000"/>
          <w:lang w:val="en-US"/>
        </w:rPr>
        <w:t>heir determined by rules of intestacy</w:t>
      </w:r>
      <w:r>
        <w:rPr>
          <w:lang w:val="en-US"/>
        </w:rPr>
        <w:t xml:space="preserve">]. </w:t>
      </w:r>
    </w:p>
    <w:p w:rsidR="00C9334D" w:rsidRDefault="00C9334D" w:rsidP="00D45A94">
      <w:pPr>
        <w:pStyle w:val="ListBullet"/>
        <w:numPr>
          <w:ilvl w:val="0"/>
          <w:numId w:val="0"/>
        </w:numPr>
        <w:rPr>
          <w:lang w:val="en-US"/>
        </w:rPr>
      </w:pPr>
    </w:p>
    <w:p w:rsidR="00C9334D" w:rsidRDefault="00C9334D" w:rsidP="00D45A94">
      <w:pPr>
        <w:pStyle w:val="ListBullet"/>
        <w:numPr>
          <w:ilvl w:val="0"/>
          <w:numId w:val="0"/>
        </w:numPr>
        <w:rPr>
          <w:lang w:val="en-US"/>
        </w:rPr>
      </w:pPr>
      <w:r>
        <w:rPr>
          <w:lang w:val="en-US"/>
        </w:rPr>
        <w:t>It is probably the law in Canada now that a court is entitled to look at surrounding circumstances in constructing a will. [p. 9-9]</w:t>
      </w:r>
    </w:p>
    <w:p w:rsidR="00C9334D" w:rsidRDefault="00C9334D" w:rsidP="00C9334D">
      <w:pPr>
        <w:pStyle w:val="ListBullet"/>
        <w:numPr>
          <w:ilvl w:val="0"/>
          <w:numId w:val="0"/>
        </w:numPr>
        <w:ind w:left="360" w:hanging="360"/>
        <w:rPr>
          <w:lang w:val="en-US"/>
        </w:rPr>
      </w:pPr>
    </w:p>
    <w:p w:rsidR="00EF2F22" w:rsidRPr="00F22114" w:rsidRDefault="00C9334D" w:rsidP="004903F8">
      <w:pPr>
        <w:pStyle w:val="Heading2"/>
        <w:rPr>
          <w:b w:val="0"/>
          <w:lang w:val="en-US"/>
        </w:rPr>
      </w:pPr>
      <w:bookmarkStart w:id="68" w:name="_Toc259911056"/>
      <w:r w:rsidRPr="00C9334D">
        <w:rPr>
          <w:lang w:val="en-US"/>
        </w:rPr>
        <w:t>Problems of Interpretation – Repugnancy</w:t>
      </w:r>
      <w:r w:rsidR="00F22114">
        <w:rPr>
          <w:lang w:val="en-US"/>
        </w:rPr>
        <w:t xml:space="preserve"> </w:t>
      </w:r>
      <w:r w:rsidR="00F22114" w:rsidRPr="00F22114">
        <w:rPr>
          <w:b w:val="0"/>
          <w:lang w:val="en-US"/>
        </w:rPr>
        <w:t xml:space="preserve">[3 possibilities </w:t>
      </w:r>
      <w:r w:rsidR="00F22114" w:rsidRPr="00F22114">
        <w:rPr>
          <w:b w:val="0"/>
          <w:i/>
          <w:lang w:val="en-US"/>
        </w:rPr>
        <w:t>Re: Walker</w:t>
      </w:r>
      <w:r w:rsidR="00F22114" w:rsidRPr="00F22114">
        <w:rPr>
          <w:b w:val="0"/>
          <w:lang w:val="en-US"/>
        </w:rPr>
        <w:t>]</w:t>
      </w:r>
      <w:bookmarkEnd w:id="68"/>
    </w:p>
    <w:p w:rsidR="00EF2F22" w:rsidRDefault="00EF2F22" w:rsidP="00EF2F22">
      <w:pPr>
        <w:pStyle w:val="ListBullet"/>
        <w:numPr>
          <w:ilvl w:val="0"/>
          <w:numId w:val="0"/>
        </w:numPr>
        <w:ind w:left="360" w:hanging="360"/>
        <w:rPr>
          <w:lang w:val="en-US"/>
        </w:rPr>
      </w:pPr>
    </w:p>
    <w:p w:rsidR="00A52CE7" w:rsidRDefault="00F22114" w:rsidP="00EF2F22">
      <w:pPr>
        <w:pStyle w:val="ListBullet"/>
        <w:numPr>
          <w:ilvl w:val="0"/>
          <w:numId w:val="0"/>
        </w:numPr>
        <w:rPr>
          <w:lang w:val="en-US"/>
        </w:rPr>
      </w:pPr>
      <w:r>
        <w:rPr>
          <w:lang w:val="en-US"/>
        </w:rPr>
        <w:t>Repugnancy</w:t>
      </w:r>
      <w:r w:rsidR="00EF2F22">
        <w:rPr>
          <w:lang w:val="en-US"/>
        </w:rPr>
        <w:t xml:space="preserve"> occurs, often, when the words in a will create an </w:t>
      </w:r>
      <w:r w:rsidR="00EF2F22" w:rsidRPr="004903F8">
        <w:rPr>
          <w:b/>
          <w:i/>
          <w:color w:val="800000"/>
          <w:lang w:val="en-US"/>
        </w:rPr>
        <w:t>impossibility in law</w:t>
      </w:r>
      <w:r w:rsidR="00EF2F22">
        <w:rPr>
          <w:lang w:val="en-US"/>
        </w:rPr>
        <w:t xml:space="preserve">. Usually this happens when a person uses words that </w:t>
      </w:r>
      <w:r w:rsidR="00EF2F22" w:rsidRPr="004903F8">
        <w:rPr>
          <w:color w:val="800000"/>
          <w:lang w:val="en-US"/>
        </w:rPr>
        <w:t>leave</w:t>
      </w:r>
      <w:r w:rsidR="00EF2F22">
        <w:rPr>
          <w:lang w:val="en-US"/>
        </w:rPr>
        <w:t xml:space="preserve"> </w:t>
      </w:r>
      <w:r w:rsidR="00EF2F22" w:rsidRPr="00817F03">
        <w:rPr>
          <w:color w:val="800000"/>
          <w:lang w:val="en-US"/>
        </w:rPr>
        <w:t>a fee simple to a beneficiary, but also impose conditions on it</w:t>
      </w:r>
      <w:r w:rsidR="00EF2F22">
        <w:rPr>
          <w:lang w:val="en-US"/>
        </w:rPr>
        <w:t xml:space="preserve">. Fee simples are </w:t>
      </w:r>
      <w:r w:rsidR="00A52CE7">
        <w:rPr>
          <w:lang w:val="en-US"/>
        </w:rPr>
        <w:t xml:space="preserve">unconditional freeholds, conditions therefore are repugnant to the idea of a fee simple. </w:t>
      </w:r>
    </w:p>
    <w:p w:rsidR="00A52CE7" w:rsidRDefault="00A52CE7" w:rsidP="00EF2F22">
      <w:pPr>
        <w:pStyle w:val="ListBullet"/>
        <w:numPr>
          <w:ilvl w:val="0"/>
          <w:numId w:val="0"/>
        </w:numPr>
        <w:rPr>
          <w:lang w:val="en-US"/>
        </w:rPr>
      </w:pPr>
    </w:p>
    <w:p w:rsidR="00A52CE7" w:rsidRDefault="00A52CE7" w:rsidP="00EF2F22">
      <w:pPr>
        <w:pStyle w:val="ListBullet"/>
        <w:numPr>
          <w:ilvl w:val="0"/>
          <w:numId w:val="0"/>
        </w:numPr>
        <w:rPr>
          <w:lang w:val="en-US"/>
        </w:rPr>
      </w:pPr>
      <w:r>
        <w:rPr>
          <w:lang w:val="en-US"/>
        </w:rPr>
        <w:t>Courts have typically used two approaches of construction [</w:t>
      </w:r>
      <w:r>
        <w:rPr>
          <w:i/>
          <w:lang w:val="en-US"/>
        </w:rPr>
        <w:t>Re Walker</w:t>
      </w:r>
      <w:r>
        <w:rPr>
          <w:lang w:val="en-US"/>
        </w:rPr>
        <w:t>]:</w:t>
      </w:r>
    </w:p>
    <w:p w:rsidR="00A52CE7" w:rsidRDefault="00A52CE7" w:rsidP="00EF2F22">
      <w:pPr>
        <w:pStyle w:val="ListBullet"/>
        <w:numPr>
          <w:ilvl w:val="0"/>
          <w:numId w:val="0"/>
        </w:numPr>
        <w:rPr>
          <w:lang w:val="en-US"/>
        </w:rPr>
      </w:pPr>
    </w:p>
    <w:p w:rsidR="00A52CE7" w:rsidRDefault="00A52CE7" w:rsidP="00A52CE7">
      <w:pPr>
        <w:pStyle w:val="ListBullet"/>
        <w:numPr>
          <w:ilvl w:val="0"/>
          <w:numId w:val="36"/>
        </w:numPr>
        <w:rPr>
          <w:lang w:val="en-US"/>
        </w:rPr>
      </w:pPr>
      <w:r>
        <w:rPr>
          <w:lang w:val="en-US"/>
        </w:rPr>
        <w:t>The gift to the beneficiary prevails (gift of fee simple) and the gift over fails as repugnant</w:t>
      </w:r>
    </w:p>
    <w:p w:rsidR="00A52CE7" w:rsidRDefault="00A52CE7" w:rsidP="00A52CE7">
      <w:pPr>
        <w:pStyle w:val="ListBullet"/>
        <w:numPr>
          <w:ilvl w:val="0"/>
          <w:numId w:val="36"/>
        </w:numPr>
        <w:rPr>
          <w:lang w:val="en-US"/>
        </w:rPr>
      </w:pPr>
      <w:r>
        <w:rPr>
          <w:lang w:val="en-US"/>
        </w:rPr>
        <w:t>The first named takes life-estate only, so the gift over prevails</w:t>
      </w:r>
    </w:p>
    <w:p w:rsidR="00A52CE7" w:rsidRPr="00A52CE7" w:rsidRDefault="00A52CE7" w:rsidP="00A52CE7">
      <w:pPr>
        <w:pStyle w:val="ListBullet"/>
        <w:numPr>
          <w:ilvl w:val="0"/>
          <w:numId w:val="36"/>
        </w:numPr>
        <w:rPr>
          <w:lang w:val="en-US"/>
        </w:rPr>
      </w:pPr>
      <w:r>
        <w:rPr>
          <w:lang w:val="en-US"/>
        </w:rPr>
        <w:t>Sometimes, all that is given to a first taker is a life-estate, but the life-tenant is given a power of sale</w:t>
      </w:r>
      <w:r w:rsidR="00817F03">
        <w:rPr>
          <w:lang w:val="en-US"/>
        </w:rPr>
        <w:t>,</w:t>
      </w:r>
      <w:r>
        <w:rPr>
          <w:lang w:val="en-US"/>
        </w:rPr>
        <w:t xml:space="preserve"> which may be exercised at any time during the currency of his estate. [not really repugnancy as there is no conflict]</w:t>
      </w:r>
    </w:p>
    <w:p w:rsidR="00C9334D" w:rsidRPr="00EF2F22" w:rsidRDefault="00C9334D" w:rsidP="00EF2F22">
      <w:pPr>
        <w:pStyle w:val="ListBullet"/>
        <w:numPr>
          <w:ilvl w:val="0"/>
          <w:numId w:val="0"/>
        </w:numPr>
        <w:rPr>
          <w:lang w:val="en-US"/>
        </w:rPr>
      </w:pPr>
    </w:p>
    <w:p w:rsidR="00C9334D" w:rsidRDefault="00C9334D" w:rsidP="00C9334D">
      <w:pPr>
        <w:pStyle w:val="ListBullet"/>
        <w:numPr>
          <w:ilvl w:val="0"/>
          <w:numId w:val="0"/>
        </w:numPr>
        <w:pBdr>
          <w:bottom w:val="single" w:sz="12" w:space="1" w:color="auto"/>
        </w:pBdr>
        <w:ind w:left="360" w:hanging="360"/>
        <w:rPr>
          <w:lang w:val="en-US"/>
        </w:rPr>
      </w:pPr>
    </w:p>
    <w:p w:rsidR="00C9334D" w:rsidRPr="00817F03" w:rsidRDefault="00C9334D" w:rsidP="00817F03">
      <w:pPr>
        <w:pStyle w:val="Heading3"/>
        <w:rPr>
          <w:b w:val="0"/>
          <w:lang w:val="en-US"/>
        </w:rPr>
      </w:pPr>
      <w:bookmarkStart w:id="69" w:name="_Toc259911057"/>
      <w:r w:rsidRPr="00C9334D">
        <w:rPr>
          <w:highlight w:val="yellow"/>
          <w:lang w:val="en-US"/>
        </w:rPr>
        <w:t>RE WALKER</w:t>
      </w:r>
      <w:r w:rsidR="00817F03">
        <w:rPr>
          <w:lang w:val="en-US"/>
        </w:rPr>
        <w:t xml:space="preserve">: </w:t>
      </w:r>
      <w:r w:rsidR="00817F03" w:rsidRPr="00817F03">
        <w:rPr>
          <w:b w:val="0"/>
          <w:lang w:val="en-US"/>
        </w:rPr>
        <w:t>each will should be constructed on its own terms, and should not be compared to previously decided wills, if the language of the will conflicts then the will must be constructed by the court, equity will complete a gift.</w:t>
      </w:r>
      <w:bookmarkEnd w:id="69"/>
    </w:p>
    <w:p w:rsidR="00C9334D" w:rsidRDefault="00C9334D" w:rsidP="00D45A94">
      <w:pPr>
        <w:pStyle w:val="ListBullet"/>
        <w:numPr>
          <w:ilvl w:val="0"/>
          <w:numId w:val="0"/>
        </w:numPr>
        <w:rPr>
          <w:lang w:val="en-US"/>
        </w:rPr>
      </w:pPr>
    </w:p>
    <w:p w:rsidR="00C9334D" w:rsidRDefault="00C9334D" w:rsidP="00D45A94">
      <w:pPr>
        <w:pStyle w:val="ListBullet"/>
        <w:numPr>
          <w:ilvl w:val="0"/>
          <w:numId w:val="0"/>
        </w:numPr>
        <w:rPr>
          <w:lang w:val="en-US"/>
        </w:rPr>
      </w:pPr>
      <w:r>
        <w:rPr>
          <w:lang w:val="en-US"/>
        </w:rPr>
        <w:t>FACTS:</w:t>
      </w:r>
    </w:p>
    <w:p w:rsidR="00C9334D" w:rsidRDefault="00C9334D" w:rsidP="00D45A94">
      <w:pPr>
        <w:pStyle w:val="ListBullet"/>
        <w:numPr>
          <w:ilvl w:val="0"/>
          <w:numId w:val="0"/>
        </w:numPr>
        <w:rPr>
          <w:lang w:val="en-US"/>
        </w:rPr>
      </w:pPr>
    </w:p>
    <w:p w:rsidR="00C9334D" w:rsidRDefault="00C9334D" w:rsidP="00D45A94">
      <w:pPr>
        <w:pStyle w:val="ListBullet"/>
        <w:numPr>
          <w:ilvl w:val="0"/>
          <w:numId w:val="0"/>
        </w:numPr>
        <w:rPr>
          <w:lang w:val="en-US"/>
        </w:rPr>
      </w:pPr>
      <w:r>
        <w:rPr>
          <w:lang w:val="en-US"/>
        </w:rPr>
        <w:t>John Walker left his wife “all my real and personal property” with exceptions of his watch and jewellery</w:t>
      </w:r>
      <w:r w:rsidR="00702CEE">
        <w:rPr>
          <w:lang w:val="en-US"/>
        </w:rPr>
        <w:t>,</w:t>
      </w:r>
      <w:r>
        <w:rPr>
          <w:lang w:val="en-US"/>
        </w:rPr>
        <w:t xml:space="preserve"> which he gave to his nephews but which is not relevant.</w:t>
      </w:r>
    </w:p>
    <w:p w:rsidR="00C9334D" w:rsidRDefault="00C9334D" w:rsidP="00D45A94">
      <w:pPr>
        <w:pStyle w:val="ListBullet"/>
        <w:numPr>
          <w:ilvl w:val="0"/>
          <w:numId w:val="0"/>
        </w:numPr>
        <w:rPr>
          <w:lang w:val="en-US"/>
        </w:rPr>
      </w:pPr>
    </w:p>
    <w:p w:rsidR="00C9334D" w:rsidRDefault="00C9334D" w:rsidP="00D45A94">
      <w:pPr>
        <w:pStyle w:val="ListBullet"/>
        <w:numPr>
          <w:ilvl w:val="0"/>
          <w:numId w:val="0"/>
        </w:numPr>
        <w:rPr>
          <w:lang w:val="en-US"/>
        </w:rPr>
      </w:pPr>
      <w:r>
        <w:rPr>
          <w:lang w:val="en-US"/>
        </w:rPr>
        <w:t>His will included a clause that said “should any portion of my estate still remain in the hands of my said wife at the time of her decease undisposed of by her such remainder shall be divided as follows . . .”</w:t>
      </w:r>
    </w:p>
    <w:p w:rsidR="00CC7529" w:rsidRDefault="00CC7529" w:rsidP="00D45A94">
      <w:pPr>
        <w:pStyle w:val="ListBullet"/>
        <w:numPr>
          <w:ilvl w:val="0"/>
          <w:numId w:val="0"/>
        </w:numPr>
        <w:rPr>
          <w:lang w:val="en-US"/>
        </w:rPr>
      </w:pPr>
    </w:p>
    <w:p w:rsidR="00CC7529" w:rsidRDefault="00CC7529" w:rsidP="00D45A94">
      <w:pPr>
        <w:pStyle w:val="ListBullet"/>
        <w:numPr>
          <w:ilvl w:val="0"/>
          <w:numId w:val="0"/>
        </w:numPr>
        <w:rPr>
          <w:lang w:val="en-US"/>
        </w:rPr>
      </w:pPr>
      <w:r>
        <w:rPr>
          <w:lang w:val="en-US"/>
        </w:rPr>
        <w:t>The widow survived until 1922. Her estate had been valued at $38 000.</w:t>
      </w:r>
    </w:p>
    <w:p w:rsidR="00CC7529" w:rsidRDefault="00CC7529" w:rsidP="00D45A94">
      <w:pPr>
        <w:pStyle w:val="ListBullet"/>
        <w:numPr>
          <w:ilvl w:val="0"/>
          <w:numId w:val="0"/>
        </w:numPr>
        <w:rPr>
          <w:lang w:val="en-US"/>
        </w:rPr>
      </w:pPr>
    </w:p>
    <w:p w:rsidR="00CC7529" w:rsidRDefault="00CC7529" w:rsidP="00D45A94">
      <w:pPr>
        <w:pStyle w:val="ListBullet"/>
        <w:numPr>
          <w:ilvl w:val="0"/>
          <w:numId w:val="0"/>
        </w:numPr>
        <w:rPr>
          <w:lang w:val="en-US"/>
        </w:rPr>
      </w:pPr>
      <w:r>
        <w:rPr>
          <w:lang w:val="en-US"/>
        </w:rPr>
        <w:t xml:space="preserve">Those claiming under the husband’s will seek to have some portion of the wife’s estate declared “undisposed of”, while those claiming under the wife’s will argue that John Walker’s will gave his estate </w:t>
      </w:r>
      <w:r>
        <w:rPr>
          <w:i/>
          <w:lang w:val="en-US"/>
        </w:rPr>
        <w:t>absolutely</w:t>
      </w:r>
      <w:r>
        <w:rPr>
          <w:lang w:val="en-US"/>
        </w:rPr>
        <w:t xml:space="preserve"> to his widow.</w:t>
      </w:r>
    </w:p>
    <w:p w:rsidR="00CC7529" w:rsidRDefault="00CC7529" w:rsidP="00D45A94">
      <w:pPr>
        <w:pStyle w:val="ListBullet"/>
        <w:numPr>
          <w:ilvl w:val="0"/>
          <w:numId w:val="0"/>
        </w:numPr>
        <w:rPr>
          <w:lang w:val="en-US"/>
        </w:rPr>
      </w:pPr>
    </w:p>
    <w:p w:rsidR="00CC7529" w:rsidRDefault="00CC7529" w:rsidP="00D45A94">
      <w:pPr>
        <w:pStyle w:val="ListBullet"/>
        <w:numPr>
          <w:ilvl w:val="0"/>
          <w:numId w:val="0"/>
        </w:numPr>
        <w:rPr>
          <w:lang w:val="en-US"/>
        </w:rPr>
      </w:pPr>
      <w:r>
        <w:rPr>
          <w:lang w:val="en-US"/>
        </w:rPr>
        <w:t xml:space="preserve">Trial judge decided for those claiming under husband’s will, it was appealed. </w:t>
      </w:r>
    </w:p>
    <w:p w:rsidR="00CC7529" w:rsidRDefault="00CC7529" w:rsidP="00D45A94">
      <w:pPr>
        <w:pStyle w:val="ListBullet"/>
        <w:numPr>
          <w:ilvl w:val="0"/>
          <w:numId w:val="0"/>
        </w:numPr>
        <w:rPr>
          <w:lang w:val="en-US"/>
        </w:rPr>
      </w:pPr>
    </w:p>
    <w:p w:rsidR="00A52CE7" w:rsidRDefault="00A52CE7" w:rsidP="00D45A94">
      <w:pPr>
        <w:pStyle w:val="ListBullet"/>
        <w:numPr>
          <w:ilvl w:val="0"/>
          <w:numId w:val="0"/>
        </w:numPr>
        <w:rPr>
          <w:lang w:val="en-US"/>
        </w:rPr>
      </w:pPr>
      <w:r>
        <w:rPr>
          <w:lang w:val="en-US"/>
        </w:rPr>
        <w:t>HELD:</w:t>
      </w:r>
    </w:p>
    <w:p w:rsidR="00A52CE7" w:rsidRDefault="00A52CE7" w:rsidP="00D45A94">
      <w:pPr>
        <w:pStyle w:val="ListBullet"/>
        <w:numPr>
          <w:ilvl w:val="0"/>
          <w:numId w:val="0"/>
        </w:numPr>
        <w:rPr>
          <w:lang w:val="en-US"/>
        </w:rPr>
      </w:pPr>
    </w:p>
    <w:p w:rsidR="00A52CE7" w:rsidRDefault="00A52CE7" w:rsidP="00D45A94">
      <w:pPr>
        <w:pStyle w:val="ListBullet"/>
        <w:numPr>
          <w:ilvl w:val="0"/>
          <w:numId w:val="0"/>
        </w:numPr>
        <w:rPr>
          <w:lang w:val="en-US"/>
        </w:rPr>
      </w:pPr>
      <w:r>
        <w:rPr>
          <w:lang w:val="en-US"/>
        </w:rPr>
        <w:t>Appeal allowed. The words “undisposed of” in John’s will means during widow’s lifetime and not testamentary disposition. There is an attempt to deal with what is undisposed in a manner that is repugnant of the gift to her. Her gift must prevail and the attempted gift over must be repugnant and void.</w:t>
      </w:r>
    </w:p>
    <w:p w:rsidR="00A52CE7" w:rsidRDefault="00A52CE7" w:rsidP="00D45A94">
      <w:pPr>
        <w:pStyle w:val="ListBullet"/>
        <w:numPr>
          <w:ilvl w:val="0"/>
          <w:numId w:val="0"/>
        </w:numPr>
        <w:rPr>
          <w:lang w:val="en-US"/>
        </w:rPr>
      </w:pPr>
    </w:p>
    <w:p w:rsidR="00A52CE7" w:rsidRDefault="00A52CE7" w:rsidP="00D45A94">
      <w:pPr>
        <w:pStyle w:val="ListBullet"/>
        <w:numPr>
          <w:ilvl w:val="0"/>
          <w:numId w:val="0"/>
        </w:numPr>
        <w:rPr>
          <w:lang w:val="en-US"/>
        </w:rPr>
      </w:pPr>
      <w:r>
        <w:rPr>
          <w:lang w:val="en-US"/>
        </w:rPr>
        <w:t>RATIO:</w:t>
      </w:r>
    </w:p>
    <w:p w:rsidR="00A52CE7" w:rsidRDefault="00A52CE7" w:rsidP="00D45A94">
      <w:pPr>
        <w:pStyle w:val="ListBullet"/>
        <w:numPr>
          <w:ilvl w:val="0"/>
          <w:numId w:val="0"/>
        </w:numPr>
        <w:rPr>
          <w:lang w:val="en-US"/>
        </w:rPr>
      </w:pPr>
    </w:p>
    <w:p w:rsidR="00A52CE7" w:rsidRDefault="00A52CE7" w:rsidP="00D45A94">
      <w:pPr>
        <w:pStyle w:val="ListBullet"/>
        <w:numPr>
          <w:ilvl w:val="0"/>
          <w:numId w:val="0"/>
        </w:numPr>
        <w:rPr>
          <w:lang w:val="en-US"/>
        </w:rPr>
      </w:pPr>
      <w:r>
        <w:rPr>
          <w:lang w:val="en-US"/>
        </w:rPr>
        <w:t>Each will should be constructed on its own terms, and should not be compared to previously decided wills.</w:t>
      </w:r>
    </w:p>
    <w:p w:rsidR="00A52CE7" w:rsidRDefault="00A52CE7" w:rsidP="00D45A94">
      <w:pPr>
        <w:pStyle w:val="ListBullet"/>
        <w:numPr>
          <w:ilvl w:val="0"/>
          <w:numId w:val="0"/>
        </w:numPr>
        <w:rPr>
          <w:lang w:val="en-US"/>
        </w:rPr>
      </w:pPr>
    </w:p>
    <w:p w:rsidR="00A52CE7" w:rsidRDefault="00A52CE7" w:rsidP="00D45A94">
      <w:pPr>
        <w:pStyle w:val="ListBullet"/>
        <w:numPr>
          <w:ilvl w:val="0"/>
          <w:numId w:val="0"/>
        </w:numPr>
        <w:rPr>
          <w:lang w:val="en-US"/>
        </w:rPr>
      </w:pPr>
      <w:r>
        <w:rPr>
          <w:lang w:val="en-US"/>
        </w:rPr>
        <w:t xml:space="preserve">If the language of the will conflicts, then the will must be constructed by the court. </w:t>
      </w:r>
    </w:p>
    <w:p w:rsidR="00A52CE7" w:rsidRDefault="00A52CE7" w:rsidP="00D45A94">
      <w:pPr>
        <w:pStyle w:val="ListBullet"/>
        <w:numPr>
          <w:ilvl w:val="0"/>
          <w:numId w:val="0"/>
        </w:numPr>
        <w:rPr>
          <w:lang w:val="en-US"/>
        </w:rPr>
      </w:pPr>
    </w:p>
    <w:p w:rsidR="00A52CE7" w:rsidRDefault="00A52CE7" w:rsidP="00D45A94">
      <w:pPr>
        <w:pStyle w:val="ListBullet"/>
        <w:numPr>
          <w:ilvl w:val="0"/>
          <w:numId w:val="0"/>
        </w:numPr>
        <w:rPr>
          <w:lang w:val="en-US"/>
        </w:rPr>
      </w:pPr>
      <w:r>
        <w:rPr>
          <w:lang w:val="en-US"/>
        </w:rPr>
        <w:t>Equity will complete a gift.</w:t>
      </w:r>
      <w:r w:rsidR="00453084">
        <w:rPr>
          <w:lang w:val="en-US"/>
        </w:rPr>
        <w:t xml:space="preserve"> </w:t>
      </w:r>
      <w:r w:rsidR="00453084">
        <w:t>Nephews got their legal costs paid out of the estate.  The costs of all the parties comes out of the estate in litigation over these matters.  This is one of the incentives about estate litigation which is why people pursue it</w:t>
      </w:r>
    </w:p>
    <w:p w:rsidR="00A52CE7" w:rsidRDefault="00A52CE7" w:rsidP="00D45A94">
      <w:pPr>
        <w:pStyle w:val="ListBullet"/>
        <w:numPr>
          <w:ilvl w:val="0"/>
          <w:numId w:val="0"/>
        </w:numPr>
        <w:pBdr>
          <w:bottom w:val="single" w:sz="12" w:space="1" w:color="auto"/>
        </w:pBdr>
        <w:rPr>
          <w:lang w:val="en-US"/>
        </w:rPr>
      </w:pPr>
    </w:p>
    <w:p w:rsidR="00A52CE7" w:rsidRPr="00A52CE7" w:rsidRDefault="00A52CE7" w:rsidP="00D45A94">
      <w:pPr>
        <w:pStyle w:val="ListBullet"/>
        <w:numPr>
          <w:ilvl w:val="0"/>
          <w:numId w:val="0"/>
        </w:numPr>
        <w:rPr>
          <w:sz w:val="22"/>
          <w:lang w:val="en-US"/>
        </w:rPr>
      </w:pPr>
    </w:p>
    <w:p w:rsidR="00A52CE7" w:rsidRDefault="00A52CE7" w:rsidP="00715FEA">
      <w:pPr>
        <w:pStyle w:val="Heading3"/>
        <w:rPr>
          <w:lang w:val="en-US"/>
        </w:rPr>
      </w:pPr>
      <w:bookmarkStart w:id="70" w:name="_Toc259911058"/>
      <w:r w:rsidRPr="00945516">
        <w:rPr>
          <w:highlight w:val="yellow"/>
          <w:lang w:val="en-US"/>
        </w:rPr>
        <w:t>RE SHAMAS</w:t>
      </w:r>
      <w:r w:rsidRPr="00A52CE7">
        <w:rPr>
          <w:lang w:val="en-US"/>
        </w:rPr>
        <w:t xml:space="preserve"> </w:t>
      </w:r>
      <w:r w:rsidR="00715FEA">
        <w:rPr>
          <w:lang w:val="en-US"/>
        </w:rPr>
        <w:t xml:space="preserve">– </w:t>
      </w:r>
      <w:r w:rsidR="00715FEA" w:rsidRPr="00715FEA">
        <w:rPr>
          <w:b w:val="0"/>
          <w:lang w:val="en-US"/>
        </w:rPr>
        <w:t>rules of construction should give way to an attempt to construe each will according to the circumstances of that particular will, will should be looked at as a whole and in context the meaning of which should be determined by construction of the willmaker’s intention.</w:t>
      </w:r>
      <w:bookmarkEnd w:id="70"/>
    </w:p>
    <w:p w:rsidR="00A52CE7" w:rsidRDefault="00A52CE7" w:rsidP="00D45A94">
      <w:pPr>
        <w:pStyle w:val="ListBullet"/>
        <w:numPr>
          <w:ilvl w:val="0"/>
          <w:numId w:val="0"/>
        </w:numPr>
        <w:rPr>
          <w:b/>
          <w:sz w:val="22"/>
          <w:u w:val="single"/>
          <w:lang w:val="en-US"/>
        </w:rPr>
      </w:pPr>
    </w:p>
    <w:p w:rsidR="00945516" w:rsidRDefault="00A52CE7" w:rsidP="00D45A94">
      <w:pPr>
        <w:pStyle w:val="ListBullet"/>
        <w:numPr>
          <w:ilvl w:val="0"/>
          <w:numId w:val="0"/>
        </w:numPr>
        <w:rPr>
          <w:lang w:val="en-US"/>
        </w:rPr>
      </w:pPr>
      <w:r>
        <w:rPr>
          <w:lang w:val="en-US"/>
        </w:rPr>
        <w:t>FACTS</w:t>
      </w:r>
    </w:p>
    <w:p w:rsidR="00945516" w:rsidRDefault="00945516" w:rsidP="00D45A94">
      <w:pPr>
        <w:pStyle w:val="ListBullet"/>
        <w:numPr>
          <w:ilvl w:val="0"/>
          <w:numId w:val="0"/>
        </w:numPr>
        <w:rPr>
          <w:lang w:val="en-US"/>
        </w:rPr>
      </w:pPr>
    </w:p>
    <w:p w:rsidR="00945516" w:rsidRDefault="00945516" w:rsidP="00D45A94">
      <w:pPr>
        <w:pStyle w:val="ListBullet"/>
        <w:numPr>
          <w:ilvl w:val="0"/>
          <w:numId w:val="0"/>
        </w:numPr>
        <w:rPr>
          <w:lang w:val="en-US"/>
        </w:rPr>
      </w:pPr>
      <w:r>
        <w:rPr>
          <w:lang w:val="en-US"/>
        </w:rPr>
        <w:t>Will was whack, and not created under any legal advice. Can be found on p- 9013.</w:t>
      </w:r>
    </w:p>
    <w:p w:rsidR="00945516" w:rsidRDefault="00945516" w:rsidP="00D45A94">
      <w:pPr>
        <w:pStyle w:val="ListBullet"/>
        <w:numPr>
          <w:ilvl w:val="0"/>
          <w:numId w:val="0"/>
        </w:numPr>
        <w:rPr>
          <w:lang w:val="en-US"/>
        </w:rPr>
      </w:pPr>
    </w:p>
    <w:p w:rsidR="00945516" w:rsidRDefault="00945516" w:rsidP="00D45A94">
      <w:pPr>
        <w:pStyle w:val="ListBullet"/>
        <w:numPr>
          <w:ilvl w:val="0"/>
          <w:numId w:val="0"/>
        </w:numPr>
        <w:rPr>
          <w:lang w:val="en-US"/>
        </w:rPr>
      </w:pPr>
      <w:r>
        <w:rPr>
          <w:lang w:val="en-US"/>
        </w:rPr>
        <w:t>HELD:</w:t>
      </w:r>
    </w:p>
    <w:p w:rsidR="00945516" w:rsidRDefault="00945516" w:rsidP="00D45A94">
      <w:pPr>
        <w:pStyle w:val="ListBullet"/>
        <w:numPr>
          <w:ilvl w:val="0"/>
          <w:numId w:val="0"/>
        </w:numPr>
        <w:rPr>
          <w:lang w:val="en-US"/>
        </w:rPr>
      </w:pPr>
    </w:p>
    <w:p w:rsidR="00A52CE7" w:rsidRDefault="00945516" w:rsidP="00D45A94">
      <w:pPr>
        <w:pStyle w:val="ListBullet"/>
        <w:numPr>
          <w:ilvl w:val="0"/>
          <w:numId w:val="0"/>
        </w:numPr>
        <w:rPr>
          <w:lang w:val="en-US"/>
        </w:rPr>
      </w:pPr>
      <w:r>
        <w:rPr>
          <w:lang w:val="en-US"/>
        </w:rPr>
        <w:t>The will created a life estate in the widow with the remainder passing to her kids in equal shares, subject to remarriage in which case she will take equal shares with her kids and the right to encroach upon the capital of the estate until the youngest child turns 21.</w:t>
      </w:r>
    </w:p>
    <w:p w:rsidR="00A52CE7" w:rsidRDefault="00A52CE7" w:rsidP="00D45A94">
      <w:pPr>
        <w:pStyle w:val="ListBullet"/>
        <w:numPr>
          <w:ilvl w:val="0"/>
          <w:numId w:val="0"/>
        </w:numPr>
        <w:rPr>
          <w:lang w:val="en-US"/>
        </w:rPr>
      </w:pPr>
    </w:p>
    <w:p w:rsidR="00453084" w:rsidRDefault="00453084" w:rsidP="00453084">
      <w:pPr>
        <w:pStyle w:val="ListBullet"/>
        <w:numPr>
          <w:ilvl w:val="0"/>
          <w:numId w:val="0"/>
        </w:numPr>
        <w:rPr>
          <w:lang w:val="en-US"/>
        </w:rPr>
      </w:pPr>
      <w:r>
        <w:rPr>
          <w:lang w:val="en-US"/>
        </w:rPr>
        <w:t>RATIO</w:t>
      </w:r>
    </w:p>
    <w:p w:rsidR="00453084" w:rsidRDefault="00453084" w:rsidP="00453084">
      <w:pPr>
        <w:pStyle w:val="ListBullet"/>
        <w:numPr>
          <w:ilvl w:val="0"/>
          <w:numId w:val="0"/>
        </w:numPr>
        <w:rPr>
          <w:lang w:val="en-US"/>
        </w:rPr>
      </w:pPr>
    </w:p>
    <w:p w:rsidR="00453084" w:rsidRPr="00453084" w:rsidRDefault="00453084" w:rsidP="00453084">
      <w:pPr>
        <w:pStyle w:val="ListBullet"/>
        <w:numPr>
          <w:ilvl w:val="0"/>
          <w:numId w:val="0"/>
        </w:numPr>
        <w:rPr>
          <w:lang w:val="en-US"/>
        </w:rPr>
      </w:pPr>
      <w:r w:rsidRPr="00453084">
        <w:rPr>
          <w:lang w:val="en-CA"/>
        </w:rPr>
        <w:t xml:space="preserve">Case stands for idea that rules of construction should give way to an attempt to construe each will according to the circumstances of that particular will. </w:t>
      </w:r>
    </w:p>
    <w:p w:rsidR="00945516" w:rsidRDefault="00945516" w:rsidP="00D45A94">
      <w:pPr>
        <w:pStyle w:val="ListBullet"/>
        <w:numPr>
          <w:ilvl w:val="0"/>
          <w:numId w:val="0"/>
        </w:numPr>
        <w:rPr>
          <w:lang w:val="en-US"/>
        </w:rPr>
      </w:pPr>
    </w:p>
    <w:p w:rsidR="00945516" w:rsidRDefault="00945516" w:rsidP="00D45A94">
      <w:pPr>
        <w:pStyle w:val="ListBullet"/>
        <w:numPr>
          <w:ilvl w:val="0"/>
          <w:numId w:val="0"/>
        </w:numPr>
        <w:rPr>
          <w:lang w:val="en-US"/>
        </w:rPr>
      </w:pPr>
      <w:r>
        <w:rPr>
          <w:lang w:val="en-US"/>
        </w:rPr>
        <w:t>The will should be looked at as a whole, each provision must be read in light of every other provision taken in connexion with any evidence properly admissible, and the meaning of the will and of every part of it is determined according to that constructed intention.</w:t>
      </w:r>
    </w:p>
    <w:p w:rsidR="00945516" w:rsidRDefault="00945516" w:rsidP="00D45A94">
      <w:pPr>
        <w:pStyle w:val="ListBullet"/>
        <w:numPr>
          <w:ilvl w:val="0"/>
          <w:numId w:val="0"/>
        </w:numPr>
        <w:pBdr>
          <w:bottom w:val="single" w:sz="12" w:space="1" w:color="auto"/>
        </w:pBdr>
        <w:rPr>
          <w:lang w:val="en-US"/>
        </w:rPr>
      </w:pPr>
    </w:p>
    <w:p w:rsidR="00945516" w:rsidRDefault="00945516" w:rsidP="00D45A94">
      <w:pPr>
        <w:pStyle w:val="ListBullet"/>
        <w:numPr>
          <w:ilvl w:val="0"/>
          <w:numId w:val="0"/>
        </w:numPr>
        <w:pBdr>
          <w:bottom w:val="single" w:sz="12" w:space="1" w:color="auto"/>
        </w:pBdr>
        <w:rPr>
          <w:lang w:val="en-US"/>
        </w:rPr>
      </w:pPr>
      <w:r w:rsidRPr="00945516">
        <w:rPr>
          <w:lang w:val="en-US"/>
        </w:rPr>
        <w:t>Basic idea is that to go to testator’s armchair and look at will in light of testator’s circumstances and not get caught up in rules of construction, shouldn’t use those rules to defeat the testator’s intention.  In this case, dead husband left his wife a life estate, but that would not be enough for her to support their young children, so court interpreted intention of supporting family to mean life estate with right of encroachment.</w:t>
      </w:r>
    </w:p>
    <w:p w:rsidR="00945516" w:rsidRDefault="00945516" w:rsidP="00D45A94">
      <w:pPr>
        <w:pStyle w:val="ListBullet"/>
        <w:numPr>
          <w:ilvl w:val="0"/>
          <w:numId w:val="0"/>
        </w:numPr>
        <w:rPr>
          <w:lang w:val="en-US"/>
        </w:rPr>
      </w:pPr>
    </w:p>
    <w:p w:rsidR="008A04DD" w:rsidRPr="00CA7F36" w:rsidRDefault="008A04DD" w:rsidP="00CA7F36">
      <w:pPr>
        <w:pStyle w:val="Heading3"/>
        <w:rPr>
          <w:b w:val="0"/>
          <w:lang w:val="en-US"/>
        </w:rPr>
      </w:pPr>
      <w:bookmarkStart w:id="71" w:name="_Toc259911059"/>
      <w:r w:rsidRPr="008A04DD">
        <w:rPr>
          <w:highlight w:val="yellow"/>
          <w:lang w:val="en-US"/>
        </w:rPr>
        <w:t>CIELEIN v TRESSIDER</w:t>
      </w:r>
      <w:r w:rsidR="00CA7F36">
        <w:rPr>
          <w:lang w:val="en-US"/>
        </w:rPr>
        <w:t xml:space="preserve">: </w:t>
      </w:r>
      <w:r w:rsidR="00CA7F36" w:rsidRPr="00CA7F36">
        <w:rPr>
          <w:b w:val="0"/>
          <w:lang w:val="en-US"/>
        </w:rPr>
        <w:t>testators use words that carry meaning to legal profession, but not to testator, so you have to look at these expressions from the testator’s armchair.</w:t>
      </w:r>
      <w:bookmarkEnd w:id="71"/>
    </w:p>
    <w:p w:rsidR="008A04DD" w:rsidRDefault="008A04DD" w:rsidP="00D45A94">
      <w:pPr>
        <w:pStyle w:val="ListBullet"/>
        <w:numPr>
          <w:ilvl w:val="0"/>
          <w:numId w:val="0"/>
        </w:numPr>
        <w:rPr>
          <w:lang w:val="en-US"/>
        </w:rPr>
      </w:pPr>
    </w:p>
    <w:p w:rsidR="008A04DD" w:rsidRDefault="008A04DD" w:rsidP="00D45A94">
      <w:pPr>
        <w:pStyle w:val="ListBullet"/>
        <w:numPr>
          <w:ilvl w:val="0"/>
          <w:numId w:val="0"/>
        </w:numPr>
        <w:rPr>
          <w:lang w:val="en-US"/>
        </w:rPr>
      </w:pPr>
      <w:r>
        <w:rPr>
          <w:lang w:val="en-US"/>
        </w:rPr>
        <w:t>FACTS:</w:t>
      </w:r>
    </w:p>
    <w:p w:rsidR="008A04DD" w:rsidRDefault="008A04DD" w:rsidP="00D45A94">
      <w:pPr>
        <w:pStyle w:val="ListBullet"/>
        <w:numPr>
          <w:ilvl w:val="0"/>
          <w:numId w:val="0"/>
        </w:numPr>
        <w:rPr>
          <w:lang w:val="en-US"/>
        </w:rPr>
      </w:pPr>
    </w:p>
    <w:p w:rsidR="008A04DD" w:rsidRDefault="008A04DD" w:rsidP="00D45A94">
      <w:pPr>
        <w:pStyle w:val="ListBullet"/>
        <w:numPr>
          <w:ilvl w:val="0"/>
          <w:numId w:val="0"/>
        </w:numPr>
        <w:rPr>
          <w:lang w:val="en-US"/>
        </w:rPr>
      </w:pPr>
      <w:r>
        <w:rPr>
          <w:lang w:val="en-US"/>
        </w:rPr>
        <w:t>Mr. Van Essen died in 1985, he and Mrs. Rich had lived together since 1973. The appellant, Mrs. Rich’s son lived with them. Van Essen had 5 children from a former marriage.</w:t>
      </w:r>
    </w:p>
    <w:p w:rsidR="008A04DD" w:rsidRDefault="008A04DD" w:rsidP="00D45A94">
      <w:pPr>
        <w:pStyle w:val="ListBullet"/>
        <w:numPr>
          <w:ilvl w:val="0"/>
          <w:numId w:val="0"/>
        </w:numPr>
        <w:rPr>
          <w:lang w:val="en-US"/>
        </w:rPr>
      </w:pPr>
    </w:p>
    <w:p w:rsidR="008A04DD" w:rsidRDefault="008A04DD" w:rsidP="00D45A94">
      <w:pPr>
        <w:pStyle w:val="ListBullet"/>
        <w:numPr>
          <w:ilvl w:val="0"/>
          <w:numId w:val="0"/>
        </w:numPr>
        <w:rPr>
          <w:lang w:val="en-US"/>
        </w:rPr>
      </w:pPr>
      <w:r>
        <w:rPr>
          <w:lang w:val="en-US"/>
        </w:rPr>
        <w:t>He left a will, using a stationer’s form on which some standard clauses were already printed. In his own hand wiring Van Essen inserted provisions that Mrs. Rich was to have the realty and all other assets. There then followed as part of the printed form a line reading “all the rest and residue of my estate I devise and bequeath to …..” which he added Mrs. Rich to.</w:t>
      </w:r>
    </w:p>
    <w:p w:rsidR="008A04DD" w:rsidRDefault="008A04DD" w:rsidP="00D45A94">
      <w:pPr>
        <w:pStyle w:val="ListBullet"/>
        <w:numPr>
          <w:ilvl w:val="0"/>
          <w:numId w:val="0"/>
        </w:numPr>
        <w:rPr>
          <w:lang w:val="en-US"/>
        </w:rPr>
      </w:pPr>
    </w:p>
    <w:p w:rsidR="008A04DD" w:rsidRDefault="008A04DD" w:rsidP="00D45A94">
      <w:pPr>
        <w:pStyle w:val="ListBullet"/>
        <w:numPr>
          <w:ilvl w:val="0"/>
          <w:numId w:val="0"/>
        </w:numPr>
        <w:rPr>
          <w:lang w:val="en-US"/>
        </w:rPr>
      </w:pPr>
      <w:r>
        <w:rPr>
          <w:lang w:val="en-US"/>
        </w:rPr>
        <w:t>He then left five lines also in the testator’s handwriting: “however, upon the sale or disposal of the real estate as described above the proceeds shall be divided equally between her son …. And my children ….”</w:t>
      </w:r>
    </w:p>
    <w:p w:rsidR="008A04DD" w:rsidRDefault="008A04DD" w:rsidP="00D45A94">
      <w:pPr>
        <w:pStyle w:val="ListBullet"/>
        <w:numPr>
          <w:ilvl w:val="0"/>
          <w:numId w:val="0"/>
        </w:numPr>
        <w:rPr>
          <w:lang w:val="en-US"/>
        </w:rPr>
      </w:pPr>
    </w:p>
    <w:p w:rsidR="008A04DD" w:rsidRDefault="008A04DD" w:rsidP="00D45A94">
      <w:pPr>
        <w:pStyle w:val="ListBullet"/>
        <w:numPr>
          <w:ilvl w:val="0"/>
          <w:numId w:val="0"/>
        </w:numPr>
        <w:rPr>
          <w:lang w:val="en-US"/>
        </w:rPr>
      </w:pPr>
      <w:r>
        <w:rPr>
          <w:lang w:val="en-US"/>
        </w:rPr>
        <w:t>Chambers judge decided Mrs. Rich got life estate in the realty and on her death the property was to be sold and the proceeds “divided equally between among the five children of the testator and Mrs. Rich. Mrs. Rich appealed.</w:t>
      </w:r>
    </w:p>
    <w:p w:rsidR="008A04DD" w:rsidRDefault="008A04DD" w:rsidP="00D45A94">
      <w:pPr>
        <w:pStyle w:val="ListBullet"/>
        <w:numPr>
          <w:ilvl w:val="0"/>
          <w:numId w:val="0"/>
        </w:numPr>
        <w:rPr>
          <w:lang w:val="en-US"/>
        </w:rPr>
      </w:pPr>
    </w:p>
    <w:p w:rsidR="008A04DD" w:rsidRDefault="008A04DD" w:rsidP="00D45A94">
      <w:pPr>
        <w:pStyle w:val="ListBullet"/>
        <w:numPr>
          <w:ilvl w:val="0"/>
          <w:numId w:val="0"/>
        </w:numPr>
        <w:rPr>
          <w:lang w:val="en-US"/>
        </w:rPr>
      </w:pPr>
      <w:r>
        <w:rPr>
          <w:lang w:val="en-US"/>
        </w:rPr>
        <w:t>HELD:</w:t>
      </w:r>
    </w:p>
    <w:p w:rsidR="008A04DD" w:rsidRDefault="008A04DD" w:rsidP="00D45A94">
      <w:pPr>
        <w:pStyle w:val="ListBullet"/>
        <w:numPr>
          <w:ilvl w:val="0"/>
          <w:numId w:val="0"/>
        </w:numPr>
        <w:rPr>
          <w:lang w:val="en-US"/>
        </w:rPr>
      </w:pPr>
    </w:p>
    <w:p w:rsidR="008A04DD" w:rsidRDefault="008A04DD" w:rsidP="00D45A94">
      <w:pPr>
        <w:pStyle w:val="ListBullet"/>
        <w:numPr>
          <w:ilvl w:val="0"/>
          <w:numId w:val="0"/>
        </w:numPr>
        <w:rPr>
          <w:lang w:val="en-US"/>
        </w:rPr>
      </w:pPr>
      <w:r>
        <w:rPr>
          <w:lang w:val="en-US"/>
        </w:rPr>
        <w:t>Appeal allowed. The clause drawn by the testator in which the children are mentioned constitutes a restrain</w:t>
      </w:r>
      <w:r w:rsidR="00CA7F36">
        <w:rPr>
          <w:lang w:val="en-US"/>
        </w:rPr>
        <w:t>in</w:t>
      </w:r>
      <w:r>
        <w:rPr>
          <w:lang w:val="en-US"/>
        </w:rPr>
        <w:t>g on the otherwise absolute gift of the property to Mrs. Rich which is a repugnancy that cannot be supported by law.</w:t>
      </w:r>
    </w:p>
    <w:p w:rsidR="008A04DD" w:rsidRDefault="008A04DD" w:rsidP="00D45A94">
      <w:pPr>
        <w:pStyle w:val="ListBullet"/>
        <w:numPr>
          <w:ilvl w:val="0"/>
          <w:numId w:val="0"/>
        </w:numPr>
        <w:rPr>
          <w:lang w:val="en-US"/>
        </w:rPr>
      </w:pPr>
    </w:p>
    <w:p w:rsidR="008A04DD" w:rsidRDefault="008A04DD" w:rsidP="00D45A94">
      <w:pPr>
        <w:pStyle w:val="ListBullet"/>
        <w:numPr>
          <w:ilvl w:val="0"/>
          <w:numId w:val="0"/>
        </w:numPr>
        <w:rPr>
          <w:lang w:val="en-US"/>
        </w:rPr>
      </w:pPr>
      <w:r>
        <w:rPr>
          <w:lang w:val="en-US"/>
        </w:rPr>
        <w:t>RATIO:</w:t>
      </w:r>
    </w:p>
    <w:p w:rsidR="008A04DD" w:rsidRDefault="008A04DD" w:rsidP="00D45A94">
      <w:pPr>
        <w:pStyle w:val="ListBullet"/>
        <w:numPr>
          <w:ilvl w:val="0"/>
          <w:numId w:val="0"/>
        </w:numPr>
        <w:rPr>
          <w:lang w:val="en-US"/>
        </w:rPr>
      </w:pPr>
    </w:p>
    <w:p w:rsidR="008A04DD" w:rsidRDefault="00CA7F36" w:rsidP="00D45A94">
      <w:pPr>
        <w:pStyle w:val="ListBullet"/>
        <w:numPr>
          <w:ilvl w:val="0"/>
          <w:numId w:val="0"/>
        </w:numPr>
        <w:rPr>
          <w:lang w:val="en-US"/>
        </w:rPr>
      </w:pPr>
      <w:r>
        <w:rPr>
          <w:lang w:val="en-US"/>
        </w:rPr>
        <w:t>Testator</w:t>
      </w:r>
      <w:r w:rsidR="008A04DD" w:rsidRPr="008A04DD">
        <w:rPr>
          <w:lang w:val="en-US"/>
        </w:rPr>
        <w:t>s use words that may carry meaning to legal profession, but not to testator making the will, so you have to look at these expressions from the testator’s armchair</w:t>
      </w:r>
    </w:p>
    <w:p w:rsidR="008A04DD" w:rsidRDefault="008A04DD" w:rsidP="00D45A94">
      <w:pPr>
        <w:pStyle w:val="ListBullet"/>
        <w:numPr>
          <w:ilvl w:val="0"/>
          <w:numId w:val="0"/>
        </w:numPr>
        <w:pBdr>
          <w:bottom w:val="single" w:sz="12" w:space="1" w:color="auto"/>
        </w:pBdr>
        <w:rPr>
          <w:lang w:val="en-US"/>
        </w:rPr>
      </w:pPr>
    </w:p>
    <w:p w:rsidR="008A04DD" w:rsidRDefault="008A04DD" w:rsidP="00D45A94">
      <w:pPr>
        <w:pStyle w:val="ListBullet"/>
        <w:numPr>
          <w:ilvl w:val="0"/>
          <w:numId w:val="0"/>
        </w:numPr>
        <w:rPr>
          <w:lang w:val="en-US"/>
        </w:rPr>
      </w:pPr>
    </w:p>
    <w:p w:rsidR="008E6E00" w:rsidRPr="00053BC1" w:rsidRDefault="008E6E00" w:rsidP="00161431">
      <w:pPr>
        <w:pStyle w:val="Heading2"/>
        <w:rPr>
          <w:lang w:val="en-US"/>
        </w:rPr>
      </w:pPr>
      <w:bookmarkStart w:id="72" w:name="_Toc259911060"/>
      <w:r w:rsidRPr="00053BC1">
        <w:rPr>
          <w:lang w:val="en-US"/>
        </w:rPr>
        <w:t>WORDS FORMERLY CREATING A FEE TAIL</w:t>
      </w:r>
      <w:bookmarkEnd w:id="72"/>
    </w:p>
    <w:p w:rsidR="008E6E00" w:rsidRDefault="008E6E00" w:rsidP="00D45A94">
      <w:pPr>
        <w:pStyle w:val="ListBullet"/>
        <w:numPr>
          <w:ilvl w:val="0"/>
          <w:numId w:val="0"/>
        </w:numPr>
        <w:rPr>
          <w:lang w:val="en-US"/>
        </w:rPr>
      </w:pPr>
    </w:p>
    <w:p w:rsidR="008E6E00" w:rsidRPr="00053BC1" w:rsidRDefault="008E6E00" w:rsidP="008E6E00">
      <w:pPr>
        <w:pStyle w:val="ListBullet"/>
        <w:numPr>
          <w:ilvl w:val="0"/>
          <w:numId w:val="42"/>
        </w:numPr>
        <w:rPr>
          <w:b/>
          <w:lang w:val="en-US"/>
        </w:rPr>
      </w:pPr>
      <w:r w:rsidRPr="00053BC1">
        <w:rPr>
          <w:b/>
          <w:lang w:val="en-US"/>
        </w:rPr>
        <w:t>Technical words of limitation</w:t>
      </w:r>
    </w:p>
    <w:p w:rsidR="008E6E00" w:rsidRDefault="008E6E00" w:rsidP="008E6E00">
      <w:pPr>
        <w:pStyle w:val="ListBullet"/>
        <w:numPr>
          <w:ilvl w:val="0"/>
          <w:numId w:val="0"/>
        </w:numPr>
        <w:ind w:left="360" w:hanging="360"/>
        <w:rPr>
          <w:lang w:val="en-US"/>
        </w:rPr>
      </w:pPr>
    </w:p>
    <w:p w:rsidR="008E6E00" w:rsidRDefault="008E6E00" w:rsidP="008E6E00">
      <w:pPr>
        <w:pStyle w:val="ListBullet"/>
        <w:numPr>
          <w:ilvl w:val="0"/>
          <w:numId w:val="0"/>
        </w:numPr>
        <w:ind w:left="360" w:hanging="360"/>
        <w:rPr>
          <w:lang w:val="en-US"/>
        </w:rPr>
      </w:pPr>
      <w:r>
        <w:rPr>
          <w:lang w:val="en-US"/>
        </w:rPr>
        <w:t>Common law required technical words of limitation when creating a fee tail: “to B and his heirs of his/her body” for inter</w:t>
      </w:r>
    </w:p>
    <w:p w:rsidR="008127B9" w:rsidRDefault="008E6E00" w:rsidP="008E6E00">
      <w:pPr>
        <w:pStyle w:val="ListBullet"/>
        <w:numPr>
          <w:ilvl w:val="0"/>
          <w:numId w:val="0"/>
        </w:numPr>
        <w:ind w:left="360" w:hanging="360"/>
        <w:rPr>
          <w:lang w:val="en-US"/>
        </w:rPr>
      </w:pPr>
      <w:r>
        <w:rPr>
          <w:lang w:val="en-US"/>
        </w:rPr>
        <w:t>vivos transfers.</w:t>
      </w:r>
      <w:r w:rsidR="008127B9">
        <w:rPr>
          <w:lang w:val="en-US"/>
        </w:rPr>
        <w:t xml:space="preserve"> Fee tails were abolished by </w:t>
      </w:r>
      <w:r w:rsidR="008127B9" w:rsidRPr="008127B9">
        <w:rPr>
          <w:color w:val="1F497D" w:themeColor="text2"/>
          <w:lang w:val="en-US"/>
        </w:rPr>
        <w:t>Property Law Act section 10</w:t>
      </w:r>
      <w:r w:rsidR="008127B9">
        <w:rPr>
          <w:lang w:val="en-US"/>
        </w:rPr>
        <w:t>. It is presumed that the testator passes the highest</w:t>
      </w:r>
    </w:p>
    <w:p w:rsidR="008E6E00" w:rsidRDefault="008127B9" w:rsidP="008E6E00">
      <w:pPr>
        <w:pStyle w:val="ListBullet"/>
        <w:numPr>
          <w:ilvl w:val="0"/>
          <w:numId w:val="0"/>
        </w:numPr>
        <w:ind w:left="360" w:hanging="360"/>
        <w:rPr>
          <w:lang w:val="en-US"/>
        </w:rPr>
      </w:pPr>
      <w:r>
        <w:rPr>
          <w:lang w:val="en-US"/>
        </w:rPr>
        <w:t>estate he can (</w:t>
      </w:r>
      <w:r w:rsidRPr="008127B9">
        <w:rPr>
          <w:color w:val="1F497D" w:themeColor="text2"/>
          <w:lang w:val="en-US"/>
        </w:rPr>
        <w:t>PLA S 19 (2</w:t>
      </w:r>
      <w:r>
        <w:rPr>
          <w:lang w:val="en-US"/>
        </w:rPr>
        <w:t>)).</w:t>
      </w:r>
    </w:p>
    <w:p w:rsidR="008E6E00" w:rsidRDefault="008E6E00" w:rsidP="008E6E00">
      <w:pPr>
        <w:pStyle w:val="ListBullet"/>
        <w:numPr>
          <w:ilvl w:val="0"/>
          <w:numId w:val="0"/>
        </w:numPr>
        <w:ind w:left="360" w:hanging="360"/>
        <w:rPr>
          <w:lang w:val="en-US"/>
        </w:rPr>
      </w:pPr>
    </w:p>
    <w:p w:rsidR="008E6E00" w:rsidRPr="00053BC1" w:rsidRDefault="008E6E00" w:rsidP="008E6E00">
      <w:pPr>
        <w:pStyle w:val="ListBullet"/>
        <w:numPr>
          <w:ilvl w:val="0"/>
          <w:numId w:val="42"/>
        </w:numPr>
        <w:rPr>
          <w:b/>
          <w:lang w:val="en-US"/>
        </w:rPr>
      </w:pPr>
      <w:r w:rsidRPr="00053BC1">
        <w:rPr>
          <w:b/>
          <w:lang w:val="en-US"/>
        </w:rPr>
        <w:t>Informal words of limitation</w:t>
      </w:r>
    </w:p>
    <w:p w:rsidR="008E6E00" w:rsidRDefault="008E6E00" w:rsidP="008E6E00">
      <w:pPr>
        <w:pStyle w:val="ListBullet"/>
        <w:numPr>
          <w:ilvl w:val="0"/>
          <w:numId w:val="0"/>
        </w:numPr>
        <w:ind w:left="360" w:hanging="360"/>
        <w:rPr>
          <w:lang w:val="en-US"/>
        </w:rPr>
      </w:pPr>
    </w:p>
    <w:p w:rsidR="008E6E00" w:rsidRDefault="008E6E00" w:rsidP="008E6E00">
      <w:pPr>
        <w:pStyle w:val="ListBullet"/>
        <w:numPr>
          <w:ilvl w:val="0"/>
          <w:numId w:val="0"/>
        </w:numPr>
        <w:ind w:left="360" w:hanging="360"/>
        <w:rPr>
          <w:lang w:val="en-US"/>
        </w:rPr>
      </w:pPr>
      <w:r>
        <w:rPr>
          <w:lang w:val="en-US"/>
        </w:rPr>
        <w:t>Wills and equitable interests would see the courts giving effect to technical words of limitation if they were used, but did</w:t>
      </w:r>
    </w:p>
    <w:p w:rsidR="008E6E00" w:rsidRDefault="008E6E00" w:rsidP="008E6E00">
      <w:pPr>
        <w:pStyle w:val="ListBullet"/>
        <w:numPr>
          <w:ilvl w:val="0"/>
          <w:numId w:val="0"/>
        </w:numPr>
        <w:ind w:left="360" w:hanging="360"/>
        <w:rPr>
          <w:lang w:val="en-US"/>
        </w:rPr>
      </w:pPr>
      <w:r>
        <w:rPr>
          <w:lang w:val="en-US"/>
        </w:rPr>
        <w:t>not insist on these words. They would look to testator’s intention. Words such as “to A and her issue”, “to A and his</w:t>
      </w:r>
    </w:p>
    <w:p w:rsidR="008E6E00" w:rsidRDefault="008E6E00" w:rsidP="008E6E00">
      <w:pPr>
        <w:pStyle w:val="ListBullet"/>
        <w:numPr>
          <w:ilvl w:val="0"/>
          <w:numId w:val="0"/>
        </w:numPr>
        <w:ind w:left="360" w:hanging="360"/>
        <w:rPr>
          <w:lang w:val="en-US"/>
        </w:rPr>
      </w:pPr>
      <w:r>
        <w:rPr>
          <w:lang w:val="en-US"/>
        </w:rPr>
        <w:t>seed” and “to A and her offspring” were used.</w:t>
      </w:r>
    </w:p>
    <w:p w:rsidR="008E6E00" w:rsidRDefault="008E6E00" w:rsidP="008E6E00">
      <w:pPr>
        <w:pStyle w:val="ListBullet"/>
        <w:numPr>
          <w:ilvl w:val="0"/>
          <w:numId w:val="0"/>
        </w:numPr>
        <w:ind w:left="360" w:hanging="360"/>
        <w:rPr>
          <w:lang w:val="en-US"/>
        </w:rPr>
      </w:pPr>
    </w:p>
    <w:p w:rsidR="008E6E00" w:rsidRPr="00161431" w:rsidRDefault="00161431" w:rsidP="00161431">
      <w:pPr>
        <w:pStyle w:val="Heading2"/>
        <w:rPr>
          <w:b w:val="0"/>
          <w:color w:val="800000"/>
          <w:lang w:val="en-US"/>
        </w:rPr>
      </w:pPr>
      <w:bookmarkStart w:id="73" w:name="_Toc259911061"/>
      <w:r>
        <w:rPr>
          <w:lang w:val="en-US"/>
        </w:rPr>
        <w:t xml:space="preserve">3.         </w:t>
      </w:r>
      <w:r w:rsidR="00053BC1">
        <w:rPr>
          <w:lang w:val="en-US"/>
        </w:rPr>
        <w:t>The R</w:t>
      </w:r>
      <w:r w:rsidR="008E6E00" w:rsidRPr="00053BC1">
        <w:rPr>
          <w:lang w:val="en-US"/>
        </w:rPr>
        <w:t xml:space="preserve">ule in </w:t>
      </w:r>
      <w:r w:rsidR="008E6E00" w:rsidRPr="00053BC1">
        <w:rPr>
          <w:i/>
          <w:color w:val="1F497D" w:themeColor="text2"/>
          <w:lang w:val="en-US"/>
        </w:rPr>
        <w:t>Wild’s Case</w:t>
      </w:r>
      <w:r>
        <w:rPr>
          <w:color w:val="1F497D" w:themeColor="text2"/>
          <w:lang w:val="en-US"/>
        </w:rPr>
        <w:t xml:space="preserve"> </w:t>
      </w:r>
      <w:r w:rsidRPr="00161431">
        <w:rPr>
          <w:b w:val="0"/>
          <w:color w:val="800000"/>
          <w:lang w:val="en-US"/>
        </w:rPr>
        <w:t>[when will says “to B and his children”]</w:t>
      </w:r>
      <w:bookmarkEnd w:id="73"/>
    </w:p>
    <w:p w:rsidR="008127B9" w:rsidRDefault="008127B9" w:rsidP="008E6E00">
      <w:pPr>
        <w:pStyle w:val="ListBullet"/>
        <w:numPr>
          <w:ilvl w:val="0"/>
          <w:numId w:val="0"/>
        </w:numPr>
        <w:ind w:left="360" w:hanging="360"/>
        <w:rPr>
          <w:lang w:val="en-US"/>
        </w:rPr>
      </w:pPr>
    </w:p>
    <w:p w:rsidR="008127B9" w:rsidRDefault="008127B9" w:rsidP="008E6E00">
      <w:pPr>
        <w:pStyle w:val="ListBullet"/>
        <w:numPr>
          <w:ilvl w:val="0"/>
          <w:numId w:val="0"/>
        </w:numPr>
        <w:ind w:left="360" w:hanging="360"/>
        <w:rPr>
          <w:lang w:val="en-US"/>
        </w:rPr>
      </w:pPr>
      <w:r>
        <w:rPr>
          <w:lang w:val="en-US"/>
        </w:rPr>
        <w:t>Rule of construction: When will says “to B and his children” you must look at the time of the execution of the will”</w:t>
      </w:r>
    </w:p>
    <w:p w:rsidR="008127B9" w:rsidRDefault="008127B9" w:rsidP="008E6E00">
      <w:pPr>
        <w:pStyle w:val="ListBullet"/>
        <w:numPr>
          <w:ilvl w:val="0"/>
          <w:numId w:val="0"/>
        </w:numPr>
        <w:ind w:left="360" w:hanging="360"/>
        <w:rPr>
          <w:lang w:val="en-US"/>
        </w:rPr>
      </w:pPr>
    </w:p>
    <w:p w:rsidR="008127B9" w:rsidRDefault="008127B9" w:rsidP="00053BC1">
      <w:pPr>
        <w:pStyle w:val="ListBullet"/>
        <w:numPr>
          <w:ilvl w:val="0"/>
          <w:numId w:val="43"/>
        </w:numPr>
        <w:rPr>
          <w:lang w:val="en-US"/>
        </w:rPr>
      </w:pPr>
      <w:r>
        <w:rPr>
          <w:lang w:val="en-US"/>
        </w:rPr>
        <w:t xml:space="preserve">if the beneficiary </w:t>
      </w:r>
      <w:r w:rsidRPr="008127B9">
        <w:rPr>
          <w:b/>
          <w:color w:val="800000"/>
          <w:lang w:val="en-US"/>
        </w:rPr>
        <w:t>had kids at the time of the will</w:t>
      </w:r>
      <w:r>
        <w:rPr>
          <w:lang w:val="en-US"/>
        </w:rPr>
        <w:t xml:space="preserve"> then the “and his children” </w:t>
      </w:r>
      <w:r w:rsidRPr="008127B9">
        <w:rPr>
          <w:b/>
          <w:color w:val="800000"/>
          <w:lang w:val="en-US"/>
        </w:rPr>
        <w:t>were words of purchase</w:t>
      </w:r>
      <w:r>
        <w:rPr>
          <w:lang w:val="en-US"/>
        </w:rPr>
        <w:t xml:space="preserve">, creating a current interest in both the beneficiary and his kids (co-tenancy). The question would then be whether it was a tenancy in common or a joint tenancy. The common law would presume joint tenancy, but </w:t>
      </w:r>
      <w:r w:rsidRPr="008127B9">
        <w:rPr>
          <w:color w:val="1F497D" w:themeColor="text2"/>
          <w:lang w:val="en-US"/>
        </w:rPr>
        <w:t>Property Law Act section 11</w:t>
      </w:r>
      <w:r>
        <w:rPr>
          <w:lang w:val="en-US"/>
        </w:rPr>
        <w:t xml:space="preserve"> replaced it with </w:t>
      </w:r>
      <w:r w:rsidRPr="008127B9">
        <w:rPr>
          <w:b/>
          <w:color w:val="800000"/>
          <w:lang w:val="en-US"/>
        </w:rPr>
        <w:t>presumption of tenancy in common</w:t>
      </w:r>
      <w:r>
        <w:rPr>
          <w:lang w:val="en-US"/>
        </w:rPr>
        <w:t>.</w:t>
      </w:r>
    </w:p>
    <w:p w:rsidR="008E6E00" w:rsidRDefault="008127B9" w:rsidP="00053BC1">
      <w:pPr>
        <w:pStyle w:val="ListBullet"/>
        <w:numPr>
          <w:ilvl w:val="0"/>
          <w:numId w:val="43"/>
        </w:numPr>
        <w:rPr>
          <w:lang w:val="en-US"/>
        </w:rPr>
      </w:pPr>
      <w:r>
        <w:rPr>
          <w:lang w:val="en-US"/>
        </w:rPr>
        <w:t xml:space="preserve">If the beneficiary </w:t>
      </w:r>
      <w:r w:rsidRPr="008127B9">
        <w:rPr>
          <w:b/>
          <w:color w:val="800000"/>
          <w:lang w:val="en-US"/>
        </w:rPr>
        <w:t>did not have kids at the time of the will</w:t>
      </w:r>
      <w:r>
        <w:rPr>
          <w:lang w:val="en-US"/>
        </w:rPr>
        <w:t xml:space="preserve"> then the “and his children” </w:t>
      </w:r>
      <w:r w:rsidRPr="008127B9">
        <w:rPr>
          <w:b/>
          <w:color w:val="800000"/>
          <w:lang w:val="en-US"/>
        </w:rPr>
        <w:t>were words of limitation</w:t>
      </w:r>
      <w:r>
        <w:rPr>
          <w:lang w:val="en-US"/>
        </w:rPr>
        <w:t>, creating a fee tail. But fee tails were abolished, so it is presumed to be the highest estate the testator can give (</w:t>
      </w:r>
      <w:r w:rsidRPr="008127B9">
        <w:rPr>
          <w:color w:val="1F497D" w:themeColor="text2"/>
          <w:lang w:val="en-US"/>
        </w:rPr>
        <w:t>PLA 19(2)).</w:t>
      </w:r>
    </w:p>
    <w:p w:rsidR="00AD370A" w:rsidRDefault="00AD370A" w:rsidP="00AD370A"/>
    <w:p w:rsidR="00AD370A" w:rsidRDefault="00AD370A" w:rsidP="00AD370A">
      <w:pPr>
        <w:rPr>
          <w:b/>
          <w:u w:val="single"/>
        </w:rPr>
      </w:pPr>
      <w:r w:rsidRPr="00AD370A">
        <w:rPr>
          <w:b/>
          <w:u w:val="single"/>
        </w:rPr>
        <w:t>Testamentary Spouses</w:t>
      </w:r>
    </w:p>
    <w:p w:rsidR="00AD370A" w:rsidRPr="00AD370A" w:rsidRDefault="00AD370A" w:rsidP="00AD370A">
      <w:pPr>
        <w:rPr>
          <w:b/>
          <w:u w:val="single"/>
        </w:rPr>
      </w:pPr>
    </w:p>
    <w:p w:rsidR="00AD370A" w:rsidRDefault="00353CA2" w:rsidP="00AD370A">
      <w:pPr>
        <w:pStyle w:val="ListParagraph"/>
        <w:numPr>
          <w:ilvl w:val="0"/>
          <w:numId w:val="44"/>
        </w:numPr>
        <w:spacing w:after="200" w:line="276" w:lineRule="auto"/>
      </w:pPr>
      <w:r>
        <w:rPr>
          <w:i/>
          <w:color w:val="1F497D" w:themeColor="text2"/>
        </w:rPr>
        <w:t>Es</w:t>
      </w:r>
      <w:r w:rsidR="00AD370A" w:rsidRPr="00AD370A">
        <w:rPr>
          <w:i/>
          <w:color w:val="1F497D" w:themeColor="text2"/>
        </w:rPr>
        <w:t>tate Administration Act:</w:t>
      </w:r>
      <w:r w:rsidR="00AD370A">
        <w:t xml:space="preserve"> if a spouse dies intestate, property passes to surviving spouse and children of the deceased. shared equally, (wife and two kids, each get 1/3).  </w:t>
      </w:r>
    </w:p>
    <w:p w:rsidR="00AD370A" w:rsidRDefault="00AD370A" w:rsidP="00AD370A">
      <w:pPr>
        <w:pStyle w:val="ListParagraph"/>
        <w:numPr>
          <w:ilvl w:val="0"/>
          <w:numId w:val="44"/>
        </w:numPr>
        <w:spacing w:after="200" w:line="276" w:lineRule="auto"/>
      </w:pPr>
      <w:r>
        <w:t xml:space="preserve">Spouse gets all the household furnishings, all the chattels and life estate in the spousal home </w:t>
      </w:r>
    </w:p>
    <w:p w:rsidR="00AD370A" w:rsidRPr="00353CA2" w:rsidRDefault="00AD370A" w:rsidP="00353CA2">
      <w:pPr>
        <w:pStyle w:val="ListParagraph"/>
        <w:numPr>
          <w:ilvl w:val="0"/>
          <w:numId w:val="44"/>
        </w:numPr>
        <w:spacing w:after="200" w:line="276" w:lineRule="auto"/>
      </w:pPr>
      <w:r>
        <w:t>Spouses don’t have to be lawfully married, just at least 2 years of cohabitation in a marriage-like relationship, including same gender.</w:t>
      </w:r>
    </w:p>
    <w:p w:rsidR="008127B9" w:rsidRDefault="00AD370A" w:rsidP="00053BC1">
      <w:pPr>
        <w:pStyle w:val="ListBullet"/>
        <w:numPr>
          <w:ilvl w:val="0"/>
          <w:numId w:val="0"/>
        </w:numPr>
        <w:pBdr>
          <w:bottom w:val="single" w:sz="12" w:space="1" w:color="auto"/>
        </w:pBdr>
        <w:rPr>
          <w:lang w:val="en-US"/>
        </w:rPr>
      </w:pPr>
      <w:r>
        <w:rPr>
          <w:lang w:val="en-US"/>
        </w:rPr>
        <w:t>_</w:t>
      </w:r>
    </w:p>
    <w:p w:rsidR="00053BC1" w:rsidRDefault="00053BC1" w:rsidP="008E6E00">
      <w:pPr>
        <w:pStyle w:val="ListBullet"/>
        <w:numPr>
          <w:ilvl w:val="0"/>
          <w:numId w:val="0"/>
        </w:numPr>
        <w:ind w:left="360" w:hanging="360"/>
        <w:rPr>
          <w:lang w:val="en-US"/>
        </w:rPr>
      </w:pPr>
    </w:p>
    <w:p w:rsidR="00C320A5" w:rsidRPr="0060242A" w:rsidRDefault="00C320A5" w:rsidP="00B152AB">
      <w:pPr>
        <w:pStyle w:val="Heading1"/>
        <w:rPr>
          <w:sz w:val="40"/>
          <w:lang w:val="en-US"/>
        </w:rPr>
      </w:pPr>
      <w:bookmarkStart w:id="74" w:name="_Toc259911062"/>
      <w:r w:rsidRPr="0060242A">
        <w:rPr>
          <w:highlight w:val="yellow"/>
          <w:lang w:val="en-US"/>
        </w:rPr>
        <w:t>CHAPTER X – THE LIFE ESTATE</w:t>
      </w:r>
      <w:bookmarkEnd w:id="74"/>
    </w:p>
    <w:p w:rsidR="00C320A5" w:rsidRDefault="00C320A5" w:rsidP="008E6E00">
      <w:pPr>
        <w:pStyle w:val="ListBullet"/>
        <w:numPr>
          <w:ilvl w:val="0"/>
          <w:numId w:val="0"/>
        </w:numPr>
        <w:ind w:left="360" w:hanging="360"/>
        <w:rPr>
          <w:lang w:val="en-US"/>
        </w:rPr>
      </w:pPr>
    </w:p>
    <w:p w:rsidR="00C320A5" w:rsidRDefault="00C320A5" w:rsidP="00943201">
      <w:pPr>
        <w:pStyle w:val="Heading2"/>
        <w:rPr>
          <w:lang w:val="en-US"/>
        </w:rPr>
      </w:pPr>
      <w:bookmarkStart w:id="75" w:name="_Toc259911063"/>
      <w:r>
        <w:rPr>
          <w:lang w:val="en-US"/>
        </w:rPr>
        <w:t>CREATION</w:t>
      </w:r>
      <w:bookmarkEnd w:id="75"/>
    </w:p>
    <w:p w:rsidR="00C320A5" w:rsidRDefault="00C320A5" w:rsidP="008E6E00">
      <w:pPr>
        <w:pStyle w:val="ListBullet"/>
        <w:numPr>
          <w:ilvl w:val="0"/>
          <w:numId w:val="0"/>
        </w:numPr>
        <w:ind w:left="360" w:hanging="360"/>
        <w:rPr>
          <w:lang w:val="en-US"/>
        </w:rPr>
      </w:pPr>
    </w:p>
    <w:p w:rsidR="00C320A5" w:rsidRPr="00B152AB" w:rsidRDefault="00C320A5" w:rsidP="00B152AB">
      <w:pPr>
        <w:pStyle w:val="Heading2"/>
      </w:pPr>
      <w:bookmarkStart w:id="76" w:name="_Toc259911064"/>
      <w:r w:rsidRPr="00B152AB">
        <w:t>1. By Act of the Parties</w:t>
      </w:r>
      <w:r w:rsidR="00B152AB">
        <w:t xml:space="preserve"> </w:t>
      </w:r>
      <w:r w:rsidR="00B152AB" w:rsidRPr="00B152AB">
        <w:rPr>
          <w:b w:val="0"/>
        </w:rPr>
        <w:t>[requires express words]</w:t>
      </w:r>
      <w:bookmarkEnd w:id="76"/>
    </w:p>
    <w:p w:rsidR="00F122C2" w:rsidRDefault="00F122C2" w:rsidP="008E6E00">
      <w:pPr>
        <w:pStyle w:val="ListBullet"/>
        <w:numPr>
          <w:ilvl w:val="0"/>
          <w:numId w:val="0"/>
        </w:numPr>
        <w:ind w:left="360" w:hanging="360"/>
        <w:rPr>
          <w:lang w:val="en-US"/>
        </w:rPr>
      </w:pPr>
    </w:p>
    <w:p w:rsidR="00F122C2" w:rsidRDefault="00F122C2" w:rsidP="008E6E00">
      <w:pPr>
        <w:pStyle w:val="ListBullet"/>
        <w:numPr>
          <w:ilvl w:val="0"/>
          <w:numId w:val="0"/>
        </w:numPr>
        <w:ind w:left="360" w:hanging="360"/>
        <w:rPr>
          <w:lang w:val="en-US"/>
        </w:rPr>
      </w:pPr>
      <w:r>
        <w:rPr>
          <w:lang w:val="en-US"/>
        </w:rPr>
        <w:t>A life estate may last for the life of the holder of the estate, or it may last for the life of some other person. In the latter</w:t>
      </w:r>
    </w:p>
    <w:p w:rsidR="00F122C2" w:rsidRDefault="00F122C2" w:rsidP="00F122C2">
      <w:pPr>
        <w:pStyle w:val="ListBullet"/>
        <w:numPr>
          <w:ilvl w:val="0"/>
          <w:numId w:val="0"/>
        </w:numPr>
        <w:rPr>
          <w:lang w:val="en-US"/>
        </w:rPr>
      </w:pPr>
      <w:r>
        <w:rPr>
          <w:lang w:val="en-US"/>
        </w:rPr>
        <w:t xml:space="preserve">case it is known as an estate </w:t>
      </w:r>
      <w:r w:rsidRPr="00B152AB">
        <w:rPr>
          <w:i/>
          <w:color w:val="800000"/>
          <w:lang w:val="en-US"/>
        </w:rPr>
        <w:t>pur autre vie</w:t>
      </w:r>
      <w:r>
        <w:rPr>
          <w:lang w:val="en-US"/>
        </w:rPr>
        <w:t>.</w:t>
      </w:r>
    </w:p>
    <w:p w:rsidR="00F122C2" w:rsidRDefault="00F122C2" w:rsidP="00F122C2">
      <w:pPr>
        <w:pStyle w:val="ListBullet"/>
        <w:numPr>
          <w:ilvl w:val="0"/>
          <w:numId w:val="0"/>
        </w:numPr>
        <w:rPr>
          <w:lang w:val="en-US"/>
        </w:rPr>
      </w:pPr>
    </w:p>
    <w:p w:rsidR="00F122C2" w:rsidRDefault="00F122C2" w:rsidP="00F122C2">
      <w:pPr>
        <w:pStyle w:val="ListBullet"/>
        <w:numPr>
          <w:ilvl w:val="0"/>
          <w:numId w:val="0"/>
        </w:numPr>
        <w:rPr>
          <w:lang w:val="en-US"/>
        </w:rPr>
      </w:pPr>
      <w:r>
        <w:rPr>
          <w:lang w:val="en-US"/>
        </w:rPr>
        <w:t>If a life estate is to be created, it should be done expressly. (“</w:t>
      </w:r>
      <w:r w:rsidRPr="00F122C2">
        <w:rPr>
          <w:color w:val="800000"/>
          <w:lang w:val="en-US"/>
        </w:rPr>
        <w:t>To A for Life</w:t>
      </w:r>
      <w:r>
        <w:rPr>
          <w:lang w:val="en-US"/>
        </w:rPr>
        <w:t xml:space="preserve">”, </w:t>
      </w:r>
      <w:r w:rsidRPr="00F122C2">
        <w:rPr>
          <w:color w:val="800000"/>
          <w:lang w:val="en-US"/>
        </w:rPr>
        <w:t>“to A for the life of B”</w:t>
      </w:r>
      <w:r>
        <w:rPr>
          <w:lang w:val="en-US"/>
        </w:rPr>
        <w:t>)</w:t>
      </w:r>
    </w:p>
    <w:p w:rsidR="00F122C2" w:rsidRDefault="00F122C2" w:rsidP="00F122C2">
      <w:pPr>
        <w:pStyle w:val="ListBullet"/>
        <w:numPr>
          <w:ilvl w:val="0"/>
          <w:numId w:val="0"/>
        </w:numPr>
        <w:rPr>
          <w:lang w:val="en-US"/>
        </w:rPr>
      </w:pPr>
    </w:p>
    <w:p w:rsidR="00F122C2" w:rsidRDefault="00F122C2" w:rsidP="00F122C2">
      <w:pPr>
        <w:pStyle w:val="ListBullet"/>
        <w:numPr>
          <w:ilvl w:val="0"/>
          <w:numId w:val="0"/>
        </w:numPr>
        <w:rPr>
          <w:lang w:val="en-US"/>
        </w:rPr>
      </w:pPr>
      <w:r>
        <w:rPr>
          <w:lang w:val="en-US"/>
        </w:rPr>
        <w:t xml:space="preserve">If not expressly stated, then </w:t>
      </w:r>
      <w:r w:rsidRPr="00F122C2">
        <w:rPr>
          <w:i/>
          <w:color w:val="1F497D" w:themeColor="text2"/>
          <w:lang w:val="en-US"/>
        </w:rPr>
        <w:t>S 19(2)</w:t>
      </w:r>
      <w:r w:rsidRPr="00F122C2">
        <w:rPr>
          <w:color w:val="1F497D" w:themeColor="text2"/>
          <w:lang w:val="en-US"/>
        </w:rPr>
        <w:t xml:space="preserve"> of Property Law Act</w:t>
      </w:r>
      <w:r>
        <w:rPr>
          <w:lang w:val="en-US"/>
        </w:rPr>
        <w:t xml:space="preserve"> assumes greatest estate possible is passed in </w:t>
      </w:r>
      <w:r>
        <w:rPr>
          <w:i/>
          <w:lang w:val="en-US"/>
        </w:rPr>
        <w:t>inter vivos</w:t>
      </w:r>
      <w:r>
        <w:rPr>
          <w:lang w:val="en-US"/>
        </w:rPr>
        <w:t xml:space="preserve"> transfer, and </w:t>
      </w:r>
      <w:r w:rsidRPr="00F122C2">
        <w:rPr>
          <w:i/>
          <w:color w:val="1F497D" w:themeColor="text2"/>
          <w:lang w:val="en-US"/>
        </w:rPr>
        <w:t>WESA</w:t>
      </w:r>
      <w:r w:rsidRPr="00F122C2">
        <w:rPr>
          <w:color w:val="1F497D" w:themeColor="text2"/>
          <w:lang w:val="en-US"/>
        </w:rPr>
        <w:t xml:space="preserve"> </w:t>
      </w:r>
      <w:r w:rsidRPr="00F122C2">
        <w:rPr>
          <w:i/>
          <w:color w:val="1F497D" w:themeColor="text2"/>
          <w:lang w:val="en-US"/>
        </w:rPr>
        <w:t>s 41 (3)(b)</w:t>
      </w:r>
      <w:r>
        <w:rPr>
          <w:lang w:val="en-US"/>
        </w:rPr>
        <w:t xml:space="preserve"> assumes the same for wills.</w:t>
      </w:r>
    </w:p>
    <w:p w:rsidR="00F122C2" w:rsidRDefault="00F122C2" w:rsidP="00F122C2">
      <w:pPr>
        <w:pStyle w:val="ListBullet"/>
        <w:numPr>
          <w:ilvl w:val="0"/>
          <w:numId w:val="0"/>
        </w:numPr>
        <w:rPr>
          <w:lang w:val="en-US"/>
        </w:rPr>
      </w:pPr>
    </w:p>
    <w:p w:rsidR="00353CA2" w:rsidRDefault="00353CA2" w:rsidP="00B152AB">
      <w:pPr>
        <w:pStyle w:val="Heading2"/>
        <w:rPr>
          <w:lang w:val="en-US"/>
        </w:rPr>
      </w:pPr>
      <w:bookmarkStart w:id="77" w:name="_Toc259911065"/>
      <w:r w:rsidRPr="00353CA2">
        <w:rPr>
          <w:lang w:val="en-US"/>
        </w:rPr>
        <w:t>2. By Statute</w:t>
      </w:r>
      <w:r w:rsidR="00B152AB">
        <w:rPr>
          <w:lang w:val="en-US"/>
        </w:rPr>
        <w:t xml:space="preserve"> </w:t>
      </w:r>
      <w:r w:rsidR="00B152AB" w:rsidRPr="00B152AB">
        <w:rPr>
          <w:b w:val="0"/>
          <w:lang w:val="en-US"/>
        </w:rPr>
        <w:t>[WESA changes to Spouse succession, Family Law Act, Land (Spouse) Protection Act]</w:t>
      </w:r>
      <w:bookmarkEnd w:id="77"/>
    </w:p>
    <w:p w:rsidR="00353CA2" w:rsidRDefault="00353CA2" w:rsidP="00F122C2">
      <w:pPr>
        <w:pStyle w:val="ListBullet"/>
        <w:numPr>
          <w:ilvl w:val="0"/>
          <w:numId w:val="0"/>
        </w:numPr>
        <w:rPr>
          <w:b/>
          <w:u w:val="single"/>
          <w:lang w:val="en-US"/>
        </w:rPr>
      </w:pPr>
    </w:p>
    <w:p w:rsidR="00353CA2" w:rsidRPr="00353CA2" w:rsidRDefault="00353CA2" w:rsidP="00F122C2">
      <w:pPr>
        <w:pStyle w:val="ListBullet"/>
        <w:numPr>
          <w:ilvl w:val="0"/>
          <w:numId w:val="0"/>
        </w:numPr>
        <w:rPr>
          <w:b/>
          <w:color w:val="1F497D" w:themeColor="text2"/>
          <w:u w:val="single"/>
          <w:lang w:val="en-US"/>
        </w:rPr>
      </w:pPr>
      <w:r w:rsidRPr="00353CA2">
        <w:rPr>
          <w:b/>
          <w:color w:val="1F497D" w:themeColor="text2"/>
          <w:u w:val="single"/>
          <w:lang w:val="en-US"/>
        </w:rPr>
        <w:t>Wills Estates and Succession Act</w:t>
      </w:r>
    </w:p>
    <w:p w:rsidR="00353CA2" w:rsidRDefault="00353CA2" w:rsidP="00F122C2">
      <w:pPr>
        <w:pStyle w:val="ListBullet"/>
        <w:numPr>
          <w:ilvl w:val="0"/>
          <w:numId w:val="0"/>
        </w:numPr>
        <w:rPr>
          <w:lang w:val="en-US"/>
        </w:rPr>
      </w:pPr>
    </w:p>
    <w:p w:rsidR="00353CA2" w:rsidRDefault="00353CA2" w:rsidP="00F122C2">
      <w:pPr>
        <w:pStyle w:val="ListBullet"/>
        <w:numPr>
          <w:ilvl w:val="0"/>
          <w:numId w:val="0"/>
        </w:numPr>
        <w:rPr>
          <w:lang w:val="en-US"/>
        </w:rPr>
      </w:pPr>
      <w:r w:rsidRPr="00353CA2">
        <w:rPr>
          <w:i/>
          <w:color w:val="1F497D" w:themeColor="text2"/>
          <w:lang w:val="en-US"/>
        </w:rPr>
        <w:t>WESA</w:t>
      </w:r>
      <w:r>
        <w:rPr>
          <w:lang w:val="en-US"/>
        </w:rPr>
        <w:t xml:space="preserve"> changed the surviving spouse beneficial life estate in the spousal home. </w:t>
      </w:r>
    </w:p>
    <w:p w:rsidR="00353CA2" w:rsidRDefault="00353CA2" w:rsidP="00F122C2">
      <w:pPr>
        <w:pStyle w:val="ListBullet"/>
        <w:numPr>
          <w:ilvl w:val="0"/>
          <w:numId w:val="0"/>
        </w:numPr>
        <w:rPr>
          <w:lang w:val="en-US"/>
        </w:rPr>
      </w:pPr>
    </w:p>
    <w:p w:rsidR="00CF7828" w:rsidRDefault="00353CA2" w:rsidP="00F122C2">
      <w:pPr>
        <w:pStyle w:val="ListBullet"/>
        <w:numPr>
          <w:ilvl w:val="0"/>
          <w:numId w:val="0"/>
        </w:numPr>
        <w:rPr>
          <w:lang w:val="en-US"/>
        </w:rPr>
      </w:pPr>
      <w:r>
        <w:rPr>
          <w:lang w:val="en-US"/>
        </w:rPr>
        <w:t xml:space="preserve">Instead, </w:t>
      </w:r>
      <w:r w:rsidRPr="00353CA2">
        <w:rPr>
          <w:i/>
          <w:color w:val="1F497D" w:themeColor="text2"/>
          <w:lang w:val="en-US"/>
        </w:rPr>
        <w:t>WESA</w:t>
      </w:r>
      <w:r>
        <w:rPr>
          <w:lang w:val="en-US"/>
        </w:rPr>
        <w:t xml:space="preserve"> provides an option whereby the surviving spouse may opt to purchase the spousal home from the deceased’s estate, with relieving provisions to assist the surviving spouse in financing the purchase.</w:t>
      </w:r>
    </w:p>
    <w:p w:rsidR="00CF7828" w:rsidRDefault="00CF7828" w:rsidP="00F122C2">
      <w:pPr>
        <w:pStyle w:val="ListBullet"/>
        <w:numPr>
          <w:ilvl w:val="0"/>
          <w:numId w:val="0"/>
        </w:numPr>
        <w:rPr>
          <w:lang w:val="en-US"/>
        </w:rPr>
      </w:pPr>
    </w:p>
    <w:p w:rsidR="00353CA2" w:rsidRPr="00353CA2" w:rsidRDefault="00CF7828" w:rsidP="00F122C2">
      <w:pPr>
        <w:pStyle w:val="ListBullet"/>
        <w:numPr>
          <w:ilvl w:val="0"/>
          <w:numId w:val="0"/>
        </w:numPr>
        <w:rPr>
          <w:lang w:val="en-US"/>
        </w:rPr>
      </w:pPr>
      <w:r>
        <w:rPr>
          <w:lang w:val="en-US"/>
        </w:rPr>
        <w:t>The spouse retains the “household furnishing” any chattel related with the house.</w:t>
      </w:r>
    </w:p>
    <w:p w:rsidR="00353CA2" w:rsidRDefault="00353CA2" w:rsidP="00F122C2">
      <w:pPr>
        <w:pStyle w:val="ListBullet"/>
        <w:numPr>
          <w:ilvl w:val="0"/>
          <w:numId w:val="0"/>
        </w:numPr>
        <w:rPr>
          <w:lang w:val="en-US"/>
        </w:rPr>
      </w:pPr>
    </w:p>
    <w:p w:rsidR="00353CA2" w:rsidRPr="00353CA2" w:rsidRDefault="00353CA2" w:rsidP="00F122C2">
      <w:pPr>
        <w:pStyle w:val="ListBullet"/>
        <w:numPr>
          <w:ilvl w:val="0"/>
          <w:numId w:val="0"/>
        </w:numPr>
        <w:rPr>
          <w:b/>
          <w:color w:val="1F497D" w:themeColor="text2"/>
          <w:u w:val="single"/>
          <w:lang w:val="en-US"/>
        </w:rPr>
      </w:pPr>
      <w:r w:rsidRPr="00353CA2">
        <w:rPr>
          <w:b/>
          <w:color w:val="1F497D" w:themeColor="text2"/>
          <w:u w:val="single"/>
          <w:lang w:val="en-US"/>
        </w:rPr>
        <w:t>Family Law Act</w:t>
      </w:r>
    </w:p>
    <w:p w:rsidR="00353CA2" w:rsidRPr="00353CA2" w:rsidRDefault="00353CA2" w:rsidP="00F122C2">
      <w:pPr>
        <w:pStyle w:val="ListBullet"/>
        <w:numPr>
          <w:ilvl w:val="0"/>
          <w:numId w:val="0"/>
        </w:numPr>
        <w:rPr>
          <w:lang w:val="en-US"/>
        </w:rPr>
      </w:pPr>
    </w:p>
    <w:p w:rsidR="00353CA2" w:rsidRDefault="00353CA2" w:rsidP="00F122C2">
      <w:pPr>
        <w:pStyle w:val="ListBullet"/>
        <w:numPr>
          <w:ilvl w:val="0"/>
          <w:numId w:val="0"/>
        </w:numPr>
        <w:rPr>
          <w:lang w:val="en-US"/>
        </w:rPr>
      </w:pPr>
      <w:r w:rsidRPr="00353CA2">
        <w:rPr>
          <w:lang w:val="en-US"/>
        </w:rPr>
        <w:t>On the breakdown of a spousal re</w:t>
      </w:r>
      <w:r>
        <w:rPr>
          <w:lang w:val="en-US"/>
        </w:rPr>
        <w:t>lationship, the spouses must decide if they will continue to live under the same roof temporarily, or if one will move out and the other will remain in the home. To obtain a court order resolving the issue of which spouse should move out of the family home, a spouse may apply to the Supreme Court of BC for an order of temporary, exclusive right of occupying the spousal home, which would compel the other spouse to leave.</w:t>
      </w:r>
    </w:p>
    <w:p w:rsidR="00353CA2" w:rsidRDefault="00353CA2" w:rsidP="00F122C2">
      <w:pPr>
        <w:pStyle w:val="ListBullet"/>
        <w:numPr>
          <w:ilvl w:val="0"/>
          <w:numId w:val="0"/>
        </w:numPr>
        <w:rPr>
          <w:lang w:val="en-US"/>
        </w:rPr>
      </w:pPr>
    </w:p>
    <w:p w:rsidR="00353CA2" w:rsidRDefault="00353CA2" w:rsidP="00F122C2">
      <w:pPr>
        <w:pStyle w:val="ListBullet"/>
        <w:numPr>
          <w:ilvl w:val="0"/>
          <w:numId w:val="0"/>
        </w:numPr>
        <w:rPr>
          <w:lang w:val="en-US"/>
        </w:rPr>
      </w:pPr>
      <w:r>
        <w:rPr>
          <w:lang w:val="en-US"/>
        </w:rPr>
        <w:t>The order does not create any interest in the home in favour of the applicant and is merely a temporary measure, pending division of family assets. The temporary order does not amount to granting of a life estate in the family home.</w:t>
      </w:r>
    </w:p>
    <w:p w:rsidR="00353CA2" w:rsidRPr="00353CA2" w:rsidRDefault="00353CA2" w:rsidP="00353CA2">
      <w:pPr>
        <w:spacing w:after="200" w:line="276" w:lineRule="auto"/>
        <w:ind w:left="360"/>
        <w:rPr>
          <w:b/>
          <w:color w:val="800000"/>
        </w:rPr>
      </w:pPr>
    </w:p>
    <w:p w:rsidR="00353CA2" w:rsidRPr="00353CA2" w:rsidRDefault="00353CA2" w:rsidP="00353CA2">
      <w:pPr>
        <w:spacing w:after="200" w:line="276" w:lineRule="auto"/>
        <w:rPr>
          <w:b/>
          <w:u w:val="single"/>
        </w:rPr>
      </w:pPr>
      <w:r w:rsidRPr="00353CA2">
        <w:rPr>
          <w:b/>
          <w:i/>
          <w:color w:val="1F497D" w:themeColor="text2"/>
          <w:u w:val="single"/>
        </w:rPr>
        <w:t>Land (Spouse) Protection Act</w:t>
      </w:r>
      <w:r w:rsidRPr="00353CA2">
        <w:rPr>
          <w:b/>
          <w:u w:val="single"/>
        </w:rPr>
        <w:t xml:space="preserve">: </w:t>
      </w:r>
    </w:p>
    <w:p w:rsidR="00353CA2" w:rsidRDefault="00353CA2" w:rsidP="00353CA2">
      <w:pPr>
        <w:spacing w:after="200" w:line="276" w:lineRule="auto"/>
        <w:rPr>
          <w:b/>
          <w:color w:val="800000"/>
        </w:rPr>
      </w:pPr>
      <w:r>
        <w:t xml:space="preserve">situation where one spouse owns the property but the two spouses live in it together; non-owning spouse can make a filing on the title of the owning spouse designating the property as a </w:t>
      </w:r>
      <w:r w:rsidRPr="00353CA2">
        <w:rPr>
          <w:color w:val="800000"/>
        </w:rPr>
        <w:t>“homestead,”</w:t>
      </w:r>
      <w:r>
        <w:t xml:space="preserve"> meaning that the property cannot be sold by the owning spouse </w:t>
      </w:r>
      <w:r w:rsidRPr="00353CA2">
        <w:rPr>
          <w:b/>
          <w:color w:val="800000"/>
        </w:rPr>
        <w:t>without the written consent of the non-owning spouse</w:t>
      </w:r>
    </w:p>
    <w:p w:rsidR="00353CA2" w:rsidRDefault="00353CA2" w:rsidP="00353CA2">
      <w:pPr>
        <w:spacing w:after="200" w:line="276" w:lineRule="auto"/>
        <w:rPr>
          <w:b/>
          <w:color w:val="800000"/>
        </w:rPr>
      </w:pPr>
      <w:r>
        <w:t xml:space="preserve">On the death of the owning spouse, there is a </w:t>
      </w:r>
      <w:r w:rsidRPr="00353CA2">
        <w:rPr>
          <w:b/>
          <w:color w:val="800000"/>
        </w:rPr>
        <w:t xml:space="preserve">life estate of the homestead </w:t>
      </w:r>
      <w:r>
        <w:t>in</w:t>
      </w:r>
      <w:r w:rsidR="00CF7828">
        <w:t xml:space="preserve"> favour of the surviving spouse.</w:t>
      </w:r>
    </w:p>
    <w:p w:rsidR="00353CA2" w:rsidRPr="00353CA2" w:rsidRDefault="00353CA2" w:rsidP="00353CA2">
      <w:pPr>
        <w:spacing w:after="200" w:line="276" w:lineRule="auto"/>
        <w:rPr>
          <w:b/>
          <w:color w:val="800000"/>
        </w:rPr>
      </w:pPr>
      <w:r w:rsidRPr="00353CA2">
        <w:rPr>
          <w:b/>
          <w:color w:val="800000"/>
        </w:rPr>
        <w:t>Supercedes any testamentary intention, the homestead takes precedence over the will and can’t be touched until the life tenant dies</w:t>
      </w:r>
      <w:r>
        <w:t>.</w:t>
      </w:r>
    </w:p>
    <w:p w:rsidR="00CF7828" w:rsidRDefault="00CF7828" w:rsidP="00F122C2">
      <w:pPr>
        <w:pStyle w:val="ListBullet"/>
        <w:numPr>
          <w:ilvl w:val="0"/>
          <w:numId w:val="0"/>
        </w:numPr>
        <w:rPr>
          <w:lang w:val="en-US"/>
        </w:rPr>
      </w:pPr>
      <w:r w:rsidRPr="00CF7828">
        <w:rPr>
          <w:color w:val="1F497D" w:themeColor="text2"/>
          <w:lang w:val="en-US"/>
        </w:rPr>
        <w:t>WESA s 4 (2)</w:t>
      </w:r>
      <w:r>
        <w:rPr>
          <w:lang w:val="en-US"/>
        </w:rPr>
        <w:t xml:space="preserve"> states that a personal representative holds the homestead in trust for an estate for the life of the surviving spouse, despite any will, rule of law but subject to the liability of the land comprising the homestead for foreclosure or the payments of debts.</w:t>
      </w:r>
    </w:p>
    <w:p w:rsidR="00CF7828" w:rsidRDefault="00CF7828" w:rsidP="00F122C2">
      <w:pPr>
        <w:pStyle w:val="ListBullet"/>
        <w:numPr>
          <w:ilvl w:val="0"/>
          <w:numId w:val="0"/>
        </w:numPr>
        <w:rPr>
          <w:lang w:val="en-US"/>
        </w:rPr>
      </w:pPr>
    </w:p>
    <w:p w:rsidR="00847B22" w:rsidRPr="00847B22" w:rsidRDefault="00847B22" w:rsidP="00943201">
      <w:pPr>
        <w:pStyle w:val="Heading2"/>
        <w:rPr>
          <w:lang w:val="en-US"/>
        </w:rPr>
      </w:pPr>
      <w:bookmarkStart w:id="78" w:name="_Toc259911066"/>
      <w:r w:rsidRPr="00847B22">
        <w:rPr>
          <w:lang w:val="en-US"/>
        </w:rPr>
        <w:t>RIGHTS OF A LIFE TENANT</w:t>
      </w:r>
      <w:bookmarkEnd w:id="78"/>
    </w:p>
    <w:p w:rsidR="00847B22" w:rsidRDefault="00847B22" w:rsidP="00847B22">
      <w:pPr>
        <w:pStyle w:val="ListBullet"/>
        <w:numPr>
          <w:ilvl w:val="0"/>
          <w:numId w:val="0"/>
        </w:numPr>
        <w:ind w:left="360" w:hanging="360"/>
        <w:rPr>
          <w:lang w:val="en-US"/>
        </w:rPr>
      </w:pPr>
    </w:p>
    <w:p w:rsidR="00847B22" w:rsidRPr="00CB0A0E" w:rsidRDefault="00847B22" w:rsidP="001A0F7C">
      <w:pPr>
        <w:pStyle w:val="Heading2"/>
        <w:rPr>
          <w:b w:val="0"/>
          <w:lang w:val="en-US"/>
        </w:rPr>
      </w:pPr>
      <w:bookmarkStart w:id="79" w:name="_Toc259911067"/>
      <w:r w:rsidRPr="00847B22">
        <w:rPr>
          <w:lang w:val="en-US"/>
        </w:rPr>
        <w:t>Occupation, Use and Profits</w:t>
      </w:r>
      <w:r w:rsidR="00CB0A0E">
        <w:rPr>
          <w:lang w:val="en-US"/>
        </w:rPr>
        <w:t xml:space="preserve"> </w:t>
      </w:r>
      <w:r w:rsidR="00CB0A0E">
        <w:rPr>
          <w:b w:val="0"/>
          <w:lang w:val="en-US"/>
        </w:rPr>
        <w:t>[LE = operating expenses, R = capital outlays]</w:t>
      </w:r>
      <w:bookmarkEnd w:id="79"/>
    </w:p>
    <w:p w:rsidR="00847B22" w:rsidRDefault="00847B22" w:rsidP="00847B22">
      <w:pPr>
        <w:pStyle w:val="ListBullet"/>
        <w:numPr>
          <w:ilvl w:val="0"/>
          <w:numId w:val="0"/>
        </w:numPr>
        <w:ind w:left="360" w:hanging="360"/>
        <w:rPr>
          <w:lang w:val="en-US"/>
        </w:rPr>
      </w:pPr>
    </w:p>
    <w:p w:rsidR="00E47515" w:rsidRDefault="00847B22" w:rsidP="00847B22">
      <w:pPr>
        <w:pStyle w:val="ListBullet"/>
        <w:numPr>
          <w:ilvl w:val="0"/>
          <w:numId w:val="0"/>
        </w:numPr>
        <w:rPr>
          <w:lang w:val="en-US"/>
        </w:rPr>
      </w:pPr>
      <w:r>
        <w:rPr>
          <w:lang w:val="en-US"/>
        </w:rPr>
        <w:t>The holder of a legal life estate is entitled to occupy and use the property and to retain any profits from its exploitation</w:t>
      </w:r>
      <w:r w:rsidR="00743423">
        <w:rPr>
          <w:lang w:val="en-US"/>
        </w:rPr>
        <w:t>. A life tenant must pay the applicable taxes on the property but “may well” not be responsible for insurance premiums</w:t>
      </w:r>
      <w:r>
        <w:rPr>
          <w:lang w:val="en-US"/>
        </w:rPr>
        <w:t xml:space="preserve">: see </w:t>
      </w:r>
      <w:r w:rsidRPr="00847B22">
        <w:rPr>
          <w:i/>
          <w:color w:val="1F497D" w:themeColor="text2"/>
          <w:lang w:val="en-US"/>
        </w:rPr>
        <w:t>Re Verdonk</w:t>
      </w:r>
      <w:r>
        <w:rPr>
          <w:lang w:val="en-US"/>
        </w:rPr>
        <w:t>.</w:t>
      </w:r>
    </w:p>
    <w:p w:rsidR="00E47515" w:rsidRDefault="00E47515" w:rsidP="00847B22">
      <w:pPr>
        <w:pStyle w:val="ListBullet"/>
        <w:numPr>
          <w:ilvl w:val="0"/>
          <w:numId w:val="0"/>
        </w:numPr>
        <w:rPr>
          <w:lang w:val="en-US"/>
        </w:rPr>
      </w:pPr>
    </w:p>
    <w:p w:rsidR="00E47515" w:rsidRDefault="00E47515" w:rsidP="00847B22">
      <w:pPr>
        <w:pStyle w:val="ListBullet"/>
        <w:numPr>
          <w:ilvl w:val="0"/>
          <w:numId w:val="0"/>
        </w:numPr>
        <w:rPr>
          <w:lang w:val="en-US"/>
        </w:rPr>
      </w:pPr>
      <w:r>
        <w:rPr>
          <w:lang w:val="en-US"/>
        </w:rPr>
        <w:t xml:space="preserve">Life tenant is responsible for </w:t>
      </w:r>
      <w:r w:rsidRPr="00E47515">
        <w:rPr>
          <w:color w:val="800000"/>
          <w:lang w:val="en-US"/>
        </w:rPr>
        <w:t>“operating expenses”</w:t>
      </w:r>
      <w:r>
        <w:rPr>
          <w:lang w:val="en-US"/>
        </w:rPr>
        <w:t>: property taxes, mortgage interest payments, minor upkeep and repairs</w:t>
      </w:r>
    </w:p>
    <w:p w:rsidR="00E47515" w:rsidRDefault="00E47515" w:rsidP="00847B22">
      <w:pPr>
        <w:pStyle w:val="ListBullet"/>
        <w:numPr>
          <w:ilvl w:val="0"/>
          <w:numId w:val="0"/>
        </w:numPr>
        <w:rPr>
          <w:lang w:val="en-US"/>
        </w:rPr>
      </w:pPr>
    </w:p>
    <w:p w:rsidR="00E47515" w:rsidRDefault="00E47515" w:rsidP="00847B22">
      <w:pPr>
        <w:pStyle w:val="ListBullet"/>
        <w:numPr>
          <w:ilvl w:val="0"/>
          <w:numId w:val="0"/>
        </w:numPr>
        <w:rPr>
          <w:lang w:val="en-US"/>
        </w:rPr>
      </w:pPr>
      <w:r>
        <w:rPr>
          <w:lang w:val="en-US"/>
        </w:rPr>
        <w:t xml:space="preserve">Remainderman is responsible for </w:t>
      </w:r>
      <w:r w:rsidRPr="00E47515">
        <w:rPr>
          <w:color w:val="800000"/>
          <w:lang w:val="en-US"/>
        </w:rPr>
        <w:t>“capital outlays</w:t>
      </w:r>
      <w:r>
        <w:rPr>
          <w:color w:val="800000"/>
          <w:lang w:val="en-US"/>
        </w:rPr>
        <w:t>”</w:t>
      </w:r>
      <w:r>
        <w:rPr>
          <w:lang w:val="en-US"/>
        </w:rPr>
        <w:t xml:space="preserve">: major repairs – repairs for damage to corpus. </w:t>
      </w:r>
    </w:p>
    <w:p w:rsidR="00E47515" w:rsidRDefault="00E47515" w:rsidP="00847B22">
      <w:pPr>
        <w:pStyle w:val="ListBullet"/>
        <w:numPr>
          <w:ilvl w:val="0"/>
          <w:numId w:val="0"/>
        </w:numPr>
        <w:rPr>
          <w:lang w:val="en-US"/>
        </w:rPr>
      </w:pPr>
    </w:p>
    <w:p w:rsidR="00847B22" w:rsidRDefault="00847B22" w:rsidP="00847B22">
      <w:pPr>
        <w:pStyle w:val="ListBullet"/>
        <w:numPr>
          <w:ilvl w:val="0"/>
          <w:numId w:val="0"/>
        </w:numPr>
        <w:rPr>
          <w:lang w:val="en-US"/>
        </w:rPr>
      </w:pPr>
    </w:p>
    <w:p w:rsidR="00847B22" w:rsidRDefault="00847B22" w:rsidP="00847B22">
      <w:pPr>
        <w:pStyle w:val="ListBullet"/>
        <w:numPr>
          <w:ilvl w:val="0"/>
          <w:numId w:val="0"/>
        </w:numPr>
        <w:rPr>
          <w:lang w:val="en-US"/>
        </w:rPr>
      </w:pPr>
    </w:p>
    <w:p w:rsidR="00847B22" w:rsidRPr="00847B22" w:rsidRDefault="00847B22" w:rsidP="00CB0A0E">
      <w:pPr>
        <w:pStyle w:val="Heading2"/>
        <w:rPr>
          <w:lang w:val="en-US"/>
        </w:rPr>
      </w:pPr>
      <w:bookmarkStart w:id="80" w:name="_Toc259911068"/>
      <w:r w:rsidRPr="00847B22">
        <w:rPr>
          <w:lang w:val="en-US"/>
        </w:rPr>
        <w:t>Transfer Inter Vivos</w:t>
      </w:r>
      <w:r w:rsidR="00CB0A0E">
        <w:rPr>
          <w:lang w:val="en-US"/>
        </w:rPr>
        <w:t xml:space="preserve"> [</w:t>
      </w:r>
      <w:r w:rsidR="00CB0A0E" w:rsidRPr="00CB0A0E">
        <w:rPr>
          <w:b w:val="0"/>
          <w:lang w:val="en-US"/>
        </w:rPr>
        <w:t>A LE may be transferred IV.]</w:t>
      </w:r>
      <w:bookmarkEnd w:id="80"/>
    </w:p>
    <w:p w:rsidR="00847B22" w:rsidRDefault="00847B22" w:rsidP="00847B22">
      <w:pPr>
        <w:pStyle w:val="ListBullet"/>
        <w:numPr>
          <w:ilvl w:val="0"/>
          <w:numId w:val="0"/>
        </w:numPr>
        <w:ind w:left="360" w:hanging="360"/>
        <w:rPr>
          <w:lang w:val="en-US"/>
        </w:rPr>
      </w:pPr>
    </w:p>
    <w:p w:rsidR="00847B22" w:rsidRDefault="00847B22" w:rsidP="00847B22">
      <w:pPr>
        <w:pStyle w:val="ListBullet"/>
        <w:numPr>
          <w:ilvl w:val="0"/>
          <w:numId w:val="0"/>
        </w:numPr>
        <w:ind w:left="360" w:hanging="360"/>
        <w:rPr>
          <w:lang w:val="en-US"/>
        </w:rPr>
      </w:pPr>
      <w:r>
        <w:rPr>
          <w:lang w:val="en-US"/>
        </w:rPr>
        <w:t xml:space="preserve">A life estate may be transferred </w:t>
      </w:r>
      <w:r>
        <w:rPr>
          <w:i/>
          <w:lang w:val="en-US"/>
        </w:rPr>
        <w:t>inter vivos</w:t>
      </w:r>
      <w:r>
        <w:rPr>
          <w:lang w:val="en-US"/>
        </w:rPr>
        <w:t>.</w:t>
      </w:r>
    </w:p>
    <w:p w:rsidR="00847B22" w:rsidRDefault="00847B22" w:rsidP="00847B22">
      <w:pPr>
        <w:pStyle w:val="ListBullet"/>
        <w:numPr>
          <w:ilvl w:val="0"/>
          <w:numId w:val="0"/>
        </w:numPr>
        <w:ind w:left="360" w:hanging="360"/>
        <w:rPr>
          <w:lang w:val="en-US"/>
        </w:rPr>
      </w:pPr>
    </w:p>
    <w:p w:rsidR="00847B22" w:rsidRPr="00CB0A0E" w:rsidRDefault="00847B22" w:rsidP="00CB0A0E">
      <w:pPr>
        <w:pStyle w:val="Heading2"/>
        <w:rPr>
          <w:b w:val="0"/>
          <w:lang w:val="en-US"/>
        </w:rPr>
      </w:pPr>
      <w:bookmarkStart w:id="81" w:name="_Toc259911069"/>
      <w:r w:rsidRPr="006F1B17">
        <w:rPr>
          <w:lang w:val="en-US"/>
        </w:rPr>
        <w:t>Devolution on Death</w:t>
      </w:r>
      <w:r w:rsidR="00CB0A0E">
        <w:rPr>
          <w:lang w:val="en-US"/>
        </w:rPr>
        <w:t xml:space="preserve"> [</w:t>
      </w:r>
      <w:r w:rsidR="00CB0A0E">
        <w:rPr>
          <w:b w:val="0"/>
          <w:lang w:val="en-US"/>
        </w:rPr>
        <w:t>LT disposable through will WESA ss1 [estate] and 41]</w:t>
      </w:r>
      <w:bookmarkEnd w:id="81"/>
    </w:p>
    <w:p w:rsidR="00847B22" w:rsidRDefault="00847B22" w:rsidP="00847B22">
      <w:pPr>
        <w:pStyle w:val="ListBullet"/>
        <w:numPr>
          <w:ilvl w:val="0"/>
          <w:numId w:val="0"/>
        </w:numPr>
        <w:ind w:left="360" w:hanging="360"/>
        <w:rPr>
          <w:lang w:val="en-US"/>
        </w:rPr>
      </w:pPr>
    </w:p>
    <w:p w:rsidR="006F1B17" w:rsidRDefault="00847B22" w:rsidP="006F1B17">
      <w:pPr>
        <w:pStyle w:val="ListBullet"/>
        <w:numPr>
          <w:ilvl w:val="0"/>
          <w:numId w:val="0"/>
        </w:numPr>
        <w:rPr>
          <w:lang w:val="en-US"/>
        </w:rPr>
      </w:pPr>
      <w:r>
        <w:rPr>
          <w:lang w:val="en-US"/>
        </w:rPr>
        <w:t xml:space="preserve">The ordinary life tenancy (e.g., to A for life) ends with the death of the life tenant. Same with </w:t>
      </w:r>
      <w:r w:rsidRPr="00847B22">
        <w:rPr>
          <w:lang w:val="en-US"/>
        </w:rPr>
        <w:t xml:space="preserve">estate </w:t>
      </w:r>
      <w:r w:rsidRPr="00CB0A0E">
        <w:rPr>
          <w:i/>
          <w:color w:val="800000"/>
          <w:lang w:val="en-US"/>
        </w:rPr>
        <w:t>pur autre vie</w:t>
      </w:r>
      <w:r>
        <w:rPr>
          <w:lang w:val="en-US"/>
        </w:rPr>
        <w:t xml:space="preserve">. If A predeceases the </w:t>
      </w:r>
      <w:r>
        <w:rPr>
          <w:i/>
          <w:lang w:val="en-US"/>
        </w:rPr>
        <w:t>autre vie</w:t>
      </w:r>
      <w:r>
        <w:rPr>
          <w:lang w:val="en-US"/>
        </w:rPr>
        <w:t xml:space="preserve"> then his interest devolves o</w:t>
      </w:r>
      <w:r w:rsidR="006F1B17">
        <w:rPr>
          <w:lang w:val="en-US"/>
        </w:rPr>
        <w:t>n death just like any other real property.</w:t>
      </w:r>
    </w:p>
    <w:p w:rsidR="006F1B17" w:rsidRDefault="006F1B17" w:rsidP="006F1B17">
      <w:pPr>
        <w:pStyle w:val="ListBullet"/>
        <w:numPr>
          <w:ilvl w:val="0"/>
          <w:numId w:val="0"/>
        </w:numPr>
        <w:rPr>
          <w:lang w:val="en-US"/>
        </w:rPr>
      </w:pPr>
    </w:p>
    <w:p w:rsidR="006F1B17" w:rsidRDefault="006F1B17" w:rsidP="006F1B17">
      <w:pPr>
        <w:pStyle w:val="ListBullet"/>
        <w:numPr>
          <w:ilvl w:val="0"/>
          <w:numId w:val="0"/>
        </w:numPr>
        <w:rPr>
          <w:lang w:val="en-US"/>
        </w:rPr>
      </w:pPr>
      <w:r w:rsidRPr="006F1B17">
        <w:rPr>
          <w:b/>
          <w:color w:val="800000"/>
          <w:lang w:val="en-US"/>
        </w:rPr>
        <w:t>A may dispose of the estate for the life of B by will to a beneficiary, who will hold the life estate until B dies</w:t>
      </w:r>
      <w:r>
        <w:rPr>
          <w:lang w:val="en-US"/>
        </w:rPr>
        <w:t xml:space="preserve">: </w:t>
      </w:r>
      <w:r w:rsidRPr="006F1B17">
        <w:rPr>
          <w:color w:val="1F497D" w:themeColor="text2"/>
          <w:lang w:val="en-US"/>
        </w:rPr>
        <w:t>WESA ss1</w:t>
      </w:r>
      <w:r>
        <w:rPr>
          <w:lang w:val="en-US"/>
        </w:rPr>
        <w:t xml:space="preserve"> “estate” and </w:t>
      </w:r>
      <w:r w:rsidRPr="006F1B17">
        <w:rPr>
          <w:color w:val="1F497D" w:themeColor="text2"/>
          <w:lang w:val="en-US"/>
        </w:rPr>
        <w:t>41</w:t>
      </w:r>
      <w:r>
        <w:rPr>
          <w:lang w:val="en-US"/>
        </w:rPr>
        <w:t>.</w:t>
      </w:r>
    </w:p>
    <w:p w:rsidR="006F1B17" w:rsidRDefault="006F1B17" w:rsidP="006F1B17">
      <w:pPr>
        <w:pStyle w:val="ListBullet"/>
        <w:numPr>
          <w:ilvl w:val="0"/>
          <w:numId w:val="0"/>
        </w:numPr>
        <w:rPr>
          <w:lang w:val="en-US"/>
        </w:rPr>
      </w:pPr>
    </w:p>
    <w:p w:rsidR="006F1B17" w:rsidRPr="006F1B17" w:rsidRDefault="006F1B17" w:rsidP="00943201">
      <w:pPr>
        <w:pStyle w:val="Heading2"/>
        <w:rPr>
          <w:lang w:val="en-US"/>
        </w:rPr>
      </w:pPr>
      <w:bookmarkStart w:id="82" w:name="_Toc259911070"/>
      <w:r w:rsidRPr="006F1B17">
        <w:rPr>
          <w:lang w:val="en-US"/>
        </w:rPr>
        <w:t>OBLIGATIONS OF A LIFE TENANT TO THOSE ENTITLED IN REVERSION OR REMAINDER</w:t>
      </w:r>
      <w:r w:rsidR="00CB0A0E">
        <w:rPr>
          <w:lang w:val="en-US"/>
        </w:rPr>
        <w:t xml:space="preserve"> </w:t>
      </w:r>
      <w:r w:rsidR="00CB0A0E" w:rsidRPr="00CB0A0E">
        <w:rPr>
          <w:lang w:val="en-US"/>
        </w:rPr>
        <w:t>[R entitled “substantially the same form”]</w:t>
      </w:r>
      <w:bookmarkEnd w:id="82"/>
    </w:p>
    <w:p w:rsidR="006F1B17" w:rsidRDefault="006F1B17" w:rsidP="006F1B17">
      <w:pPr>
        <w:pStyle w:val="ListBullet"/>
        <w:numPr>
          <w:ilvl w:val="0"/>
          <w:numId w:val="0"/>
        </w:numPr>
        <w:ind w:left="360" w:hanging="360"/>
        <w:rPr>
          <w:lang w:val="en-US"/>
        </w:rPr>
      </w:pPr>
    </w:p>
    <w:p w:rsidR="006F1B17" w:rsidRDefault="006F1B17" w:rsidP="006F1B17">
      <w:pPr>
        <w:pStyle w:val="ListBullet"/>
        <w:numPr>
          <w:ilvl w:val="0"/>
          <w:numId w:val="0"/>
        </w:numPr>
        <w:rPr>
          <w:lang w:val="en-US"/>
        </w:rPr>
      </w:pPr>
      <w:r>
        <w:rPr>
          <w:lang w:val="en-US"/>
        </w:rPr>
        <w:t xml:space="preserve">Whenever there is a life estate, there is a </w:t>
      </w:r>
      <w:r w:rsidRPr="006F1B17">
        <w:rPr>
          <w:b/>
          <w:color w:val="800000"/>
          <w:lang w:val="en-US"/>
        </w:rPr>
        <w:t>remainder</w:t>
      </w:r>
      <w:r>
        <w:rPr>
          <w:lang w:val="en-US"/>
        </w:rPr>
        <w:t xml:space="preserve"> (the person to whom the property reverts upon the death of the person for whose life the life estate is made)</w:t>
      </w:r>
    </w:p>
    <w:p w:rsidR="006F1B17" w:rsidRDefault="006F1B17" w:rsidP="006F1B17">
      <w:pPr>
        <w:pStyle w:val="ListBullet"/>
        <w:numPr>
          <w:ilvl w:val="0"/>
          <w:numId w:val="0"/>
        </w:numPr>
        <w:rPr>
          <w:lang w:val="en-US"/>
        </w:rPr>
      </w:pPr>
    </w:p>
    <w:p w:rsidR="006F1B17" w:rsidRDefault="006F1B17" w:rsidP="006F1B17">
      <w:pPr>
        <w:pStyle w:val="ListBullet"/>
        <w:numPr>
          <w:ilvl w:val="0"/>
          <w:numId w:val="0"/>
        </w:numPr>
        <w:rPr>
          <w:lang w:val="en-US"/>
        </w:rPr>
      </w:pPr>
      <w:r>
        <w:rPr>
          <w:lang w:val="en-US"/>
        </w:rPr>
        <w:t>The remainder is entitled to have the land pass into their possession, on the termination of the life estate, in s</w:t>
      </w:r>
      <w:r w:rsidRPr="006F1B17">
        <w:rPr>
          <w:b/>
          <w:color w:val="800000"/>
          <w:lang w:val="en-US"/>
        </w:rPr>
        <w:t xml:space="preserve">ubstantially the same from </w:t>
      </w:r>
      <w:r>
        <w:rPr>
          <w:lang w:val="en-US"/>
        </w:rPr>
        <w:t>as it was when received by the life tenant.</w:t>
      </w:r>
    </w:p>
    <w:p w:rsidR="006F1B17" w:rsidRDefault="006F1B17" w:rsidP="006F1B17">
      <w:pPr>
        <w:pStyle w:val="ListBullet"/>
        <w:numPr>
          <w:ilvl w:val="0"/>
          <w:numId w:val="0"/>
        </w:numPr>
        <w:rPr>
          <w:lang w:val="en-US"/>
        </w:rPr>
      </w:pPr>
    </w:p>
    <w:p w:rsidR="0086569C" w:rsidRPr="0086569C" w:rsidRDefault="0086569C" w:rsidP="00CB0A0E">
      <w:pPr>
        <w:pStyle w:val="Heading2"/>
        <w:rPr>
          <w:lang w:val="en-US"/>
        </w:rPr>
      </w:pPr>
      <w:bookmarkStart w:id="83" w:name="_Toc259911071"/>
      <w:r w:rsidRPr="0086569C">
        <w:rPr>
          <w:lang w:val="en-US"/>
        </w:rPr>
        <w:t>Waste</w:t>
      </w:r>
      <w:r w:rsidR="00CB0A0E">
        <w:rPr>
          <w:lang w:val="en-US"/>
        </w:rPr>
        <w:t xml:space="preserve"> </w:t>
      </w:r>
      <w:r w:rsidR="00CB0A0E" w:rsidRPr="00CB0A0E">
        <w:rPr>
          <w:b w:val="0"/>
          <w:lang w:val="en-US"/>
        </w:rPr>
        <w:t>[Permissive, Voluntary (2 conceptions), Equitable]</w:t>
      </w:r>
      <w:bookmarkEnd w:id="83"/>
    </w:p>
    <w:p w:rsidR="0086569C" w:rsidRDefault="0086569C" w:rsidP="0086569C">
      <w:pPr>
        <w:pStyle w:val="ListBullet"/>
        <w:numPr>
          <w:ilvl w:val="0"/>
          <w:numId w:val="0"/>
        </w:numPr>
        <w:ind w:left="360" w:hanging="360"/>
        <w:rPr>
          <w:lang w:val="en-US"/>
        </w:rPr>
      </w:pPr>
    </w:p>
    <w:p w:rsidR="0086569C" w:rsidRDefault="0086569C" w:rsidP="0086569C">
      <w:pPr>
        <w:pStyle w:val="ListBullet"/>
        <w:numPr>
          <w:ilvl w:val="0"/>
          <w:numId w:val="0"/>
        </w:numPr>
        <w:ind w:left="360" w:hanging="360"/>
        <w:rPr>
          <w:lang w:val="en-US"/>
        </w:rPr>
      </w:pPr>
      <w:r>
        <w:rPr>
          <w:lang w:val="en-US"/>
        </w:rPr>
        <w:t>There are three kinds of waste: permissive, voluntary and equitable.</w:t>
      </w:r>
    </w:p>
    <w:p w:rsidR="0086569C" w:rsidRDefault="0086569C" w:rsidP="0086569C">
      <w:pPr>
        <w:pStyle w:val="ListBullet"/>
        <w:numPr>
          <w:ilvl w:val="0"/>
          <w:numId w:val="0"/>
        </w:numPr>
        <w:ind w:left="360" w:hanging="360"/>
        <w:rPr>
          <w:lang w:val="en-US"/>
        </w:rPr>
      </w:pPr>
    </w:p>
    <w:p w:rsidR="0086569C" w:rsidRPr="003E5D64" w:rsidRDefault="0086569C" w:rsidP="0086569C">
      <w:pPr>
        <w:pStyle w:val="ListBullet"/>
        <w:numPr>
          <w:ilvl w:val="0"/>
          <w:numId w:val="46"/>
        </w:numPr>
        <w:rPr>
          <w:u w:val="single"/>
          <w:lang w:val="en-US"/>
        </w:rPr>
      </w:pPr>
      <w:r w:rsidRPr="003E5D64">
        <w:rPr>
          <w:u w:val="single"/>
          <w:lang w:val="en-US"/>
        </w:rPr>
        <w:t>Permissive waste</w:t>
      </w:r>
    </w:p>
    <w:p w:rsidR="0086569C" w:rsidRDefault="0086569C" w:rsidP="0086569C">
      <w:pPr>
        <w:pStyle w:val="ListBullet"/>
        <w:numPr>
          <w:ilvl w:val="0"/>
          <w:numId w:val="0"/>
        </w:numPr>
        <w:ind w:left="360" w:hanging="360"/>
        <w:rPr>
          <w:lang w:val="en-US"/>
        </w:rPr>
      </w:pPr>
    </w:p>
    <w:p w:rsidR="0086569C" w:rsidRDefault="0086569C" w:rsidP="0086569C">
      <w:pPr>
        <w:pStyle w:val="ListBullet"/>
        <w:numPr>
          <w:ilvl w:val="0"/>
          <w:numId w:val="0"/>
        </w:numPr>
        <w:ind w:left="360" w:hanging="360"/>
        <w:rPr>
          <w:b/>
          <w:color w:val="800000"/>
          <w:lang w:val="en-US"/>
        </w:rPr>
      </w:pPr>
      <w:r>
        <w:rPr>
          <w:lang w:val="en-US"/>
        </w:rPr>
        <w:t xml:space="preserve">This is </w:t>
      </w:r>
      <w:r w:rsidRPr="0086569C">
        <w:rPr>
          <w:b/>
          <w:color w:val="800000"/>
          <w:lang w:val="en-US"/>
        </w:rPr>
        <w:t>passive conduct</w:t>
      </w:r>
      <w:r>
        <w:rPr>
          <w:lang w:val="en-US"/>
        </w:rPr>
        <w:t xml:space="preserve"> which permits decay – e.g. allowing buildings to detriorate. The </w:t>
      </w:r>
      <w:r w:rsidRPr="0086569C">
        <w:rPr>
          <w:b/>
          <w:color w:val="800000"/>
          <w:lang w:val="en-US"/>
        </w:rPr>
        <w:t>lif</w:t>
      </w:r>
      <w:r>
        <w:rPr>
          <w:b/>
          <w:color w:val="800000"/>
          <w:lang w:val="en-US"/>
        </w:rPr>
        <w:t>e tenant is not</w:t>
      </w:r>
    </w:p>
    <w:p w:rsidR="0086569C" w:rsidRDefault="0086569C" w:rsidP="0086569C">
      <w:pPr>
        <w:pStyle w:val="ListBullet"/>
        <w:numPr>
          <w:ilvl w:val="0"/>
          <w:numId w:val="0"/>
        </w:numPr>
        <w:ind w:left="360" w:hanging="360"/>
        <w:rPr>
          <w:lang w:val="en-US"/>
        </w:rPr>
      </w:pPr>
      <w:r w:rsidRPr="0086569C">
        <w:rPr>
          <w:b/>
          <w:color w:val="800000"/>
          <w:lang w:val="en-US"/>
        </w:rPr>
        <w:t>responsible</w:t>
      </w:r>
      <w:r>
        <w:rPr>
          <w:lang w:val="en-US"/>
        </w:rPr>
        <w:t xml:space="preserve"> for this waste unless expressly provided for in the instrument creating the estate.</w:t>
      </w:r>
    </w:p>
    <w:p w:rsidR="003E5D64" w:rsidRDefault="003E5D64" w:rsidP="0086569C">
      <w:pPr>
        <w:pStyle w:val="ListBullet"/>
        <w:numPr>
          <w:ilvl w:val="0"/>
          <w:numId w:val="0"/>
        </w:numPr>
        <w:ind w:left="360" w:hanging="360"/>
        <w:rPr>
          <w:lang w:val="en-US"/>
        </w:rPr>
      </w:pPr>
    </w:p>
    <w:p w:rsidR="003E5D64" w:rsidRPr="003E5D64" w:rsidRDefault="003E5D64" w:rsidP="003E5D64">
      <w:pPr>
        <w:pStyle w:val="ListBullet"/>
        <w:numPr>
          <w:ilvl w:val="0"/>
          <w:numId w:val="46"/>
        </w:numPr>
        <w:rPr>
          <w:u w:val="single"/>
          <w:lang w:val="en-US"/>
        </w:rPr>
      </w:pPr>
      <w:r w:rsidRPr="003E5D64">
        <w:rPr>
          <w:u w:val="single"/>
          <w:lang w:val="en-US"/>
        </w:rPr>
        <w:t>Voluntary waste</w:t>
      </w:r>
    </w:p>
    <w:p w:rsidR="003E5D64" w:rsidRDefault="003E5D64" w:rsidP="003E5D64">
      <w:pPr>
        <w:pStyle w:val="ListBullet"/>
        <w:numPr>
          <w:ilvl w:val="0"/>
          <w:numId w:val="0"/>
        </w:numPr>
        <w:ind w:left="360" w:hanging="360"/>
        <w:rPr>
          <w:lang w:val="en-US"/>
        </w:rPr>
      </w:pPr>
    </w:p>
    <w:p w:rsidR="003E5D64" w:rsidRDefault="003E5D64" w:rsidP="003E5D64">
      <w:pPr>
        <w:pStyle w:val="ListBullet"/>
        <w:numPr>
          <w:ilvl w:val="0"/>
          <w:numId w:val="0"/>
        </w:numPr>
        <w:ind w:left="360" w:hanging="360"/>
        <w:rPr>
          <w:lang w:val="en-US"/>
        </w:rPr>
      </w:pPr>
      <w:r>
        <w:rPr>
          <w:lang w:val="en-US"/>
        </w:rPr>
        <w:t>Two conceptions:</w:t>
      </w:r>
    </w:p>
    <w:p w:rsidR="003E5D64" w:rsidRDefault="003E5D64" w:rsidP="003E5D64">
      <w:pPr>
        <w:pStyle w:val="ListBullet"/>
        <w:numPr>
          <w:ilvl w:val="0"/>
          <w:numId w:val="0"/>
        </w:numPr>
        <w:ind w:left="360" w:hanging="360"/>
        <w:rPr>
          <w:lang w:val="en-US"/>
        </w:rPr>
      </w:pPr>
    </w:p>
    <w:p w:rsidR="003E5D64" w:rsidRDefault="003E5D64" w:rsidP="003A60FA">
      <w:pPr>
        <w:pStyle w:val="ListBullet"/>
        <w:numPr>
          <w:ilvl w:val="3"/>
          <w:numId w:val="28"/>
        </w:numPr>
        <w:ind w:left="720"/>
        <w:rPr>
          <w:lang w:val="en-US"/>
        </w:rPr>
      </w:pPr>
      <w:r>
        <w:rPr>
          <w:lang w:val="en-US"/>
        </w:rPr>
        <w:t>any act of the life tenant which causes permanent damage to the land</w:t>
      </w:r>
    </w:p>
    <w:p w:rsidR="003E5D64" w:rsidRDefault="003E5D64" w:rsidP="003A60FA">
      <w:pPr>
        <w:pStyle w:val="ListBullet"/>
        <w:numPr>
          <w:ilvl w:val="3"/>
          <w:numId w:val="28"/>
        </w:numPr>
        <w:ind w:left="720"/>
        <w:rPr>
          <w:lang w:val="en-US"/>
        </w:rPr>
      </w:pPr>
      <w:r>
        <w:rPr>
          <w:lang w:val="en-US"/>
        </w:rPr>
        <w:t>any act of the life tenant which changes the nature of the land, whether for better or worse (including ameliorating waste)</w:t>
      </w:r>
    </w:p>
    <w:p w:rsidR="003E5D64" w:rsidRDefault="003E5D64" w:rsidP="003E5D64">
      <w:pPr>
        <w:pStyle w:val="ListBullet"/>
        <w:numPr>
          <w:ilvl w:val="0"/>
          <w:numId w:val="0"/>
        </w:numPr>
        <w:ind w:left="360" w:hanging="360"/>
        <w:rPr>
          <w:lang w:val="en-US"/>
        </w:rPr>
      </w:pPr>
    </w:p>
    <w:p w:rsidR="003E5D64" w:rsidRDefault="003E5D64" w:rsidP="003E5D64">
      <w:pPr>
        <w:pStyle w:val="ListBullet"/>
        <w:numPr>
          <w:ilvl w:val="0"/>
          <w:numId w:val="0"/>
        </w:numPr>
        <w:ind w:left="360" w:hanging="360"/>
        <w:rPr>
          <w:lang w:val="en-US"/>
        </w:rPr>
      </w:pPr>
      <w:r>
        <w:rPr>
          <w:lang w:val="en-US"/>
        </w:rPr>
        <w:t>The second conception will usually always reduce to the first because in claiming waste plaintiff must proof damages, and</w:t>
      </w:r>
    </w:p>
    <w:p w:rsidR="003E5D64" w:rsidRDefault="003E5D64" w:rsidP="003E5D64">
      <w:pPr>
        <w:pStyle w:val="ListBullet"/>
        <w:numPr>
          <w:ilvl w:val="0"/>
          <w:numId w:val="0"/>
        </w:numPr>
        <w:ind w:left="360" w:hanging="360"/>
        <w:rPr>
          <w:lang w:val="en-US"/>
        </w:rPr>
      </w:pPr>
      <w:r>
        <w:rPr>
          <w:lang w:val="en-US"/>
        </w:rPr>
        <w:t>so damages will not be granted for improvement of the land, and an injunction will be unlikely.</w:t>
      </w:r>
    </w:p>
    <w:p w:rsidR="003E5D64" w:rsidRDefault="003E5D64" w:rsidP="003E5D64">
      <w:pPr>
        <w:pStyle w:val="ListBullet"/>
        <w:numPr>
          <w:ilvl w:val="0"/>
          <w:numId w:val="0"/>
        </w:numPr>
        <w:ind w:left="360" w:hanging="360"/>
        <w:rPr>
          <w:lang w:val="en-US"/>
        </w:rPr>
      </w:pPr>
    </w:p>
    <w:p w:rsidR="0086569C" w:rsidRDefault="0086569C" w:rsidP="003E5D64">
      <w:pPr>
        <w:pStyle w:val="ListBullet"/>
        <w:numPr>
          <w:ilvl w:val="0"/>
          <w:numId w:val="0"/>
        </w:numPr>
        <w:ind w:left="360" w:hanging="360"/>
        <w:rPr>
          <w:lang w:val="en-US"/>
        </w:rPr>
      </w:pPr>
    </w:p>
    <w:p w:rsidR="003E5D64" w:rsidRDefault="003E5D64" w:rsidP="003E5D64">
      <w:pPr>
        <w:pStyle w:val="ListBullet"/>
        <w:numPr>
          <w:ilvl w:val="0"/>
          <w:numId w:val="0"/>
        </w:numPr>
        <w:rPr>
          <w:lang w:val="en-US"/>
        </w:rPr>
      </w:pPr>
      <w:r w:rsidRPr="003E5D64">
        <w:rPr>
          <w:color w:val="1F497D" w:themeColor="text2"/>
          <w:lang w:val="en-US"/>
        </w:rPr>
        <w:t>Burn</w:t>
      </w:r>
      <w:r>
        <w:rPr>
          <w:lang w:val="en-US"/>
        </w:rPr>
        <w:t xml:space="preserve"> classifies waste in four categories p (10-6):</w:t>
      </w:r>
    </w:p>
    <w:p w:rsidR="003E5D64" w:rsidRDefault="003E5D64" w:rsidP="003E5D64">
      <w:pPr>
        <w:pStyle w:val="ListBullet"/>
        <w:numPr>
          <w:ilvl w:val="0"/>
          <w:numId w:val="0"/>
        </w:numPr>
        <w:rPr>
          <w:lang w:val="en-US"/>
        </w:rPr>
      </w:pPr>
    </w:p>
    <w:p w:rsidR="003E5D64" w:rsidRDefault="003E5D64" w:rsidP="00CB0A0E">
      <w:pPr>
        <w:pStyle w:val="ListBullet"/>
        <w:numPr>
          <w:ilvl w:val="0"/>
          <w:numId w:val="51"/>
        </w:numPr>
        <w:rPr>
          <w:lang w:val="en-US"/>
        </w:rPr>
      </w:pPr>
      <w:r>
        <w:rPr>
          <w:lang w:val="en-US"/>
        </w:rPr>
        <w:t>Timber</w:t>
      </w:r>
    </w:p>
    <w:p w:rsidR="003E5D64" w:rsidRDefault="003E5D64" w:rsidP="00CB0A0E">
      <w:pPr>
        <w:pStyle w:val="ListBullet"/>
        <w:numPr>
          <w:ilvl w:val="0"/>
          <w:numId w:val="51"/>
        </w:numPr>
        <w:rPr>
          <w:lang w:val="en-US"/>
        </w:rPr>
      </w:pPr>
      <w:r>
        <w:rPr>
          <w:lang w:val="en-US"/>
        </w:rPr>
        <w:t>Mines and minerals</w:t>
      </w:r>
    </w:p>
    <w:p w:rsidR="003E5D64" w:rsidRDefault="003E5D64" w:rsidP="00CB0A0E">
      <w:pPr>
        <w:pStyle w:val="ListBullet"/>
        <w:numPr>
          <w:ilvl w:val="0"/>
          <w:numId w:val="51"/>
        </w:numPr>
        <w:rPr>
          <w:lang w:val="en-US"/>
        </w:rPr>
      </w:pPr>
      <w:r>
        <w:rPr>
          <w:lang w:val="en-US"/>
        </w:rPr>
        <w:t>Demolishing or altering buildings</w:t>
      </w:r>
    </w:p>
    <w:p w:rsidR="003E5D64" w:rsidRDefault="003E5D64" w:rsidP="00CB0A0E">
      <w:pPr>
        <w:pStyle w:val="ListBullet"/>
        <w:numPr>
          <w:ilvl w:val="0"/>
          <w:numId w:val="51"/>
        </w:numPr>
        <w:rPr>
          <w:lang w:val="en-US"/>
        </w:rPr>
      </w:pPr>
      <w:r>
        <w:rPr>
          <w:lang w:val="en-US"/>
        </w:rPr>
        <w:t>Changing the use to which the land is put (from residential to commercial)</w:t>
      </w:r>
    </w:p>
    <w:p w:rsidR="003E5D64" w:rsidRDefault="003E5D64" w:rsidP="003E5D64">
      <w:pPr>
        <w:pStyle w:val="ListBullet"/>
        <w:numPr>
          <w:ilvl w:val="0"/>
          <w:numId w:val="0"/>
        </w:numPr>
        <w:ind w:left="360" w:hanging="360"/>
        <w:rPr>
          <w:lang w:val="en-US"/>
        </w:rPr>
      </w:pPr>
    </w:p>
    <w:p w:rsidR="003E5D64" w:rsidRPr="003E5D64" w:rsidRDefault="00CB0A0E" w:rsidP="00CB0A0E">
      <w:pPr>
        <w:pStyle w:val="Heading2"/>
        <w:rPr>
          <w:lang w:val="en-US"/>
        </w:rPr>
      </w:pPr>
      <w:bookmarkStart w:id="84" w:name="_Toc259911072"/>
      <w:r>
        <w:rPr>
          <w:lang w:val="en-US"/>
        </w:rPr>
        <w:t xml:space="preserve">3. </w:t>
      </w:r>
      <w:r w:rsidR="003E5D64" w:rsidRPr="003E5D64">
        <w:rPr>
          <w:lang w:val="en-US"/>
        </w:rPr>
        <w:t>Equitable waste</w:t>
      </w:r>
      <w:r>
        <w:rPr>
          <w:lang w:val="en-US"/>
        </w:rPr>
        <w:t xml:space="preserve"> – Unconscionable use of apparent legal right to commit waste at will</w:t>
      </w:r>
      <w:r w:rsidRPr="00CB0A0E">
        <w:rPr>
          <w:b w:val="0"/>
          <w:lang w:val="en-US"/>
        </w:rPr>
        <w:t>[equity might restraint life tenant with right of encroachment</w:t>
      </w:r>
      <w:r>
        <w:rPr>
          <w:b w:val="0"/>
          <w:lang w:val="en-US"/>
        </w:rPr>
        <w:t>, LEA 11 – presumption against permission of equitable waste</w:t>
      </w:r>
      <w:r>
        <w:rPr>
          <w:lang w:val="en-US"/>
        </w:rPr>
        <w:t>]</w:t>
      </w:r>
      <w:bookmarkEnd w:id="84"/>
    </w:p>
    <w:p w:rsidR="003E5D64" w:rsidRDefault="003E5D64" w:rsidP="003E5D64">
      <w:pPr>
        <w:pStyle w:val="ListBullet"/>
        <w:numPr>
          <w:ilvl w:val="0"/>
          <w:numId w:val="0"/>
        </w:numPr>
        <w:ind w:left="360" w:hanging="360"/>
        <w:rPr>
          <w:lang w:val="en-US"/>
        </w:rPr>
      </w:pPr>
    </w:p>
    <w:p w:rsidR="003E5D64" w:rsidRDefault="003E5D64" w:rsidP="003E5D64">
      <w:pPr>
        <w:pStyle w:val="ListBullet"/>
        <w:numPr>
          <w:ilvl w:val="0"/>
          <w:numId w:val="0"/>
        </w:numPr>
        <w:rPr>
          <w:lang w:val="en-US"/>
        </w:rPr>
      </w:pPr>
      <w:r>
        <w:rPr>
          <w:lang w:val="en-US"/>
        </w:rPr>
        <w:t>The creator of a life estate may expressly permit the life tenant to commit voluntary waste. Where there is such a provision the life tenant is said ot be “</w:t>
      </w:r>
      <w:r>
        <w:rPr>
          <w:b/>
          <w:lang w:val="en-US"/>
        </w:rPr>
        <w:t>unimpeachable for waste</w:t>
      </w:r>
      <w:r>
        <w:rPr>
          <w:lang w:val="en-US"/>
        </w:rPr>
        <w:t xml:space="preserve">”. However, Equity might still restrain the life tenant from making an </w:t>
      </w:r>
      <w:r w:rsidRPr="003E5D64">
        <w:rPr>
          <w:b/>
          <w:color w:val="800000"/>
          <w:lang w:val="en-US"/>
        </w:rPr>
        <w:t>unconscionable use of the apparent legal right to commit waste at will</w:t>
      </w:r>
      <w:r>
        <w:rPr>
          <w:lang w:val="en-US"/>
        </w:rPr>
        <w:t>.</w:t>
      </w:r>
    </w:p>
    <w:p w:rsidR="006D2521" w:rsidRDefault="006D2521" w:rsidP="003E5D64">
      <w:pPr>
        <w:pStyle w:val="ListBullet"/>
        <w:numPr>
          <w:ilvl w:val="0"/>
          <w:numId w:val="0"/>
        </w:numPr>
        <w:pBdr>
          <w:bottom w:val="single" w:sz="12" w:space="1" w:color="auto"/>
        </w:pBdr>
        <w:rPr>
          <w:lang w:val="en-US"/>
        </w:rPr>
      </w:pPr>
    </w:p>
    <w:p w:rsidR="006D2521" w:rsidRDefault="006D2521" w:rsidP="003E5D64">
      <w:pPr>
        <w:pStyle w:val="ListBullet"/>
        <w:numPr>
          <w:ilvl w:val="0"/>
          <w:numId w:val="0"/>
        </w:numPr>
        <w:pBdr>
          <w:bottom w:val="single" w:sz="12" w:space="1" w:color="auto"/>
        </w:pBdr>
        <w:rPr>
          <w:lang w:val="en-US"/>
        </w:rPr>
      </w:pPr>
      <w:r>
        <w:rPr>
          <w:lang w:val="en-US"/>
        </w:rPr>
        <w:t>This rule now appears in statutory form:</w:t>
      </w:r>
    </w:p>
    <w:p w:rsidR="006D2521" w:rsidRDefault="006D2521" w:rsidP="003E5D64">
      <w:pPr>
        <w:pStyle w:val="ListBullet"/>
        <w:numPr>
          <w:ilvl w:val="0"/>
          <w:numId w:val="0"/>
        </w:numPr>
        <w:pBdr>
          <w:bottom w:val="single" w:sz="12" w:space="1" w:color="auto"/>
        </w:pBdr>
        <w:rPr>
          <w:lang w:val="en-US"/>
        </w:rPr>
      </w:pPr>
    </w:p>
    <w:p w:rsidR="006D2521" w:rsidRPr="006D2521" w:rsidRDefault="006D2521" w:rsidP="003E5D64">
      <w:pPr>
        <w:pStyle w:val="ListBullet"/>
        <w:numPr>
          <w:ilvl w:val="0"/>
          <w:numId w:val="0"/>
        </w:numPr>
        <w:pBdr>
          <w:bottom w:val="single" w:sz="12" w:space="1" w:color="auto"/>
        </w:pBdr>
        <w:rPr>
          <w:color w:val="1F497D" w:themeColor="text2"/>
          <w:lang w:val="en-US"/>
        </w:rPr>
      </w:pPr>
      <w:r w:rsidRPr="006D2521">
        <w:rPr>
          <w:color w:val="1F497D" w:themeColor="text2"/>
          <w:lang w:val="en-US"/>
        </w:rPr>
        <w:t>Law and Equity Act</w:t>
      </w:r>
    </w:p>
    <w:p w:rsidR="006D2521" w:rsidRDefault="006D2521" w:rsidP="003E5D64">
      <w:pPr>
        <w:pStyle w:val="ListBullet"/>
        <w:numPr>
          <w:ilvl w:val="0"/>
          <w:numId w:val="0"/>
        </w:numPr>
        <w:pBdr>
          <w:bottom w:val="single" w:sz="12" w:space="1" w:color="auto"/>
        </w:pBdr>
        <w:rPr>
          <w:lang w:val="en-US"/>
        </w:rPr>
      </w:pPr>
    </w:p>
    <w:p w:rsidR="006D2521" w:rsidRDefault="006D2521" w:rsidP="003E5D64">
      <w:pPr>
        <w:pStyle w:val="ListBullet"/>
        <w:numPr>
          <w:ilvl w:val="0"/>
          <w:numId w:val="0"/>
        </w:numPr>
        <w:pBdr>
          <w:bottom w:val="single" w:sz="12" w:space="1" w:color="auto"/>
        </w:pBdr>
        <w:rPr>
          <w:lang w:val="en-US"/>
        </w:rPr>
      </w:pPr>
      <w:r>
        <w:rPr>
          <w:u w:val="single"/>
          <w:lang w:val="en-US"/>
        </w:rPr>
        <w:t>Equitable Waste</w:t>
      </w:r>
    </w:p>
    <w:p w:rsidR="006D2521" w:rsidRDefault="006D2521" w:rsidP="003E5D64">
      <w:pPr>
        <w:pStyle w:val="ListBullet"/>
        <w:numPr>
          <w:ilvl w:val="0"/>
          <w:numId w:val="0"/>
        </w:numPr>
        <w:pBdr>
          <w:bottom w:val="single" w:sz="12" w:space="1" w:color="auto"/>
        </w:pBdr>
        <w:rPr>
          <w:lang w:val="en-US"/>
        </w:rPr>
      </w:pPr>
    </w:p>
    <w:p w:rsidR="006D2521" w:rsidRPr="006D2521" w:rsidRDefault="006D2521" w:rsidP="003E5D64">
      <w:pPr>
        <w:pStyle w:val="ListBullet"/>
        <w:numPr>
          <w:ilvl w:val="0"/>
          <w:numId w:val="0"/>
        </w:numPr>
        <w:pBdr>
          <w:bottom w:val="single" w:sz="12" w:space="1" w:color="auto"/>
        </w:pBdr>
        <w:rPr>
          <w:lang w:val="en-US"/>
        </w:rPr>
      </w:pPr>
      <w:r w:rsidRPr="006D2521">
        <w:rPr>
          <w:color w:val="1F497D" w:themeColor="text2"/>
          <w:lang w:val="en-US"/>
        </w:rPr>
        <w:t>11</w:t>
      </w:r>
      <w:r>
        <w:rPr>
          <w:lang w:val="en-US"/>
        </w:rPr>
        <w:t xml:space="preserve">. estate for life without impeachment is presumed not to have conferred on the life tenant permission to commit equitable waste, </w:t>
      </w:r>
      <w:r w:rsidRPr="006D2521">
        <w:rPr>
          <w:b/>
          <w:color w:val="800000"/>
          <w:lang w:val="en-US"/>
        </w:rPr>
        <w:t>unless an intention to confer that right expressly appears in the instrument</w:t>
      </w:r>
      <w:r>
        <w:rPr>
          <w:lang w:val="en-US"/>
        </w:rPr>
        <w:t>.</w:t>
      </w:r>
    </w:p>
    <w:p w:rsidR="003E5D64" w:rsidRDefault="003E5D64" w:rsidP="003E5D64">
      <w:pPr>
        <w:pStyle w:val="ListBullet"/>
        <w:numPr>
          <w:ilvl w:val="0"/>
          <w:numId w:val="0"/>
        </w:numPr>
        <w:pBdr>
          <w:bottom w:val="single" w:sz="12" w:space="1" w:color="auto"/>
        </w:pBdr>
        <w:rPr>
          <w:lang w:val="en-US"/>
        </w:rPr>
      </w:pPr>
    </w:p>
    <w:p w:rsidR="006D2521" w:rsidRPr="005356FE" w:rsidRDefault="006D2521" w:rsidP="00CB0A0E">
      <w:pPr>
        <w:pStyle w:val="Heading3"/>
        <w:rPr>
          <w:lang w:val="en-US"/>
        </w:rPr>
      </w:pPr>
      <w:bookmarkStart w:id="85" w:name="_Toc259911073"/>
      <w:r w:rsidRPr="005356FE">
        <w:rPr>
          <w:highlight w:val="yellow"/>
          <w:lang w:val="en-US"/>
        </w:rPr>
        <w:t>VANE v LORD BARNARD (1716)</w:t>
      </w:r>
      <w:r w:rsidR="00CB0A0E">
        <w:rPr>
          <w:lang w:val="en-US"/>
        </w:rPr>
        <w:t xml:space="preserve">: </w:t>
      </w:r>
      <w:r w:rsidR="00CB0A0E" w:rsidRPr="00CB0A0E">
        <w:rPr>
          <w:b w:val="0"/>
          <w:lang w:val="en-US"/>
        </w:rPr>
        <w:t>Don’t commit equitable waste</w:t>
      </w:r>
      <w:bookmarkEnd w:id="85"/>
    </w:p>
    <w:p w:rsidR="006D2521" w:rsidRDefault="006D2521" w:rsidP="003E5D64">
      <w:pPr>
        <w:pStyle w:val="ListBullet"/>
        <w:numPr>
          <w:ilvl w:val="0"/>
          <w:numId w:val="0"/>
        </w:numPr>
        <w:rPr>
          <w:lang w:val="en-US"/>
        </w:rPr>
      </w:pPr>
    </w:p>
    <w:p w:rsidR="006D2521" w:rsidRDefault="006D2521" w:rsidP="003E5D64">
      <w:pPr>
        <w:pStyle w:val="ListBullet"/>
        <w:numPr>
          <w:ilvl w:val="0"/>
          <w:numId w:val="0"/>
        </w:numPr>
        <w:rPr>
          <w:lang w:val="en-US"/>
        </w:rPr>
      </w:pPr>
      <w:r>
        <w:rPr>
          <w:lang w:val="en-US"/>
        </w:rPr>
        <w:t>FACTS:</w:t>
      </w:r>
    </w:p>
    <w:p w:rsidR="006D2521" w:rsidRDefault="006D2521" w:rsidP="003E5D64">
      <w:pPr>
        <w:pStyle w:val="ListBullet"/>
        <w:numPr>
          <w:ilvl w:val="0"/>
          <w:numId w:val="0"/>
        </w:numPr>
        <w:rPr>
          <w:lang w:val="en-US"/>
        </w:rPr>
      </w:pPr>
    </w:p>
    <w:p w:rsidR="006D2521" w:rsidRDefault="006D2521" w:rsidP="003E5D64">
      <w:pPr>
        <w:pStyle w:val="ListBullet"/>
        <w:numPr>
          <w:ilvl w:val="0"/>
          <w:numId w:val="0"/>
        </w:numPr>
        <w:rPr>
          <w:lang w:val="en-US"/>
        </w:rPr>
      </w:pPr>
      <w:r>
        <w:rPr>
          <w:lang w:val="en-US"/>
        </w:rPr>
        <w:t>Defendant created a life estate in Rudy Castle for himself with the remainder passing to his eldest son. After taking “some displeasure” in his son he got two hundred workmen together and stripped the castle of all the lead, iron, glass-doors and boards completely wrecking the place.</w:t>
      </w:r>
    </w:p>
    <w:p w:rsidR="006D2521" w:rsidRDefault="006D2521" w:rsidP="003E5D64">
      <w:pPr>
        <w:pStyle w:val="ListBullet"/>
        <w:numPr>
          <w:ilvl w:val="0"/>
          <w:numId w:val="0"/>
        </w:numPr>
        <w:rPr>
          <w:lang w:val="en-US"/>
        </w:rPr>
      </w:pPr>
    </w:p>
    <w:p w:rsidR="006D2521" w:rsidRDefault="006D2521" w:rsidP="003E5D64">
      <w:pPr>
        <w:pStyle w:val="ListBullet"/>
        <w:numPr>
          <w:ilvl w:val="0"/>
          <w:numId w:val="0"/>
        </w:numPr>
        <w:rPr>
          <w:lang w:val="en-US"/>
        </w:rPr>
      </w:pPr>
      <w:r>
        <w:rPr>
          <w:lang w:val="en-US"/>
        </w:rPr>
        <w:t>HELD:</w:t>
      </w:r>
    </w:p>
    <w:p w:rsidR="006D2521" w:rsidRDefault="006D2521" w:rsidP="003E5D64">
      <w:pPr>
        <w:pStyle w:val="ListBullet"/>
        <w:numPr>
          <w:ilvl w:val="0"/>
          <w:numId w:val="0"/>
        </w:numPr>
        <w:rPr>
          <w:lang w:val="en-US"/>
        </w:rPr>
      </w:pPr>
    </w:p>
    <w:p w:rsidR="006D2521" w:rsidRDefault="006D2521" w:rsidP="003E5D64">
      <w:pPr>
        <w:pStyle w:val="ListBullet"/>
        <w:numPr>
          <w:ilvl w:val="0"/>
          <w:numId w:val="0"/>
        </w:numPr>
        <w:rPr>
          <w:lang w:val="en-US"/>
        </w:rPr>
      </w:pPr>
      <w:r>
        <w:rPr>
          <w:lang w:val="en-US"/>
        </w:rPr>
        <w:t>Court ordered an injunction to stop the waste, and also an injunction to repair the castle.</w:t>
      </w:r>
    </w:p>
    <w:p w:rsidR="006D2521" w:rsidRDefault="006D2521" w:rsidP="003E5D64">
      <w:pPr>
        <w:pStyle w:val="ListBullet"/>
        <w:numPr>
          <w:ilvl w:val="0"/>
          <w:numId w:val="0"/>
        </w:numPr>
        <w:rPr>
          <w:lang w:val="en-US"/>
        </w:rPr>
      </w:pPr>
    </w:p>
    <w:p w:rsidR="006D2521" w:rsidRDefault="006D2521" w:rsidP="003E5D64">
      <w:pPr>
        <w:pStyle w:val="ListBullet"/>
        <w:numPr>
          <w:ilvl w:val="0"/>
          <w:numId w:val="0"/>
        </w:numPr>
        <w:rPr>
          <w:lang w:val="en-US"/>
        </w:rPr>
      </w:pPr>
      <w:r>
        <w:rPr>
          <w:lang w:val="en-US"/>
        </w:rPr>
        <w:t>RATIO:</w:t>
      </w:r>
    </w:p>
    <w:p w:rsidR="006D2521" w:rsidRDefault="006D2521" w:rsidP="003E5D64">
      <w:pPr>
        <w:pStyle w:val="ListBullet"/>
        <w:numPr>
          <w:ilvl w:val="0"/>
          <w:numId w:val="0"/>
        </w:numPr>
        <w:rPr>
          <w:lang w:val="en-US"/>
        </w:rPr>
      </w:pPr>
    </w:p>
    <w:p w:rsidR="006D2521" w:rsidRDefault="006D2521" w:rsidP="003E5D64">
      <w:pPr>
        <w:pStyle w:val="ListBullet"/>
        <w:numPr>
          <w:ilvl w:val="0"/>
          <w:numId w:val="0"/>
        </w:numPr>
        <w:rPr>
          <w:lang w:val="en-US"/>
        </w:rPr>
      </w:pPr>
      <w:r>
        <w:rPr>
          <w:lang w:val="en-US"/>
        </w:rPr>
        <w:t>Don’t commit equitable waste.</w:t>
      </w:r>
    </w:p>
    <w:p w:rsidR="006D2521" w:rsidRDefault="006D2521" w:rsidP="003E5D64">
      <w:pPr>
        <w:pStyle w:val="ListBullet"/>
        <w:numPr>
          <w:ilvl w:val="0"/>
          <w:numId w:val="0"/>
        </w:numPr>
        <w:pBdr>
          <w:bottom w:val="single" w:sz="12" w:space="1" w:color="auto"/>
        </w:pBdr>
        <w:rPr>
          <w:lang w:val="en-US"/>
        </w:rPr>
      </w:pPr>
    </w:p>
    <w:p w:rsidR="006D2521" w:rsidRDefault="006D2521" w:rsidP="003E5D64">
      <w:pPr>
        <w:pStyle w:val="ListBullet"/>
        <w:numPr>
          <w:ilvl w:val="0"/>
          <w:numId w:val="0"/>
        </w:numPr>
        <w:rPr>
          <w:lang w:val="en-US"/>
        </w:rPr>
      </w:pPr>
    </w:p>
    <w:p w:rsidR="006D2521" w:rsidRDefault="006D2521" w:rsidP="003A60FA">
      <w:pPr>
        <w:pStyle w:val="ListBullet"/>
        <w:numPr>
          <w:ilvl w:val="0"/>
          <w:numId w:val="45"/>
        </w:numPr>
        <w:pBdr>
          <w:bottom w:val="single" w:sz="12" w:space="1" w:color="auto"/>
        </w:pBdr>
        <w:ind w:left="0" w:firstLine="0"/>
        <w:rPr>
          <w:lang w:val="en-US"/>
        </w:rPr>
      </w:pPr>
      <w:r>
        <w:rPr>
          <w:lang w:val="en-US"/>
        </w:rPr>
        <w:t>Liability for Taxes, Insurance, etc.</w:t>
      </w:r>
    </w:p>
    <w:p w:rsidR="006D2521" w:rsidRPr="005356FE" w:rsidRDefault="006D2521" w:rsidP="00280899">
      <w:pPr>
        <w:pStyle w:val="Heading3"/>
        <w:rPr>
          <w:lang w:val="en-US"/>
        </w:rPr>
      </w:pPr>
      <w:bookmarkStart w:id="86" w:name="_Toc259911074"/>
      <w:r w:rsidRPr="005356FE">
        <w:rPr>
          <w:highlight w:val="yellow"/>
          <w:lang w:val="en-US"/>
        </w:rPr>
        <w:t>MAYO v LEITOVSKI</w:t>
      </w:r>
      <w:r w:rsidRPr="005356FE">
        <w:rPr>
          <w:lang w:val="en-US"/>
        </w:rPr>
        <w:t xml:space="preserve"> </w:t>
      </w:r>
      <w:r w:rsidR="00280899">
        <w:rPr>
          <w:lang w:val="en-US"/>
        </w:rPr>
        <w:t xml:space="preserve">– </w:t>
      </w:r>
      <w:r w:rsidR="00280899" w:rsidRPr="00280899">
        <w:rPr>
          <w:b w:val="0"/>
          <w:lang w:val="en-US"/>
        </w:rPr>
        <w:t>equity looks on that as done which ought to have been done, equity imputes an intention to fulfil a legal obligation</w:t>
      </w:r>
      <w:r w:rsidR="00280899">
        <w:rPr>
          <w:b w:val="0"/>
          <w:lang w:val="en-US"/>
        </w:rPr>
        <w:t>, LT must pay taxes on land and cannot use tax sale to extinguish remainder’s rights</w:t>
      </w:r>
      <w:bookmarkEnd w:id="86"/>
    </w:p>
    <w:p w:rsidR="006D2521" w:rsidRDefault="006D2521" w:rsidP="006D2521">
      <w:pPr>
        <w:pStyle w:val="ListBullet"/>
        <w:numPr>
          <w:ilvl w:val="0"/>
          <w:numId w:val="0"/>
        </w:numPr>
        <w:ind w:left="360" w:hanging="360"/>
        <w:rPr>
          <w:lang w:val="en-US"/>
        </w:rPr>
      </w:pPr>
    </w:p>
    <w:p w:rsidR="005356FE" w:rsidRDefault="005356FE" w:rsidP="006D2521">
      <w:pPr>
        <w:pStyle w:val="ListBullet"/>
        <w:numPr>
          <w:ilvl w:val="0"/>
          <w:numId w:val="0"/>
        </w:numPr>
        <w:ind w:left="360" w:hanging="360"/>
        <w:rPr>
          <w:lang w:val="en-US"/>
        </w:rPr>
      </w:pPr>
      <w:r>
        <w:rPr>
          <w:lang w:val="en-US"/>
        </w:rPr>
        <w:t>FACTS:</w:t>
      </w:r>
    </w:p>
    <w:p w:rsidR="005356FE" w:rsidRDefault="005356FE" w:rsidP="006D2521">
      <w:pPr>
        <w:pStyle w:val="ListBullet"/>
        <w:numPr>
          <w:ilvl w:val="0"/>
          <w:numId w:val="0"/>
        </w:numPr>
        <w:ind w:left="360" w:hanging="360"/>
        <w:rPr>
          <w:lang w:val="en-US"/>
        </w:rPr>
      </w:pPr>
    </w:p>
    <w:p w:rsidR="00743423" w:rsidRDefault="00743423" w:rsidP="00743423">
      <w:pPr>
        <w:pStyle w:val="ListBullet"/>
        <w:numPr>
          <w:ilvl w:val="0"/>
          <w:numId w:val="0"/>
        </w:numPr>
        <w:rPr>
          <w:lang w:val="en-US"/>
        </w:rPr>
      </w:pPr>
      <w:r>
        <w:rPr>
          <w:lang w:val="en-US"/>
        </w:rPr>
        <w:t>Leitovski left life estate to his parents. They all lived on a farm together. His dad died, his mom inherited the life estate. Then, he left the farm and subsequently transferred his title, subject to his parents life estate, to Mayo.</w:t>
      </w:r>
    </w:p>
    <w:p w:rsidR="00743423" w:rsidRDefault="00743423" w:rsidP="00743423">
      <w:pPr>
        <w:pStyle w:val="ListBullet"/>
        <w:numPr>
          <w:ilvl w:val="0"/>
          <w:numId w:val="0"/>
        </w:numPr>
        <w:rPr>
          <w:lang w:val="en-US"/>
        </w:rPr>
      </w:pPr>
    </w:p>
    <w:p w:rsidR="00743423" w:rsidRDefault="00743423" w:rsidP="00743423">
      <w:pPr>
        <w:pStyle w:val="ListBullet"/>
        <w:numPr>
          <w:ilvl w:val="0"/>
          <w:numId w:val="0"/>
        </w:numPr>
        <w:rPr>
          <w:lang w:val="en-US"/>
        </w:rPr>
      </w:pPr>
      <w:r>
        <w:rPr>
          <w:lang w:val="en-US"/>
        </w:rPr>
        <w:t>His parents did not and could not pay taxes, so the house was foreclosed and put up in a tax-sale. The widow Leitovski’s daughter Mrs. Faust bought the house from the tax sale. She subsequently transferred the title to her mom and her mom applied to have it registered as a fee simple, thereby extinguishing the remainderman’s interest.</w:t>
      </w:r>
    </w:p>
    <w:p w:rsidR="00743423" w:rsidRDefault="00743423" w:rsidP="00743423">
      <w:pPr>
        <w:pStyle w:val="ListBullet"/>
        <w:numPr>
          <w:ilvl w:val="0"/>
          <w:numId w:val="0"/>
        </w:numPr>
        <w:rPr>
          <w:lang w:val="en-US"/>
        </w:rPr>
      </w:pPr>
    </w:p>
    <w:p w:rsidR="00743423" w:rsidRDefault="00743423" w:rsidP="00743423">
      <w:pPr>
        <w:pStyle w:val="ListBullet"/>
        <w:numPr>
          <w:ilvl w:val="0"/>
          <w:numId w:val="0"/>
        </w:numPr>
        <w:rPr>
          <w:lang w:val="en-US"/>
        </w:rPr>
      </w:pPr>
      <w:r>
        <w:rPr>
          <w:lang w:val="en-US"/>
        </w:rPr>
        <w:t>HELD:</w:t>
      </w:r>
    </w:p>
    <w:p w:rsidR="00743423" w:rsidRDefault="00743423" w:rsidP="00743423">
      <w:pPr>
        <w:pStyle w:val="ListBullet"/>
        <w:numPr>
          <w:ilvl w:val="0"/>
          <w:numId w:val="0"/>
        </w:numPr>
        <w:rPr>
          <w:lang w:val="en-US"/>
        </w:rPr>
      </w:pPr>
    </w:p>
    <w:p w:rsidR="00743423" w:rsidRDefault="00743423" w:rsidP="00743423">
      <w:pPr>
        <w:pStyle w:val="ListBullet"/>
        <w:numPr>
          <w:ilvl w:val="0"/>
          <w:numId w:val="0"/>
        </w:numPr>
        <w:rPr>
          <w:lang w:val="en-US"/>
        </w:rPr>
      </w:pPr>
      <w:r>
        <w:rPr>
          <w:lang w:val="en-US"/>
        </w:rPr>
        <w:t>The remainderman’s future interest is restored, and the title will pass to him upon the defendant’s death.</w:t>
      </w:r>
    </w:p>
    <w:p w:rsidR="00743423" w:rsidRDefault="00743423" w:rsidP="00743423">
      <w:pPr>
        <w:pStyle w:val="ListBullet"/>
        <w:numPr>
          <w:ilvl w:val="0"/>
          <w:numId w:val="0"/>
        </w:numPr>
        <w:rPr>
          <w:lang w:val="en-US"/>
        </w:rPr>
      </w:pPr>
    </w:p>
    <w:p w:rsidR="00743423" w:rsidRDefault="00743423" w:rsidP="00743423">
      <w:pPr>
        <w:pStyle w:val="ListBullet"/>
        <w:numPr>
          <w:ilvl w:val="0"/>
          <w:numId w:val="0"/>
        </w:numPr>
        <w:rPr>
          <w:lang w:val="en-US"/>
        </w:rPr>
      </w:pPr>
      <w:r>
        <w:rPr>
          <w:lang w:val="en-US"/>
        </w:rPr>
        <w:t>RATIO:</w:t>
      </w:r>
    </w:p>
    <w:p w:rsidR="00743423" w:rsidRDefault="00743423" w:rsidP="00743423">
      <w:pPr>
        <w:pStyle w:val="ListBullet"/>
        <w:numPr>
          <w:ilvl w:val="0"/>
          <w:numId w:val="0"/>
        </w:numPr>
        <w:rPr>
          <w:lang w:val="en-US"/>
        </w:rPr>
      </w:pPr>
    </w:p>
    <w:p w:rsidR="00743423" w:rsidRDefault="00743423" w:rsidP="00743423">
      <w:pPr>
        <w:pStyle w:val="ListBullet"/>
        <w:numPr>
          <w:ilvl w:val="0"/>
          <w:numId w:val="0"/>
        </w:numPr>
        <w:rPr>
          <w:lang w:val="en-US"/>
        </w:rPr>
      </w:pPr>
      <w:r>
        <w:rPr>
          <w:lang w:val="en-US"/>
        </w:rPr>
        <w:t xml:space="preserve">The life tenant can do nothing during the continuance of his estate to impair the estate in remainder, and on the other hand the remainderman can not do any act which will affect the life estate. </w:t>
      </w:r>
    </w:p>
    <w:p w:rsidR="00743423" w:rsidRDefault="00743423" w:rsidP="00743423">
      <w:pPr>
        <w:pStyle w:val="ListBullet"/>
        <w:numPr>
          <w:ilvl w:val="0"/>
          <w:numId w:val="0"/>
        </w:numPr>
        <w:rPr>
          <w:lang w:val="en-US"/>
        </w:rPr>
      </w:pPr>
    </w:p>
    <w:p w:rsidR="00743423" w:rsidRDefault="00743423" w:rsidP="00743423">
      <w:pPr>
        <w:pStyle w:val="ListBullet"/>
        <w:numPr>
          <w:ilvl w:val="0"/>
          <w:numId w:val="0"/>
        </w:numPr>
        <w:rPr>
          <w:lang w:val="en-US"/>
        </w:rPr>
      </w:pPr>
      <w:r>
        <w:rPr>
          <w:lang w:val="en-US"/>
        </w:rPr>
        <w:t>A life tenant is obliged to pay taxes on the property, and has a fiduciary duty to the remainderman to preserve the property as is.</w:t>
      </w:r>
    </w:p>
    <w:p w:rsidR="00743423" w:rsidRDefault="00743423" w:rsidP="00743423">
      <w:pPr>
        <w:pStyle w:val="ListBullet"/>
        <w:numPr>
          <w:ilvl w:val="0"/>
          <w:numId w:val="0"/>
        </w:numPr>
        <w:rPr>
          <w:lang w:val="en-US"/>
        </w:rPr>
      </w:pPr>
    </w:p>
    <w:p w:rsidR="00743423" w:rsidRDefault="00743423" w:rsidP="00743423">
      <w:pPr>
        <w:pStyle w:val="ListBullet"/>
        <w:numPr>
          <w:ilvl w:val="0"/>
          <w:numId w:val="0"/>
        </w:numPr>
        <w:rPr>
          <w:lang w:val="en-US"/>
        </w:rPr>
      </w:pPr>
      <w:r>
        <w:rPr>
          <w:lang w:val="en-US"/>
        </w:rPr>
        <w:t>A life tenant cannot screw the remainderman out of their interest by purchasing the property in a tax-sale or being benefitted by such a purchase.</w:t>
      </w:r>
    </w:p>
    <w:p w:rsidR="00743423" w:rsidRDefault="00743423" w:rsidP="00743423">
      <w:pPr>
        <w:pStyle w:val="ListBullet"/>
        <w:numPr>
          <w:ilvl w:val="0"/>
          <w:numId w:val="0"/>
        </w:numPr>
        <w:rPr>
          <w:lang w:val="en-US"/>
        </w:rPr>
      </w:pPr>
    </w:p>
    <w:p w:rsidR="00743423" w:rsidRDefault="00743423" w:rsidP="00743423">
      <w:pPr>
        <w:pStyle w:val="ListBullet"/>
        <w:numPr>
          <w:ilvl w:val="0"/>
          <w:numId w:val="0"/>
        </w:numPr>
        <w:rPr>
          <w:lang w:val="en-US"/>
        </w:rPr>
      </w:pPr>
      <w:r>
        <w:rPr>
          <w:lang w:val="en-US"/>
        </w:rPr>
        <w:t>Equity looks on that as done which ought to have been done.</w:t>
      </w:r>
    </w:p>
    <w:p w:rsidR="00743423" w:rsidRDefault="00743423" w:rsidP="00743423">
      <w:pPr>
        <w:pStyle w:val="ListBullet"/>
        <w:numPr>
          <w:ilvl w:val="0"/>
          <w:numId w:val="0"/>
        </w:numPr>
        <w:rPr>
          <w:lang w:val="en-US"/>
        </w:rPr>
      </w:pPr>
    </w:p>
    <w:p w:rsidR="00743423" w:rsidRDefault="00743423" w:rsidP="00743423">
      <w:pPr>
        <w:pStyle w:val="ListBullet"/>
        <w:numPr>
          <w:ilvl w:val="0"/>
          <w:numId w:val="0"/>
        </w:numPr>
        <w:rPr>
          <w:lang w:val="en-US"/>
        </w:rPr>
      </w:pPr>
      <w:r>
        <w:rPr>
          <w:lang w:val="en-US"/>
        </w:rPr>
        <w:t>Equity imputes an intention to fulfil an obligation.</w:t>
      </w:r>
    </w:p>
    <w:p w:rsidR="00743423" w:rsidRDefault="00743423" w:rsidP="00743423">
      <w:pPr>
        <w:pStyle w:val="ListBullet"/>
        <w:numPr>
          <w:ilvl w:val="0"/>
          <w:numId w:val="0"/>
        </w:numPr>
        <w:rPr>
          <w:lang w:val="en-US"/>
        </w:rPr>
      </w:pPr>
    </w:p>
    <w:p w:rsidR="00743423" w:rsidRDefault="00743423" w:rsidP="00743423">
      <w:pPr>
        <w:pStyle w:val="ListBullet"/>
        <w:numPr>
          <w:ilvl w:val="0"/>
          <w:numId w:val="0"/>
        </w:numPr>
        <w:rPr>
          <w:lang w:val="en-US"/>
        </w:rPr>
      </w:pPr>
      <w:r>
        <w:rPr>
          <w:lang w:val="en-US"/>
        </w:rPr>
        <w:t>A mortgagee can be a tax sale purchaser, but must not use his position as mortgagee to acquire tax title to mortgaged lands.</w:t>
      </w:r>
    </w:p>
    <w:p w:rsidR="00743423" w:rsidRDefault="00743423" w:rsidP="00743423">
      <w:pPr>
        <w:pStyle w:val="ListBullet"/>
        <w:numPr>
          <w:ilvl w:val="0"/>
          <w:numId w:val="0"/>
        </w:numPr>
        <w:pBdr>
          <w:bottom w:val="single" w:sz="12" w:space="1" w:color="auto"/>
        </w:pBdr>
        <w:rPr>
          <w:lang w:val="en-US"/>
        </w:rPr>
      </w:pPr>
    </w:p>
    <w:p w:rsidR="00743423" w:rsidRDefault="00743423" w:rsidP="00743423">
      <w:pPr>
        <w:pStyle w:val="ListBullet"/>
        <w:numPr>
          <w:ilvl w:val="0"/>
          <w:numId w:val="0"/>
        </w:numPr>
        <w:rPr>
          <w:lang w:val="en-US"/>
        </w:rPr>
      </w:pPr>
    </w:p>
    <w:p w:rsidR="00546823" w:rsidRPr="00863300" w:rsidRDefault="00546823" w:rsidP="002B2A33">
      <w:pPr>
        <w:pStyle w:val="Heading1"/>
        <w:rPr>
          <w:lang w:val="en-US"/>
        </w:rPr>
      </w:pPr>
      <w:bookmarkStart w:id="87" w:name="_Toc259911075"/>
      <w:r w:rsidRPr="00863300">
        <w:rPr>
          <w:highlight w:val="yellow"/>
          <w:lang w:val="en-US"/>
        </w:rPr>
        <w:t>CHAPTER XI: CO-OWNERSHIP – CONCURRENT ESTATES</w:t>
      </w:r>
      <w:bookmarkEnd w:id="87"/>
    </w:p>
    <w:p w:rsidR="00546823" w:rsidRDefault="00546823" w:rsidP="00743423">
      <w:pPr>
        <w:pStyle w:val="ListBullet"/>
        <w:numPr>
          <w:ilvl w:val="0"/>
          <w:numId w:val="0"/>
        </w:numPr>
        <w:rPr>
          <w:lang w:val="en-US"/>
        </w:rPr>
      </w:pPr>
    </w:p>
    <w:p w:rsidR="00863300" w:rsidRDefault="00863300" w:rsidP="00743423">
      <w:pPr>
        <w:pStyle w:val="ListBullet"/>
        <w:numPr>
          <w:ilvl w:val="0"/>
          <w:numId w:val="0"/>
        </w:numPr>
        <w:rPr>
          <w:lang w:val="en-US"/>
        </w:rPr>
      </w:pPr>
      <w:r>
        <w:rPr>
          <w:lang w:val="en-US"/>
        </w:rPr>
        <w:t xml:space="preserve">It is possible for two or more persons to have simultaneous rights to possession of property. When there is this </w:t>
      </w:r>
      <w:r w:rsidRPr="00863300">
        <w:rPr>
          <w:b/>
          <w:color w:val="800000"/>
          <w:lang w:val="en-US"/>
        </w:rPr>
        <w:t>“unity of possession”</w:t>
      </w:r>
      <w:r>
        <w:rPr>
          <w:lang w:val="en-US"/>
        </w:rPr>
        <w:t xml:space="preserve"> the property owners are known as co-owners, and are said to have concurrent interests.</w:t>
      </w:r>
    </w:p>
    <w:p w:rsidR="00863300" w:rsidRDefault="00863300" w:rsidP="00743423">
      <w:pPr>
        <w:pStyle w:val="ListBullet"/>
        <w:numPr>
          <w:ilvl w:val="0"/>
          <w:numId w:val="0"/>
        </w:numPr>
        <w:rPr>
          <w:lang w:val="en-US"/>
        </w:rPr>
      </w:pPr>
    </w:p>
    <w:p w:rsidR="00863300" w:rsidRDefault="00863300" w:rsidP="00743423">
      <w:pPr>
        <w:pStyle w:val="ListBullet"/>
        <w:numPr>
          <w:ilvl w:val="0"/>
          <w:numId w:val="0"/>
        </w:numPr>
        <w:rPr>
          <w:lang w:val="en-US"/>
        </w:rPr>
      </w:pPr>
      <w:r>
        <w:rPr>
          <w:lang w:val="en-US"/>
        </w:rPr>
        <w:t>There are two kinds of co-ownerships remaining:</w:t>
      </w:r>
    </w:p>
    <w:p w:rsidR="00863300" w:rsidRDefault="00863300" w:rsidP="00743423">
      <w:pPr>
        <w:pStyle w:val="ListBullet"/>
        <w:numPr>
          <w:ilvl w:val="0"/>
          <w:numId w:val="0"/>
        </w:numPr>
        <w:rPr>
          <w:lang w:val="en-US"/>
        </w:rPr>
      </w:pPr>
    </w:p>
    <w:p w:rsidR="00863300" w:rsidRDefault="00863300" w:rsidP="00943201">
      <w:pPr>
        <w:pStyle w:val="Heading2"/>
        <w:rPr>
          <w:lang w:val="en-US"/>
        </w:rPr>
      </w:pPr>
      <w:bookmarkStart w:id="88" w:name="_Toc259911076"/>
      <w:r>
        <w:rPr>
          <w:lang w:val="en-US"/>
        </w:rPr>
        <w:t>TENANCY IN COMMON</w:t>
      </w:r>
      <w:bookmarkEnd w:id="88"/>
    </w:p>
    <w:p w:rsidR="00863300" w:rsidRDefault="00863300" w:rsidP="00743423">
      <w:pPr>
        <w:pStyle w:val="ListBullet"/>
        <w:numPr>
          <w:ilvl w:val="0"/>
          <w:numId w:val="0"/>
        </w:numPr>
        <w:rPr>
          <w:lang w:val="en-US"/>
        </w:rPr>
      </w:pPr>
    </w:p>
    <w:p w:rsidR="00863300" w:rsidRDefault="00863300" w:rsidP="00743423">
      <w:pPr>
        <w:pStyle w:val="ListBullet"/>
        <w:numPr>
          <w:ilvl w:val="0"/>
          <w:numId w:val="0"/>
        </w:numPr>
        <w:rPr>
          <w:lang w:val="en-US"/>
        </w:rPr>
      </w:pPr>
      <w:r>
        <w:rPr>
          <w:lang w:val="en-US"/>
        </w:rPr>
        <w:t xml:space="preserve">When two or more people, by virtue of the interests they own, are </w:t>
      </w:r>
      <w:r>
        <w:rPr>
          <w:b/>
          <w:lang w:val="en-US"/>
        </w:rPr>
        <w:t>simultaneously entitle to possession of property</w:t>
      </w:r>
      <w:r>
        <w:rPr>
          <w:lang w:val="en-US"/>
        </w:rPr>
        <w:t>.</w:t>
      </w:r>
      <w:r w:rsidR="00B64C39">
        <w:rPr>
          <w:lang w:val="en-US"/>
        </w:rPr>
        <w:t xml:space="preserve"> They can have different shares of the property (60/40, 70/30).</w:t>
      </w:r>
    </w:p>
    <w:p w:rsidR="00863300" w:rsidRDefault="00863300" w:rsidP="00743423">
      <w:pPr>
        <w:pStyle w:val="ListBullet"/>
        <w:numPr>
          <w:ilvl w:val="0"/>
          <w:numId w:val="0"/>
        </w:numPr>
        <w:rPr>
          <w:lang w:val="en-US"/>
        </w:rPr>
      </w:pPr>
    </w:p>
    <w:p w:rsidR="00863300" w:rsidRDefault="00863300" w:rsidP="00743423">
      <w:pPr>
        <w:pStyle w:val="ListBullet"/>
        <w:numPr>
          <w:ilvl w:val="0"/>
          <w:numId w:val="0"/>
        </w:numPr>
        <w:rPr>
          <w:b/>
          <w:lang w:val="en-US"/>
        </w:rPr>
      </w:pPr>
      <w:r>
        <w:rPr>
          <w:lang w:val="en-US"/>
        </w:rPr>
        <w:t xml:space="preserve">Their </w:t>
      </w:r>
      <w:r w:rsidRPr="00863300">
        <w:rPr>
          <w:b/>
          <w:color w:val="800000"/>
          <w:lang w:val="en-US"/>
        </w:rPr>
        <w:t>“unity of possession”</w:t>
      </w:r>
      <w:r>
        <w:rPr>
          <w:lang w:val="en-US"/>
        </w:rPr>
        <w:t xml:space="preserve"> entitles each one in conjunction with the other to possession </w:t>
      </w:r>
      <w:r w:rsidRPr="00863300">
        <w:rPr>
          <w:b/>
          <w:color w:val="800000"/>
          <w:lang w:val="en-US"/>
        </w:rPr>
        <w:t>of each and every part of the property</w:t>
      </w:r>
      <w:r w:rsidRPr="00863300">
        <w:rPr>
          <w:b/>
          <w:lang w:val="en-US"/>
        </w:rPr>
        <w:t xml:space="preserve">. </w:t>
      </w:r>
    </w:p>
    <w:p w:rsidR="00863300" w:rsidRDefault="00863300" w:rsidP="00743423">
      <w:pPr>
        <w:pStyle w:val="ListBullet"/>
        <w:numPr>
          <w:ilvl w:val="0"/>
          <w:numId w:val="0"/>
        </w:numPr>
        <w:rPr>
          <w:b/>
          <w:lang w:val="en-US"/>
        </w:rPr>
      </w:pPr>
    </w:p>
    <w:p w:rsidR="00863300" w:rsidRDefault="00863300" w:rsidP="00743423">
      <w:pPr>
        <w:pStyle w:val="ListBullet"/>
        <w:numPr>
          <w:ilvl w:val="0"/>
          <w:numId w:val="0"/>
        </w:numPr>
        <w:rPr>
          <w:lang w:val="en-US"/>
        </w:rPr>
      </w:pPr>
      <w:r>
        <w:rPr>
          <w:lang w:val="en-US"/>
        </w:rPr>
        <w:t>Tenants in common are treated in the same way as single owners, and on death their interest in the tenancy in common passes by will or on intestacy in the same way as any other real property. Same with inter vivos transfers.</w:t>
      </w:r>
    </w:p>
    <w:p w:rsidR="00863300" w:rsidRDefault="00863300" w:rsidP="00743423">
      <w:pPr>
        <w:pStyle w:val="ListBullet"/>
        <w:numPr>
          <w:ilvl w:val="0"/>
          <w:numId w:val="0"/>
        </w:numPr>
        <w:rPr>
          <w:lang w:val="en-US"/>
        </w:rPr>
      </w:pPr>
    </w:p>
    <w:p w:rsidR="00863300" w:rsidRDefault="00863300" w:rsidP="00943201">
      <w:pPr>
        <w:pStyle w:val="Heading2"/>
        <w:rPr>
          <w:lang w:val="en-US"/>
        </w:rPr>
      </w:pPr>
      <w:bookmarkStart w:id="89" w:name="_Toc259911077"/>
      <w:r>
        <w:rPr>
          <w:lang w:val="en-US"/>
        </w:rPr>
        <w:t>JOINT TENANCY</w:t>
      </w:r>
      <w:bookmarkEnd w:id="89"/>
    </w:p>
    <w:p w:rsidR="00863300" w:rsidRDefault="00863300" w:rsidP="00743423">
      <w:pPr>
        <w:pStyle w:val="ListBullet"/>
        <w:numPr>
          <w:ilvl w:val="0"/>
          <w:numId w:val="0"/>
        </w:numPr>
        <w:rPr>
          <w:lang w:val="en-US"/>
        </w:rPr>
      </w:pPr>
    </w:p>
    <w:p w:rsidR="00B64C39" w:rsidRDefault="00B64C39" w:rsidP="00743423">
      <w:pPr>
        <w:pStyle w:val="ListBullet"/>
        <w:numPr>
          <w:ilvl w:val="0"/>
          <w:numId w:val="0"/>
        </w:numPr>
        <w:rPr>
          <w:lang w:val="en-US"/>
        </w:rPr>
      </w:pPr>
      <w:r>
        <w:rPr>
          <w:lang w:val="en-US"/>
        </w:rPr>
        <w:t>Two essential elements:</w:t>
      </w:r>
    </w:p>
    <w:p w:rsidR="00B64C39" w:rsidRDefault="00B64C39" w:rsidP="00743423">
      <w:pPr>
        <w:pStyle w:val="ListBullet"/>
        <w:numPr>
          <w:ilvl w:val="0"/>
          <w:numId w:val="0"/>
        </w:numPr>
        <w:rPr>
          <w:lang w:val="en-US"/>
        </w:rPr>
      </w:pPr>
    </w:p>
    <w:p w:rsidR="00B64C39" w:rsidRPr="00B64C39" w:rsidRDefault="00B64C39" w:rsidP="00B64C39">
      <w:pPr>
        <w:pStyle w:val="ListBullet"/>
        <w:numPr>
          <w:ilvl w:val="0"/>
          <w:numId w:val="47"/>
        </w:numPr>
        <w:rPr>
          <w:u w:val="single"/>
          <w:lang w:val="en-US"/>
        </w:rPr>
      </w:pPr>
      <w:r w:rsidRPr="00B64C39">
        <w:rPr>
          <w:u w:val="single"/>
          <w:lang w:val="en-US"/>
        </w:rPr>
        <w:t>Right of survivorship (</w:t>
      </w:r>
      <w:r w:rsidRPr="00B64C39">
        <w:rPr>
          <w:i/>
          <w:u w:val="single"/>
          <w:lang w:val="en-US"/>
        </w:rPr>
        <w:t>jus accrescendi</w:t>
      </w:r>
      <w:r w:rsidRPr="00B64C39">
        <w:rPr>
          <w:u w:val="single"/>
          <w:lang w:val="en-US"/>
        </w:rPr>
        <w:t>)</w:t>
      </w:r>
    </w:p>
    <w:p w:rsidR="00B64C39" w:rsidRDefault="00B64C39" w:rsidP="00B64C39">
      <w:pPr>
        <w:pStyle w:val="ListBullet"/>
        <w:numPr>
          <w:ilvl w:val="0"/>
          <w:numId w:val="0"/>
        </w:numPr>
        <w:ind w:left="360" w:hanging="360"/>
        <w:rPr>
          <w:lang w:val="en-US"/>
        </w:rPr>
      </w:pPr>
    </w:p>
    <w:p w:rsidR="00B64C39" w:rsidRPr="00B64C39" w:rsidRDefault="00B64C39" w:rsidP="00B64C39">
      <w:pPr>
        <w:pStyle w:val="ListBullet"/>
        <w:numPr>
          <w:ilvl w:val="0"/>
          <w:numId w:val="0"/>
        </w:numPr>
        <w:ind w:left="360" w:hanging="360"/>
        <w:rPr>
          <w:b/>
          <w:color w:val="800000"/>
          <w:lang w:val="en-US"/>
        </w:rPr>
      </w:pPr>
      <w:r>
        <w:rPr>
          <w:lang w:val="en-US"/>
        </w:rPr>
        <w:t xml:space="preserve">The right of survivorship provides that upon death of one joint tenant the other joint tenant takes on </w:t>
      </w:r>
      <w:r w:rsidRPr="00B64C39">
        <w:rPr>
          <w:b/>
          <w:color w:val="800000"/>
          <w:lang w:val="en-US"/>
        </w:rPr>
        <w:t>full and absolute</w:t>
      </w:r>
    </w:p>
    <w:p w:rsidR="00B64C39" w:rsidRDefault="00B64C39" w:rsidP="00B64C39">
      <w:pPr>
        <w:pStyle w:val="ListBullet"/>
        <w:numPr>
          <w:ilvl w:val="0"/>
          <w:numId w:val="0"/>
        </w:numPr>
        <w:ind w:left="360" w:hanging="360"/>
        <w:rPr>
          <w:lang w:val="en-US"/>
        </w:rPr>
      </w:pPr>
      <w:r w:rsidRPr="00B64C39">
        <w:rPr>
          <w:b/>
          <w:color w:val="800000"/>
          <w:lang w:val="en-US"/>
        </w:rPr>
        <w:t>ownership</w:t>
      </w:r>
      <w:r>
        <w:rPr>
          <w:lang w:val="en-US"/>
        </w:rPr>
        <w:t xml:space="preserve"> of the fee simple.</w:t>
      </w:r>
    </w:p>
    <w:p w:rsidR="00B64C39" w:rsidRDefault="00B64C39" w:rsidP="00B64C39">
      <w:pPr>
        <w:pStyle w:val="ListBullet"/>
        <w:numPr>
          <w:ilvl w:val="0"/>
          <w:numId w:val="0"/>
        </w:numPr>
        <w:ind w:left="360" w:hanging="360"/>
        <w:rPr>
          <w:lang w:val="en-US"/>
        </w:rPr>
      </w:pPr>
    </w:p>
    <w:p w:rsidR="00B64C39" w:rsidRPr="00B64C39" w:rsidRDefault="00B64C39" w:rsidP="00B64C39">
      <w:pPr>
        <w:pStyle w:val="ListBullet"/>
        <w:numPr>
          <w:ilvl w:val="0"/>
          <w:numId w:val="0"/>
        </w:numPr>
        <w:ind w:left="360" w:hanging="360"/>
        <w:rPr>
          <w:b/>
          <w:color w:val="800000"/>
          <w:lang w:val="en-US"/>
        </w:rPr>
      </w:pPr>
      <w:r>
        <w:rPr>
          <w:lang w:val="en-US"/>
        </w:rPr>
        <w:t xml:space="preserve">However, either tenant may act in their lifetime, either jointly or unilaterally, </w:t>
      </w:r>
      <w:r w:rsidRPr="00B64C39">
        <w:rPr>
          <w:b/>
          <w:color w:val="800000"/>
          <w:lang w:val="en-US"/>
        </w:rPr>
        <w:t>to sever the joint tenancy and</w:t>
      </w:r>
    </w:p>
    <w:p w:rsidR="00B64C39" w:rsidRDefault="00B64C39" w:rsidP="00B64C39">
      <w:pPr>
        <w:pStyle w:val="ListBullet"/>
        <w:numPr>
          <w:ilvl w:val="0"/>
          <w:numId w:val="0"/>
        </w:numPr>
        <w:ind w:left="360" w:hanging="360"/>
        <w:rPr>
          <w:b/>
          <w:lang w:val="en-US"/>
        </w:rPr>
      </w:pPr>
      <w:r w:rsidRPr="00B64C39">
        <w:rPr>
          <w:b/>
          <w:color w:val="800000"/>
          <w:lang w:val="en-US"/>
        </w:rPr>
        <w:t>convert it into a tenancy in common</w:t>
      </w:r>
      <w:r>
        <w:rPr>
          <w:b/>
          <w:lang w:val="en-US"/>
        </w:rPr>
        <w:t xml:space="preserve">. </w:t>
      </w:r>
    </w:p>
    <w:p w:rsidR="00B64C39" w:rsidRDefault="00B64C39" w:rsidP="00B64C39">
      <w:pPr>
        <w:pStyle w:val="ListBullet"/>
        <w:numPr>
          <w:ilvl w:val="0"/>
          <w:numId w:val="0"/>
        </w:numPr>
        <w:ind w:left="360" w:hanging="360"/>
        <w:rPr>
          <w:b/>
          <w:lang w:val="en-US"/>
        </w:rPr>
      </w:pPr>
    </w:p>
    <w:p w:rsidR="00B64C39" w:rsidRDefault="00B64C39" w:rsidP="00B64C39">
      <w:pPr>
        <w:pStyle w:val="ListBullet"/>
        <w:numPr>
          <w:ilvl w:val="0"/>
          <w:numId w:val="0"/>
        </w:numPr>
        <w:ind w:left="360" w:hanging="360"/>
        <w:rPr>
          <w:lang w:val="en-US"/>
        </w:rPr>
      </w:pPr>
      <w:r>
        <w:rPr>
          <w:lang w:val="en-US"/>
        </w:rPr>
        <w:t xml:space="preserve">The right of survivorship </w:t>
      </w:r>
      <w:r w:rsidRPr="00B64C39">
        <w:rPr>
          <w:b/>
          <w:color w:val="800000"/>
          <w:lang w:val="en-US"/>
        </w:rPr>
        <w:t>takes priority over the normal rules of descent on death</w:t>
      </w:r>
      <w:r>
        <w:rPr>
          <w:lang w:val="en-US"/>
        </w:rPr>
        <w:t>, and so a joint tenancy</w:t>
      </w:r>
    </w:p>
    <w:p w:rsidR="00B64C39" w:rsidRPr="00B64C39" w:rsidRDefault="00B64C39" w:rsidP="00B64C39">
      <w:pPr>
        <w:pStyle w:val="ListBullet"/>
        <w:numPr>
          <w:ilvl w:val="0"/>
          <w:numId w:val="0"/>
        </w:numPr>
        <w:ind w:left="360" w:hanging="360"/>
        <w:rPr>
          <w:lang w:val="en-US"/>
        </w:rPr>
      </w:pPr>
      <w:r w:rsidRPr="00B64C39">
        <w:rPr>
          <w:b/>
          <w:color w:val="800000"/>
          <w:lang w:val="en-US"/>
        </w:rPr>
        <w:t>cannot be severed by will</w:t>
      </w:r>
      <w:r>
        <w:rPr>
          <w:lang w:val="en-US"/>
        </w:rPr>
        <w:t>.</w:t>
      </w:r>
    </w:p>
    <w:p w:rsidR="00B64C39" w:rsidRDefault="00B64C39" w:rsidP="00B64C39">
      <w:pPr>
        <w:pStyle w:val="ListBullet"/>
        <w:numPr>
          <w:ilvl w:val="0"/>
          <w:numId w:val="0"/>
        </w:numPr>
        <w:ind w:left="360" w:hanging="360"/>
        <w:rPr>
          <w:b/>
          <w:lang w:val="en-US"/>
        </w:rPr>
      </w:pPr>
    </w:p>
    <w:p w:rsidR="00B64C39" w:rsidRPr="00B64C39" w:rsidRDefault="00B64C39" w:rsidP="00B64C39">
      <w:pPr>
        <w:pStyle w:val="ListBullet"/>
        <w:numPr>
          <w:ilvl w:val="0"/>
          <w:numId w:val="47"/>
        </w:numPr>
        <w:rPr>
          <w:u w:val="single"/>
          <w:lang w:val="en-US"/>
        </w:rPr>
      </w:pPr>
      <w:r w:rsidRPr="00B64C39">
        <w:rPr>
          <w:u w:val="single"/>
          <w:lang w:val="en-US"/>
        </w:rPr>
        <w:t>The Three Unities</w:t>
      </w:r>
    </w:p>
    <w:p w:rsidR="00B64C39" w:rsidRDefault="00B64C39" w:rsidP="00B64C39">
      <w:pPr>
        <w:pStyle w:val="ListBullet"/>
        <w:numPr>
          <w:ilvl w:val="0"/>
          <w:numId w:val="0"/>
        </w:numPr>
        <w:ind w:left="360" w:hanging="360"/>
        <w:rPr>
          <w:lang w:val="en-US"/>
        </w:rPr>
      </w:pPr>
    </w:p>
    <w:p w:rsidR="00B64C39" w:rsidRDefault="00B64C39" w:rsidP="00B64C39">
      <w:pPr>
        <w:pStyle w:val="ListBullet"/>
        <w:numPr>
          <w:ilvl w:val="0"/>
          <w:numId w:val="48"/>
        </w:numPr>
        <w:rPr>
          <w:lang w:val="en-US"/>
        </w:rPr>
      </w:pPr>
      <w:r>
        <w:rPr>
          <w:lang w:val="en-US"/>
        </w:rPr>
        <w:t>Unity of Title</w:t>
      </w:r>
    </w:p>
    <w:p w:rsidR="00B64C39" w:rsidRDefault="00B64C39" w:rsidP="00B64C39">
      <w:pPr>
        <w:pStyle w:val="ListBullet"/>
        <w:numPr>
          <w:ilvl w:val="0"/>
          <w:numId w:val="0"/>
        </w:numPr>
        <w:ind w:left="360" w:hanging="360"/>
        <w:rPr>
          <w:lang w:val="en-US"/>
        </w:rPr>
      </w:pPr>
    </w:p>
    <w:p w:rsidR="00B64C39" w:rsidRDefault="00B64C39" w:rsidP="00B64C39">
      <w:pPr>
        <w:pStyle w:val="ListBullet"/>
        <w:numPr>
          <w:ilvl w:val="0"/>
          <w:numId w:val="0"/>
        </w:numPr>
        <w:ind w:left="360" w:hanging="360"/>
        <w:rPr>
          <w:lang w:val="en-US"/>
        </w:rPr>
      </w:pPr>
      <w:r>
        <w:rPr>
          <w:lang w:val="en-US"/>
        </w:rPr>
        <w:t xml:space="preserve">Co-owners must derive their titles from </w:t>
      </w:r>
      <w:r w:rsidRPr="00782DFC">
        <w:rPr>
          <w:color w:val="800000"/>
          <w:lang w:val="en-US"/>
        </w:rPr>
        <w:t>the same instrument</w:t>
      </w:r>
      <w:r>
        <w:rPr>
          <w:lang w:val="en-US"/>
        </w:rPr>
        <w:t xml:space="preserve"> (transfer or will).</w:t>
      </w:r>
    </w:p>
    <w:p w:rsidR="00B64C39" w:rsidRDefault="00B64C39" w:rsidP="00B64C39">
      <w:pPr>
        <w:pStyle w:val="ListBullet"/>
        <w:numPr>
          <w:ilvl w:val="0"/>
          <w:numId w:val="0"/>
        </w:numPr>
        <w:ind w:left="360" w:hanging="360"/>
        <w:rPr>
          <w:lang w:val="en-US"/>
        </w:rPr>
      </w:pPr>
    </w:p>
    <w:p w:rsidR="00B64C39" w:rsidRDefault="00B64C39" w:rsidP="00B64C39">
      <w:pPr>
        <w:pStyle w:val="ListBullet"/>
        <w:numPr>
          <w:ilvl w:val="0"/>
          <w:numId w:val="48"/>
        </w:numPr>
        <w:rPr>
          <w:lang w:val="en-US"/>
        </w:rPr>
      </w:pPr>
      <w:r>
        <w:rPr>
          <w:lang w:val="en-US"/>
        </w:rPr>
        <w:t>Unity of Interest</w:t>
      </w:r>
    </w:p>
    <w:p w:rsidR="00B64C39" w:rsidRDefault="00B64C39" w:rsidP="00B64C39">
      <w:pPr>
        <w:pStyle w:val="ListBullet"/>
        <w:numPr>
          <w:ilvl w:val="0"/>
          <w:numId w:val="0"/>
        </w:numPr>
        <w:ind w:left="360" w:hanging="360"/>
        <w:rPr>
          <w:lang w:val="en-US"/>
        </w:rPr>
      </w:pPr>
    </w:p>
    <w:p w:rsidR="00B64C39" w:rsidRDefault="00B64C39" w:rsidP="00B64C39">
      <w:pPr>
        <w:pStyle w:val="ListBullet"/>
        <w:numPr>
          <w:ilvl w:val="0"/>
          <w:numId w:val="0"/>
        </w:numPr>
        <w:ind w:left="360" w:hanging="360"/>
        <w:rPr>
          <w:lang w:val="en-US"/>
        </w:rPr>
      </w:pPr>
      <w:r>
        <w:rPr>
          <w:lang w:val="en-US"/>
        </w:rPr>
        <w:t xml:space="preserve">The interests of the joint tenants in the property </w:t>
      </w:r>
      <w:r w:rsidRPr="00782DFC">
        <w:rPr>
          <w:color w:val="800000"/>
          <w:lang w:val="en-US"/>
        </w:rPr>
        <w:t>must be the same</w:t>
      </w:r>
      <w:r>
        <w:rPr>
          <w:lang w:val="en-US"/>
        </w:rPr>
        <w:t xml:space="preserve"> (split equally).</w:t>
      </w:r>
    </w:p>
    <w:p w:rsidR="00B64C39" w:rsidRDefault="00B64C39" w:rsidP="00B64C39">
      <w:pPr>
        <w:pStyle w:val="ListBullet"/>
        <w:numPr>
          <w:ilvl w:val="0"/>
          <w:numId w:val="0"/>
        </w:numPr>
        <w:ind w:left="360" w:hanging="360"/>
        <w:rPr>
          <w:lang w:val="en-US"/>
        </w:rPr>
      </w:pPr>
    </w:p>
    <w:p w:rsidR="00B64C39" w:rsidRDefault="00B64C39" w:rsidP="00B64C39">
      <w:pPr>
        <w:pStyle w:val="ListBullet"/>
        <w:numPr>
          <w:ilvl w:val="0"/>
          <w:numId w:val="48"/>
        </w:numPr>
        <w:rPr>
          <w:lang w:val="en-US"/>
        </w:rPr>
      </w:pPr>
      <w:r>
        <w:rPr>
          <w:lang w:val="en-US"/>
        </w:rPr>
        <w:t>Unity of Time</w:t>
      </w:r>
    </w:p>
    <w:p w:rsidR="00B64C39" w:rsidRDefault="00B64C39" w:rsidP="00B64C39">
      <w:pPr>
        <w:pStyle w:val="ListBullet"/>
        <w:numPr>
          <w:ilvl w:val="0"/>
          <w:numId w:val="0"/>
        </w:numPr>
        <w:ind w:left="360" w:hanging="360"/>
        <w:rPr>
          <w:lang w:val="en-US"/>
        </w:rPr>
      </w:pPr>
    </w:p>
    <w:p w:rsidR="00B64C39" w:rsidRDefault="00B64C39" w:rsidP="00B64C39">
      <w:pPr>
        <w:pStyle w:val="ListBullet"/>
        <w:numPr>
          <w:ilvl w:val="0"/>
          <w:numId w:val="0"/>
        </w:numPr>
        <w:ind w:left="360" w:hanging="360"/>
        <w:rPr>
          <w:lang w:val="en-US"/>
        </w:rPr>
      </w:pPr>
      <w:r>
        <w:rPr>
          <w:lang w:val="en-US"/>
        </w:rPr>
        <w:t xml:space="preserve">The interests of the joint tenants must </w:t>
      </w:r>
      <w:r w:rsidRPr="00782DFC">
        <w:rPr>
          <w:color w:val="800000"/>
          <w:lang w:val="en-US"/>
        </w:rPr>
        <w:t>vest simultaneously</w:t>
      </w:r>
      <w:r>
        <w:rPr>
          <w:lang w:val="en-US"/>
        </w:rPr>
        <w:t>.</w:t>
      </w:r>
    </w:p>
    <w:p w:rsidR="00B64C39" w:rsidRDefault="00B64C39" w:rsidP="00B64C39">
      <w:pPr>
        <w:pStyle w:val="ListBullet"/>
        <w:numPr>
          <w:ilvl w:val="0"/>
          <w:numId w:val="0"/>
        </w:numPr>
        <w:ind w:left="360" w:hanging="360"/>
        <w:rPr>
          <w:lang w:val="en-US"/>
        </w:rPr>
      </w:pPr>
    </w:p>
    <w:p w:rsidR="00B64C39" w:rsidRDefault="00B64C39" w:rsidP="00B64C39">
      <w:pPr>
        <w:pStyle w:val="ListBullet"/>
        <w:numPr>
          <w:ilvl w:val="0"/>
          <w:numId w:val="0"/>
        </w:numPr>
        <w:ind w:left="360" w:hanging="360"/>
        <w:rPr>
          <w:lang w:val="en-US"/>
        </w:rPr>
      </w:pPr>
      <w:r>
        <w:rPr>
          <w:lang w:val="en-US"/>
        </w:rPr>
        <w:t>Exception: transfer to uses, gift by will.</w:t>
      </w:r>
    </w:p>
    <w:p w:rsidR="00B64C39" w:rsidRDefault="00B64C39" w:rsidP="00B64C39">
      <w:pPr>
        <w:pStyle w:val="ListBullet"/>
        <w:numPr>
          <w:ilvl w:val="0"/>
          <w:numId w:val="0"/>
        </w:numPr>
        <w:ind w:left="360" w:hanging="360"/>
        <w:rPr>
          <w:lang w:val="en-US"/>
        </w:rPr>
      </w:pPr>
    </w:p>
    <w:p w:rsidR="001B125D" w:rsidRDefault="001B125D" w:rsidP="00943201">
      <w:pPr>
        <w:pStyle w:val="Heading2"/>
        <w:rPr>
          <w:lang w:val="en-US"/>
        </w:rPr>
      </w:pPr>
      <w:bookmarkStart w:id="90" w:name="_Toc259911078"/>
      <w:r>
        <w:rPr>
          <w:lang w:val="en-US"/>
        </w:rPr>
        <w:t>PRESUMPTION OF TENANCY IN COMMON</w:t>
      </w:r>
      <w:bookmarkEnd w:id="90"/>
    </w:p>
    <w:p w:rsidR="001B125D" w:rsidRDefault="001B125D" w:rsidP="00B64C39">
      <w:pPr>
        <w:pStyle w:val="ListBullet"/>
        <w:numPr>
          <w:ilvl w:val="0"/>
          <w:numId w:val="0"/>
        </w:numPr>
        <w:ind w:left="360" w:hanging="360"/>
        <w:rPr>
          <w:lang w:val="en-US"/>
        </w:rPr>
      </w:pPr>
    </w:p>
    <w:p w:rsidR="00642100" w:rsidRPr="001B125D" w:rsidRDefault="001B125D" w:rsidP="00B64C39">
      <w:pPr>
        <w:pStyle w:val="ListBullet"/>
        <w:numPr>
          <w:ilvl w:val="0"/>
          <w:numId w:val="0"/>
        </w:numPr>
        <w:ind w:left="360" w:hanging="360"/>
        <w:rPr>
          <w:lang w:val="en-US"/>
        </w:rPr>
      </w:pPr>
      <w:r>
        <w:rPr>
          <w:lang w:val="en-US"/>
        </w:rPr>
        <w:t xml:space="preserve">The law presumes </w:t>
      </w:r>
      <w:r w:rsidRPr="00782DFC">
        <w:rPr>
          <w:b/>
          <w:color w:val="800000"/>
          <w:lang w:val="en-US"/>
        </w:rPr>
        <w:t>tenancy in common</w:t>
      </w:r>
      <w:r>
        <w:rPr>
          <w:lang w:val="en-US"/>
        </w:rPr>
        <w:t>, unless expressly provided for by the instrument creating the co-ownership.</w:t>
      </w:r>
    </w:p>
    <w:sectPr w:rsidR="00642100" w:rsidRPr="001B125D" w:rsidSect="00642100">
      <w:headerReference w:type="even" r:id="rId5"/>
      <w:headerReference w:type="default" r:id="rId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A0F7C" w:rsidRDefault="00010A55" w:rsidP="00854389">
    <w:pPr>
      <w:pStyle w:val="Header"/>
      <w:framePr w:wrap="around" w:vAnchor="text" w:hAnchor="margin" w:xAlign="right" w:y="1"/>
      <w:rPr>
        <w:rStyle w:val="PageNumber"/>
      </w:rPr>
    </w:pPr>
    <w:r>
      <w:rPr>
        <w:rStyle w:val="PageNumber"/>
      </w:rPr>
      <w:fldChar w:fldCharType="begin"/>
    </w:r>
    <w:r w:rsidR="001A0F7C">
      <w:rPr>
        <w:rStyle w:val="PageNumber"/>
      </w:rPr>
      <w:instrText xml:space="preserve">PAGE  </w:instrText>
    </w:r>
    <w:r>
      <w:rPr>
        <w:rStyle w:val="PageNumber"/>
      </w:rPr>
      <w:fldChar w:fldCharType="end"/>
    </w:r>
  </w:p>
  <w:p w:rsidR="001A0F7C" w:rsidRDefault="001A0F7C" w:rsidP="009B1015">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A0F7C" w:rsidRDefault="00010A55" w:rsidP="00854389">
    <w:pPr>
      <w:pStyle w:val="Header"/>
      <w:framePr w:wrap="around" w:vAnchor="text" w:hAnchor="margin" w:xAlign="right" w:y="1"/>
      <w:rPr>
        <w:rStyle w:val="PageNumber"/>
      </w:rPr>
    </w:pPr>
    <w:r>
      <w:rPr>
        <w:rStyle w:val="PageNumber"/>
      </w:rPr>
      <w:fldChar w:fldCharType="begin"/>
    </w:r>
    <w:r w:rsidR="001A0F7C">
      <w:rPr>
        <w:rStyle w:val="PageNumber"/>
      </w:rPr>
      <w:instrText xml:space="preserve">PAGE  </w:instrText>
    </w:r>
    <w:r>
      <w:rPr>
        <w:rStyle w:val="PageNumber"/>
      </w:rPr>
      <w:fldChar w:fldCharType="separate"/>
    </w:r>
    <w:r w:rsidR="000C3CD4">
      <w:rPr>
        <w:rStyle w:val="PageNumber"/>
        <w:noProof/>
      </w:rPr>
      <w:t>2</w:t>
    </w:r>
    <w:r>
      <w:rPr>
        <w:rStyle w:val="PageNumber"/>
      </w:rPr>
      <w:fldChar w:fldCharType="end"/>
    </w:r>
  </w:p>
  <w:p w:rsidR="001A0F7C" w:rsidRDefault="001A0F7C" w:rsidP="009B1015">
    <w:pPr>
      <w:pStyle w:val="Header"/>
      <w:ind w:right="360"/>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4DF2C64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color w:val="auto"/>
      </w:rPr>
    </w:lvl>
    <w:lvl w:ilvl="4">
      <w:start w:val="1"/>
      <w:numFmt w:val="bullet"/>
      <w:pStyle w:val="NoteLevel5"/>
      <w:lvlText w:val=""/>
      <w:lvlJc w:val="left"/>
      <w:pPr>
        <w:tabs>
          <w:tab w:val="num" w:pos="2880"/>
        </w:tabs>
        <w:ind w:left="3240" w:hanging="360"/>
      </w:pPr>
      <w:rPr>
        <w:rFonts w:ascii="Wingdings" w:hAnsi="Wingdings" w:hint="default"/>
        <w:color w:val="auto"/>
      </w:rPr>
    </w:lvl>
    <w:lvl w:ilvl="5">
      <w:start w:val="1"/>
      <w:numFmt w:val="bullet"/>
      <w:pStyle w:val="NoteLevel6"/>
      <w:lvlText w:val=""/>
      <w:lvlJc w:val="left"/>
      <w:pPr>
        <w:tabs>
          <w:tab w:val="num" w:pos="3600"/>
        </w:tabs>
        <w:ind w:left="3960" w:hanging="360"/>
      </w:pPr>
      <w:rPr>
        <w:rFonts w:ascii="Symbol" w:hAnsi="Symbol" w:hint="default"/>
        <w:color w:val="auto"/>
      </w:rPr>
    </w:lvl>
    <w:lvl w:ilvl="6">
      <w:start w:val="1"/>
      <w:numFmt w:val="bullet"/>
      <w:pStyle w:val="NoteLevel7"/>
      <w:lvlText w:val="o"/>
      <w:lvlJc w:val="left"/>
      <w:pPr>
        <w:tabs>
          <w:tab w:val="num" w:pos="4320"/>
        </w:tabs>
        <w:ind w:left="4680" w:hanging="360"/>
      </w:pPr>
      <w:rPr>
        <w:rFonts w:ascii="Courier New" w:hAnsi="Courier New" w:hint="default"/>
        <w:color w:val="auto"/>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89"/>
    <w:multiLevelType w:val="singleLevel"/>
    <w:tmpl w:val="E08E3068"/>
    <w:lvl w:ilvl="0">
      <w:start w:val="1"/>
      <w:numFmt w:val="lowerLetter"/>
      <w:pStyle w:val="ListBullet"/>
      <w:lvlText w:val="(%1)."/>
      <w:lvlJc w:val="left"/>
      <w:pPr>
        <w:tabs>
          <w:tab w:val="num" w:pos="360"/>
        </w:tabs>
        <w:ind w:left="360" w:hanging="360"/>
      </w:pPr>
      <w:rPr>
        <w:rFonts w:hint="default"/>
        <w:color w:val="1F497D" w:themeColor="text2"/>
      </w:rPr>
    </w:lvl>
  </w:abstractNum>
  <w:abstractNum w:abstractNumId="2">
    <w:nsid w:val="09C801C3"/>
    <w:multiLevelType w:val="hybridMultilevel"/>
    <w:tmpl w:val="A1745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872F8"/>
    <w:multiLevelType w:val="hybridMultilevel"/>
    <w:tmpl w:val="7BFE2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77D2E"/>
    <w:multiLevelType w:val="hybridMultilevel"/>
    <w:tmpl w:val="B6C07C40"/>
    <w:lvl w:ilvl="0" w:tplc="04090001">
      <w:start w:val="1"/>
      <w:numFmt w:val="decimal"/>
      <w:lvlText w:val="%1."/>
      <w:lvlJc w:val="left"/>
      <w:pPr>
        <w:ind w:left="720" w:hanging="360"/>
      </w:pPr>
    </w:lvl>
    <w:lvl w:ilvl="1" w:tplc="0409000F">
      <w:start w:val="1"/>
      <w:numFmt w:val="decimal"/>
      <w:lvlText w:val="%2."/>
      <w:lvlJc w:val="left"/>
      <w:pPr>
        <w:ind w:left="720" w:hanging="360"/>
      </w:pPr>
      <w:rPr>
        <w:rFonts w:hint="default"/>
      </w:rPr>
    </w:lvl>
    <w:lvl w:ilvl="2" w:tplc="04090005">
      <w:start w:val="1"/>
      <w:numFmt w:val="lowerLetter"/>
      <w:lvlText w:val="%3."/>
      <w:lvlJc w:val="left"/>
      <w:pPr>
        <w:ind w:left="2160" w:hanging="360"/>
      </w:p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66BF1"/>
    <w:multiLevelType w:val="hybridMultilevel"/>
    <w:tmpl w:val="8EC6BD12"/>
    <w:lvl w:ilvl="0" w:tplc="04090011">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8E022E"/>
    <w:multiLevelType w:val="hybridMultilevel"/>
    <w:tmpl w:val="3DAA09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1414D"/>
    <w:multiLevelType w:val="hybridMultilevel"/>
    <w:tmpl w:val="AE46399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1E973062"/>
    <w:multiLevelType w:val="hybridMultilevel"/>
    <w:tmpl w:val="066839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684D02"/>
    <w:multiLevelType w:val="hybridMultilevel"/>
    <w:tmpl w:val="B3DCAF5E"/>
    <w:lvl w:ilvl="0" w:tplc="C3D0950E">
      <w:start w:val="1"/>
      <w:numFmt w:val="decimal"/>
      <w:lvlText w:val="%1)"/>
      <w:lvlJc w:val="left"/>
      <w:pPr>
        <w:ind w:left="720" w:hanging="360"/>
      </w:pPr>
      <w:rPr>
        <w:rFonts w:hint="default"/>
        <w:color w:val="1F497D" w:themeColor="text2"/>
      </w:rPr>
    </w:lvl>
    <w:lvl w:ilvl="1" w:tplc="5554E6C2">
      <w:start w:val="1"/>
      <w:numFmt w:val="lowerLetter"/>
      <w:lvlText w:val="%2."/>
      <w:lvlJc w:val="left"/>
      <w:pPr>
        <w:ind w:left="1440" w:hanging="360"/>
      </w:pPr>
      <w:rPr>
        <w:color w:val="1F497D" w:themeColor="text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6C4C31"/>
    <w:multiLevelType w:val="hybridMultilevel"/>
    <w:tmpl w:val="67C4449C"/>
    <w:lvl w:ilvl="0" w:tplc="61E4FB30">
      <w:start w:val="1"/>
      <w:numFmt w:val="lowerLetter"/>
      <w:lvlText w:val="%1."/>
      <w:lvlJc w:val="left"/>
      <w:pPr>
        <w:ind w:left="720" w:hanging="360"/>
      </w:pPr>
      <w:rPr>
        <w:color w:val="1F497D" w:themeColor="tex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313002"/>
    <w:multiLevelType w:val="hybridMultilevel"/>
    <w:tmpl w:val="7E309430"/>
    <w:lvl w:ilvl="0" w:tplc="73BA0D80">
      <w:start w:val="1"/>
      <w:numFmt w:val="decimal"/>
      <w:lvlText w:val="%1)"/>
      <w:lvlJc w:val="left"/>
      <w:pPr>
        <w:ind w:left="720" w:hanging="360"/>
      </w:pPr>
      <w:rPr>
        <w:rFonts w:hint="default"/>
        <w:color w:val="1F497D" w:themeColor="tex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935C09"/>
    <w:multiLevelType w:val="hybridMultilevel"/>
    <w:tmpl w:val="55668E6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C0009A"/>
    <w:multiLevelType w:val="hybridMultilevel"/>
    <w:tmpl w:val="EC5E63A8"/>
    <w:lvl w:ilvl="0" w:tplc="34ECA75E">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D537C7"/>
    <w:multiLevelType w:val="hybridMultilevel"/>
    <w:tmpl w:val="470C0E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B922BE"/>
    <w:multiLevelType w:val="hybridMultilevel"/>
    <w:tmpl w:val="B6C07C40"/>
    <w:lvl w:ilvl="0" w:tplc="04090001">
      <w:start w:val="1"/>
      <w:numFmt w:val="decimal"/>
      <w:lvlText w:val="%1."/>
      <w:lvlJc w:val="left"/>
      <w:pPr>
        <w:ind w:left="720" w:hanging="360"/>
      </w:p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3A253D"/>
    <w:multiLevelType w:val="hybridMultilevel"/>
    <w:tmpl w:val="5A500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E543450"/>
    <w:multiLevelType w:val="hybridMultilevel"/>
    <w:tmpl w:val="3D36B7AA"/>
    <w:lvl w:ilvl="0" w:tplc="780A88B0">
      <w:start w:val="1"/>
      <w:numFmt w:val="lowerLetter"/>
      <w:lvlText w:val="%1)"/>
      <w:lvlJc w:val="left"/>
      <w:pPr>
        <w:ind w:left="720" w:hanging="360"/>
      </w:pPr>
      <w:rPr>
        <w:rFonts w:hint="default"/>
        <w:color w:val="1F497D" w:themeColor="text2"/>
      </w:rPr>
    </w:lvl>
    <w:lvl w:ilvl="1" w:tplc="64AED5EE">
      <w:start w:val="1"/>
      <w:numFmt w:val="lowerLetter"/>
      <w:lvlText w:val="%2."/>
      <w:lvlJc w:val="left"/>
      <w:pPr>
        <w:ind w:left="1440" w:hanging="360"/>
      </w:pPr>
      <w:rPr>
        <w:color w:val="1F497D" w:themeColor="text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2D62FC"/>
    <w:multiLevelType w:val="hybridMultilevel"/>
    <w:tmpl w:val="4ACAA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4D3A5D"/>
    <w:multiLevelType w:val="multilevel"/>
    <w:tmpl w:val="4DF2C6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color w:val="auto"/>
      </w:rPr>
    </w:lvl>
    <w:lvl w:ilvl="4">
      <w:start w:val="1"/>
      <w:numFmt w:val="bullet"/>
      <w:lvlText w:val=""/>
      <w:lvlJc w:val="left"/>
      <w:pPr>
        <w:tabs>
          <w:tab w:val="num" w:pos="2880"/>
        </w:tabs>
        <w:ind w:left="3240" w:hanging="360"/>
      </w:pPr>
      <w:rPr>
        <w:rFonts w:ascii="Wingdings" w:hAnsi="Wingdings" w:hint="default"/>
        <w:color w:val="auto"/>
      </w:rPr>
    </w:lvl>
    <w:lvl w:ilvl="5">
      <w:start w:val="1"/>
      <w:numFmt w:val="bullet"/>
      <w:lvlText w:val=""/>
      <w:lvlJc w:val="left"/>
      <w:pPr>
        <w:tabs>
          <w:tab w:val="num" w:pos="3600"/>
        </w:tabs>
        <w:ind w:left="3960" w:hanging="360"/>
      </w:pPr>
      <w:rPr>
        <w:rFonts w:ascii="Symbol" w:hAnsi="Symbol" w:hint="default"/>
        <w:color w:val="auto"/>
      </w:rPr>
    </w:lvl>
    <w:lvl w:ilvl="6">
      <w:start w:val="1"/>
      <w:numFmt w:val="bullet"/>
      <w:lvlText w:val="o"/>
      <w:lvlJc w:val="left"/>
      <w:pPr>
        <w:tabs>
          <w:tab w:val="num" w:pos="4320"/>
        </w:tabs>
        <w:ind w:left="4680" w:hanging="360"/>
      </w:pPr>
      <w:rPr>
        <w:rFonts w:ascii="Courier New" w:hAnsi="Courier New" w:hint="default"/>
        <w:color w:val="auto"/>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54F74FDA"/>
    <w:multiLevelType w:val="hybridMultilevel"/>
    <w:tmpl w:val="D3A649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53320"/>
    <w:multiLevelType w:val="hybridMultilevel"/>
    <w:tmpl w:val="4B3A7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E15765"/>
    <w:multiLevelType w:val="hybridMultilevel"/>
    <w:tmpl w:val="29A89AF8"/>
    <w:lvl w:ilvl="0" w:tplc="A5AA18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7676C"/>
    <w:multiLevelType w:val="hybridMultilevel"/>
    <w:tmpl w:val="2ACE73EC"/>
    <w:lvl w:ilvl="0" w:tplc="25906EEC">
      <w:start w:val="1"/>
      <w:numFmt w:val="bullet"/>
      <w:lvlText w:val=""/>
      <w:lvlJc w:val="left"/>
      <w:pPr>
        <w:ind w:left="294" w:hanging="294"/>
      </w:pPr>
      <w:rPr>
        <w:rFonts w:ascii="Symbol" w:hAnsi="Symbol" w:hint="default"/>
      </w:rPr>
    </w:lvl>
    <w:lvl w:ilvl="1" w:tplc="04090003">
      <w:start w:val="1"/>
      <w:numFmt w:val="bullet"/>
      <w:lvlText w:val="o"/>
      <w:lvlJc w:val="left"/>
      <w:pPr>
        <w:ind w:left="-2416" w:hanging="360"/>
      </w:pPr>
      <w:rPr>
        <w:rFonts w:ascii="Courier New" w:hAnsi="Courier New" w:hint="default"/>
      </w:rPr>
    </w:lvl>
    <w:lvl w:ilvl="2" w:tplc="04090005">
      <w:start w:val="1"/>
      <w:numFmt w:val="bullet"/>
      <w:lvlText w:val=""/>
      <w:lvlJc w:val="left"/>
      <w:pPr>
        <w:ind w:left="-1696" w:hanging="360"/>
      </w:pPr>
      <w:rPr>
        <w:rFonts w:ascii="Wingdings" w:hAnsi="Wingdings" w:hint="default"/>
      </w:rPr>
    </w:lvl>
    <w:lvl w:ilvl="3" w:tplc="04090001">
      <w:start w:val="1"/>
      <w:numFmt w:val="bullet"/>
      <w:lvlText w:val=""/>
      <w:lvlJc w:val="left"/>
      <w:pPr>
        <w:ind w:left="-976" w:hanging="360"/>
      </w:pPr>
      <w:rPr>
        <w:rFonts w:ascii="Symbol" w:hAnsi="Symbol" w:hint="default"/>
      </w:rPr>
    </w:lvl>
    <w:lvl w:ilvl="4" w:tplc="04090003">
      <w:start w:val="1"/>
      <w:numFmt w:val="bullet"/>
      <w:lvlText w:val="o"/>
      <w:lvlJc w:val="left"/>
      <w:pPr>
        <w:ind w:left="-256" w:hanging="360"/>
      </w:pPr>
      <w:rPr>
        <w:rFonts w:ascii="Courier New" w:hAnsi="Courier New" w:hint="default"/>
      </w:rPr>
    </w:lvl>
    <w:lvl w:ilvl="5" w:tplc="04090005">
      <w:start w:val="1"/>
      <w:numFmt w:val="bullet"/>
      <w:lvlText w:val=""/>
      <w:lvlJc w:val="left"/>
      <w:pPr>
        <w:ind w:left="464" w:hanging="360"/>
      </w:pPr>
      <w:rPr>
        <w:rFonts w:ascii="Wingdings" w:hAnsi="Wingdings" w:hint="default"/>
      </w:rPr>
    </w:lvl>
    <w:lvl w:ilvl="6" w:tplc="04090001">
      <w:start w:val="1"/>
      <w:numFmt w:val="lowerLetter"/>
      <w:lvlText w:val="%7."/>
      <w:lvlJc w:val="left"/>
      <w:pPr>
        <w:ind w:left="1184" w:hanging="360"/>
      </w:pPr>
    </w:lvl>
    <w:lvl w:ilvl="7" w:tplc="04090003">
      <w:start w:val="1"/>
      <w:numFmt w:val="lowerRoman"/>
      <w:lvlText w:val="%8."/>
      <w:lvlJc w:val="left"/>
      <w:pPr>
        <w:ind w:left="1904" w:hanging="360"/>
      </w:pPr>
    </w:lvl>
    <w:lvl w:ilvl="8" w:tplc="04090005" w:tentative="1">
      <w:start w:val="1"/>
      <w:numFmt w:val="bullet"/>
      <w:lvlText w:val=""/>
      <w:lvlJc w:val="left"/>
      <w:pPr>
        <w:ind w:left="2624" w:hanging="360"/>
      </w:pPr>
      <w:rPr>
        <w:rFonts w:ascii="Wingdings" w:hAnsi="Wingdings" w:hint="default"/>
      </w:rPr>
    </w:lvl>
  </w:abstractNum>
  <w:abstractNum w:abstractNumId="24">
    <w:nsid w:val="56B63AE9"/>
    <w:multiLevelType w:val="hybridMultilevel"/>
    <w:tmpl w:val="05DABCAA"/>
    <w:lvl w:ilvl="0" w:tplc="04090001">
      <w:start w:val="2"/>
      <w:numFmt w:val="upperLetter"/>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373A49"/>
    <w:multiLevelType w:val="hybridMultilevel"/>
    <w:tmpl w:val="79481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6A2434"/>
    <w:multiLevelType w:val="hybridMultilevel"/>
    <w:tmpl w:val="13725B9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5C707C5C"/>
    <w:multiLevelType w:val="hybridMultilevel"/>
    <w:tmpl w:val="600627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8346A1"/>
    <w:multiLevelType w:val="hybridMultilevel"/>
    <w:tmpl w:val="EB7A3B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7C2624"/>
    <w:multiLevelType w:val="hybridMultilevel"/>
    <w:tmpl w:val="8E1C4948"/>
    <w:lvl w:ilvl="0" w:tplc="DB749216">
      <w:start w:val="1"/>
      <w:numFmt w:val="decimal"/>
      <w:lvlText w:val="%1)"/>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F23374"/>
    <w:multiLevelType w:val="hybridMultilevel"/>
    <w:tmpl w:val="33F0D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3853D8B"/>
    <w:multiLevelType w:val="hybridMultilevel"/>
    <w:tmpl w:val="5A500922"/>
    <w:lvl w:ilvl="0" w:tplc="04090001">
      <w:start w:val="1"/>
      <w:numFmt w:val="lowerLetter"/>
      <w:lvlText w:val="%1."/>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1FF1406"/>
    <w:multiLevelType w:val="multilevel"/>
    <w:tmpl w:val="4DF2C642"/>
    <w:lvl w:ilvl="0">
      <w:start w:val="1"/>
      <w:numFmt w:val="decimal"/>
      <w:lvlText w:val="%1."/>
      <w:lvlJc w:val="left"/>
      <w:pPr>
        <w:tabs>
          <w:tab w:val="num" w:pos="360"/>
        </w:tabs>
        <w:ind w:left="360" w:hanging="360"/>
      </w:p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color w:val="auto"/>
      </w:rPr>
    </w:lvl>
    <w:lvl w:ilvl="4">
      <w:start w:val="1"/>
      <w:numFmt w:val="bullet"/>
      <w:lvlText w:val=""/>
      <w:lvlJc w:val="left"/>
      <w:pPr>
        <w:tabs>
          <w:tab w:val="num" w:pos="2880"/>
        </w:tabs>
        <w:ind w:left="3240" w:hanging="360"/>
      </w:pPr>
      <w:rPr>
        <w:rFonts w:ascii="Wingdings" w:hAnsi="Wingdings" w:hint="default"/>
        <w:color w:val="auto"/>
      </w:rPr>
    </w:lvl>
    <w:lvl w:ilvl="5">
      <w:start w:val="1"/>
      <w:numFmt w:val="bullet"/>
      <w:lvlText w:val=""/>
      <w:lvlJc w:val="left"/>
      <w:pPr>
        <w:tabs>
          <w:tab w:val="num" w:pos="3600"/>
        </w:tabs>
        <w:ind w:left="3960" w:hanging="360"/>
      </w:pPr>
      <w:rPr>
        <w:rFonts w:ascii="Symbol" w:hAnsi="Symbol" w:hint="default"/>
        <w:color w:val="auto"/>
      </w:rPr>
    </w:lvl>
    <w:lvl w:ilvl="6">
      <w:start w:val="1"/>
      <w:numFmt w:val="bullet"/>
      <w:lvlText w:val="o"/>
      <w:lvlJc w:val="left"/>
      <w:pPr>
        <w:tabs>
          <w:tab w:val="num" w:pos="4320"/>
        </w:tabs>
        <w:ind w:left="4680" w:hanging="360"/>
      </w:pPr>
      <w:rPr>
        <w:rFonts w:ascii="Courier New" w:hAnsi="Courier New" w:hint="default"/>
        <w:color w:val="auto"/>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nsid w:val="72587D78"/>
    <w:multiLevelType w:val="hybridMultilevel"/>
    <w:tmpl w:val="AD44989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1">
      <w:start w:val="1"/>
      <w:numFmt w:val="bullet"/>
      <w:lvlText w:val=""/>
      <w:lvlJc w:val="left"/>
      <w:pPr>
        <w:tabs>
          <w:tab w:val="num" w:pos="2160"/>
        </w:tabs>
        <w:ind w:left="2160" w:hanging="360"/>
      </w:pPr>
      <w:rPr>
        <w:rFonts w:ascii="Symbol" w:hAnsi="Symbol"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26D0E50"/>
    <w:multiLevelType w:val="hybridMultilevel"/>
    <w:tmpl w:val="808038C0"/>
    <w:lvl w:ilvl="0" w:tplc="04090011">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A48A63A">
      <w:start w:val="1"/>
      <w:numFmt w:val="upperLetter"/>
      <w:lvlText w:val="%3."/>
      <w:lvlJc w:val="left"/>
      <w:pPr>
        <w:ind w:left="2340" w:hanging="360"/>
      </w:pPr>
      <w:rPr>
        <w:rFonts w:hint="default"/>
      </w:rPr>
    </w:lvl>
    <w:lvl w:ilvl="3" w:tplc="B16E46F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D827D5"/>
    <w:multiLevelType w:val="hybridMultilevel"/>
    <w:tmpl w:val="BEFC6F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9CB29CE"/>
    <w:multiLevelType w:val="hybridMultilevel"/>
    <w:tmpl w:val="5DE6B416"/>
    <w:lvl w:ilvl="0" w:tplc="3DFC79AE">
      <w:start w:val="1"/>
      <w:numFmt w:val="decimal"/>
      <w:lvlText w:val="%1)"/>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2C75CD"/>
    <w:multiLevelType w:val="hybridMultilevel"/>
    <w:tmpl w:val="3738E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F148AA"/>
    <w:multiLevelType w:val="multilevel"/>
    <w:tmpl w:val="A7E0A8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7FBD4E91"/>
    <w:multiLevelType w:val="hybridMultilevel"/>
    <w:tmpl w:val="CEC87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3"/>
  </w:num>
  <w:num w:numId="4">
    <w:abstractNumId w:val="13"/>
  </w:num>
  <w:num w:numId="5">
    <w:abstractNumId w:val="9"/>
  </w:num>
  <w:num w:numId="6">
    <w:abstractNumId w:val="26"/>
  </w:num>
  <w:num w:numId="7">
    <w:abstractNumId w:val="7"/>
  </w:num>
  <w:num w:numId="8">
    <w:abstractNumId w:val="36"/>
  </w:num>
  <w:num w:numId="9">
    <w:abstractNumId w:val="11"/>
  </w:num>
  <w:num w:numId="10">
    <w:abstractNumId w:val="14"/>
  </w:num>
  <w:num w:numId="11">
    <w:abstractNumId w:val="27"/>
  </w:num>
  <w:num w:numId="12">
    <w:abstractNumId w:val="6"/>
  </w:num>
  <w:num w:numId="13">
    <w:abstractNumId w:val="37"/>
  </w:num>
  <w:num w:numId="14">
    <w:abstractNumId w:val="34"/>
  </w:num>
  <w:num w:numId="15">
    <w:abstractNumId w:val="28"/>
  </w:num>
  <w:num w:numId="16">
    <w:abstractNumId w:val="20"/>
  </w:num>
  <w:num w:numId="17">
    <w:abstractNumId w:val="15"/>
  </w:num>
  <w:num w:numId="18">
    <w:abstractNumId w:val="25"/>
  </w:num>
  <w:num w:numId="19">
    <w:abstractNumId w:val="8"/>
  </w:num>
  <w:num w:numId="20">
    <w:abstractNumId w:val="18"/>
  </w:num>
  <w:num w:numId="21">
    <w:abstractNumId w:val="19"/>
  </w:num>
  <w:num w:numId="22">
    <w:abstractNumId w:val="5"/>
  </w:num>
  <w:num w:numId="23">
    <w:abstractNumId w:val="22"/>
  </w:num>
  <w:num w:numId="24">
    <w:abstractNumId w:val="1"/>
  </w:num>
  <w:num w:numId="25">
    <w:abstractNumId w:val="35"/>
  </w:num>
  <w:num w:numId="26">
    <w:abstractNumId w:val="16"/>
  </w:num>
  <w:num w:numId="27">
    <w:abstractNumId w:val="24"/>
  </w:num>
  <w:num w:numId="28">
    <w:abstractNumId w:val="12"/>
  </w:num>
  <w:num w:numId="29">
    <w:abstractNumId w:val="10"/>
  </w:num>
  <w:num w:numId="30">
    <w:abstractNumId w:val="39"/>
  </w:num>
  <w:num w:numId="31">
    <w:abstractNumId w:val="2"/>
  </w:num>
  <w:num w:numId="32">
    <w:abstractNumId w:val="21"/>
  </w:num>
  <w:num w:numId="33">
    <w:abstractNumId w:val="17"/>
  </w:num>
  <w:num w:numId="34">
    <w:abstractNumId w:val="3"/>
  </w:num>
  <w:num w:numId="35">
    <w:abstractNumId w:val="29"/>
  </w:num>
  <w:num w:numId="36">
    <w:abstractNumId w:val="32"/>
  </w:num>
  <w:num w:numId="37">
    <w:abstractNumId w:val="38"/>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31"/>
  </w:num>
  <w:num w:numId="5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42100"/>
    <w:rsid w:val="00003CDC"/>
    <w:rsid w:val="00010A55"/>
    <w:rsid w:val="000161D9"/>
    <w:rsid w:val="00053BC1"/>
    <w:rsid w:val="0006320E"/>
    <w:rsid w:val="0006416A"/>
    <w:rsid w:val="00084D23"/>
    <w:rsid w:val="00093C6D"/>
    <w:rsid w:val="000C3CD4"/>
    <w:rsid w:val="000E01A2"/>
    <w:rsid w:val="000F2187"/>
    <w:rsid w:val="000F23E9"/>
    <w:rsid w:val="000F6C4C"/>
    <w:rsid w:val="0012682E"/>
    <w:rsid w:val="00131DB3"/>
    <w:rsid w:val="00137B18"/>
    <w:rsid w:val="00161431"/>
    <w:rsid w:val="00166FC0"/>
    <w:rsid w:val="001761E6"/>
    <w:rsid w:val="001853A3"/>
    <w:rsid w:val="00191628"/>
    <w:rsid w:val="00193372"/>
    <w:rsid w:val="00197F45"/>
    <w:rsid w:val="001A0F7C"/>
    <w:rsid w:val="001B125D"/>
    <w:rsid w:val="001B1C7D"/>
    <w:rsid w:val="001C75E4"/>
    <w:rsid w:val="001E23F4"/>
    <w:rsid w:val="0020187A"/>
    <w:rsid w:val="002139A3"/>
    <w:rsid w:val="002369F8"/>
    <w:rsid w:val="002622F7"/>
    <w:rsid w:val="00280899"/>
    <w:rsid w:val="00283CAF"/>
    <w:rsid w:val="002853FE"/>
    <w:rsid w:val="002A7294"/>
    <w:rsid w:val="002B2A33"/>
    <w:rsid w:val="002F0D02"/>
    <w:rsid w:val="002F347C"/>
    <w:rsid w:val="002F44A4"/>
    <w:rsid w:val="00300143"/>
    <w:rsid w:val="0032575D"/>
    <w:rsid w:val="00326D0A"/>
    <w:rsid w:val="003353CA"/>
    <w:rsid w:val="003362E3"/>
    <w:rsid w:val="00353CA2"/>
    <w:rsid w:val="00353EE2"/>
    <w:rsid w:val="00366350"/>
    <w:rsid w:val="00386DAA"/>
    <w:rsid w:val="00392AF8"/>
    <w:rsid w:val="003A1DC7"/>
    <w:rsid w:val="003A60FA"/>
    <w:rsid w:val="003A7B90"/>
    <w:rsid w:val="003B736C"/>
    <w:rsid w:val="003B741B"/>
    <w:rsid w:val="003C640B"/>
    <w:rsid w:val="003D36B7"/>
    <w:rsid w:val="003D6B62"/>
    <w:rsid w:val="003E0F58"/>
    <w:rsid w:val="003E251E"/>
    <w:rsid w:val="003E5D64"/>
    <w:rsid w:val="00400663"/>
    <w:rsid w:val="00404AF5"/>
    <w:rsid w:val="00404F0D"/>
    <w:rsid w:val="00406F11"/>
    <w:rsid w:val="00411E33"/>
    <w:rsid w:val="00453084"/>
    <w:rsid w:val="004770D2"/>
    <w:rsid w:val="004903F8"/>
    <w:rsid w:val="004909E1"/>
    <w:rsid w:val="00501CDF"/>
    <w:rsid w:val="00511C14"/>
    <w:rsid w:val="00512EFB"/>
    <w:rsid w:val="00514F2D"/>
    <w:rsid w:val="0053057A"/>
    <w:rsid w:val="0053195E"/>
    <w:rsid w:val="00531B80"/>
    <w:rsid w:val="005356FE"/>
    <w:rsid w:val="00546823"/>
    <w:rsid w:val="00555E7C"/>
    <w:rsid w:val="005B63C0"/>
    <w:rsid w:val="005B63F8"/>
    <w:rsid w:val="0060242A"/>
    <w:rsid w:val="00602AE7"/>
    <w:rsid w:val="00605CF8"/>
    <w:rsid w:val="00605EFD"/>
    <w:rsid w:val="00642100"/>
    <w:rsid w:val="006626C7"/>
    <w:rsid w:val="006639EB"/>
    <w:rsid w:val="00676AA2"/>
    <w:rsid w:val="00684179"/>
    <w:rsid w:val="00694B20"/>
    <w:rsid w:val="006A14AA"/>
    <w:rsid w:val="006A726E"/>
    <w:rsid w:val="006B38F8"/>
    <w:rsid w:val="006B4CFE"/>
    <w:rsid w:val="006B5AA7"/>
    <w:rsid w:val="006D2521"/>
    <w:rsid w:val="006D6B8C"/>
    <w:rsid w:val="006F1B17"/>
    <w:rsid w:val="006F69FB"/>
    <w:rsid w:val="00702CEE"/>
    <w:rsid w:val="00715FEA"/>
    <w:rsid w:val="00731A08"/>
    <w:rsid w:val="00743423"/>
    <w:rsid w:val="00770CC5"/>
    <w:rsid w:val="00772724"/>
    <w:rsid w:val="00782DFC"/>
    <w:rsid w:val="007B31F2"/>
    <w:rsid w:val="007C02B7"/>
    <w:rsid w:val="007D3F2F"/>
    <w:rsid w:val="007D62E4"/>
    <w:rsid w:val="007E09C7"/>
    <w:rsid w:val="007E766C"/>
    <w:rsid w:val="007F789D"/>
    <w:rsid w:val="007F7E40"/>
    <w:rsid w:val="008127B9"/>
    <w:rsid w:val="00815E90"/>
    <w:rsid w:val="008169F6"/>
    <w:rsid w:val="00817B58"/>
    <w:rsid w:val="00817F03"/>
    <w:rsid w:val="00821755"/>
    <w:rsid w:val="008261B9"/>
    <w:rsid w:val="008373A5"/>
    <w:rsid w:val="00837B06"/>
    <w:rsid w:val="00842281"/>
    <w:rsid w:val="00847B22"/>
    <w:rsid w:val="00854389"/>
    <w:rsid w:val="00863300"/>
    <w:rsid w:val="0086569C"/>
    <w:rsid w:val="00874055"/>
    <w:rsid w:val="00874AE8"/>
    <w:rsid w:val="008939AB"/>
    <w:rsid w:val="00897142"/>
    <w:rsid w:val="00897FE4"/>
    <w:rsid w:val="008A04DD"/>
    <w:rsid w:val="008A094F"/>
    <w:rsid w:val="008B52BF"/>
    <w:rsid w:val="008B5827"/>
    <w:rsid w:val="008C621D"/>
    <w:rsid w:val="008C6269"/>
    <w:rsid w:val="008D2C93"/>
    <w:rsid w:val="008E22C7"/>
    <w:rsid w:val="008E6E00"/>
    <w:rsid w:val="008E7F60"/>
    <w:rsid w:val="00905A63"/>
    <w:rsid w:val="00910C27"/>
    <w:rsid w:val="0091791D"/>
    <w:rsid w:val="00917924"/>
    <w:rsid w:val="0092270B"/>
    <w:rsid w:val="00924F3E"/>
    <w:rsid w:val="00931BFD"/>
    <w:rsid w:val="0093620A"/>
    <w:rsid w:val="00943201"/>
    <w:rsid w:val="00943A1C"/>
    <w:rsid w:val="00944972"/>
    <w:rsid w:val="00945516"/>
    <w:rsid w:val="00952AB8"/>
    <w:rsid w:val="00963832"/>
    <w:rsid w:val="009759AF"/>
    <w:rsid w:val="0099754C"/>
    <w:rsid w:val="009A3B0F"/>
    <w:rsid w:val="009B1015"/>
    <w:rsid w:val="009B42B9"/>
    <w:rsid w:val="009D31D8"/>
    <w:rsid w:val="009D4182"/>
    <w:rsid w:val="00A149E7"/>
    <w:rsid w:val="00A26F30"/>
    <w:rsid w:val="00A342CD"/>
    <w:rsid w:val="00A47BE4"/>
    <w:rsid w:val="00A52CE7"/>
    <w:rsid w:val="00A5460F"/>
    <w:rsid w:val="00A80818"/>
    <w:rsid w:val="00AA6417"/>
    <w:rsid w:val="00AB3EA3"/>
    <w:rsid w:val="00AD370A"/>
    <w:rsid w:val="00AF5D94"/>
    <w:rsid w:val="00AF6044"/>
    <w:rsid w:val="00B02B4A"/>
    <w:rsid w:val="00B152AB"/>
    <w:rsid w:val="00B15B22"/>
    <w:rsid w:val="00B2215F"/>
    <w:rsid w:val="00B37448"/>
    <w:rsid w:val="00B46DAE"/>
    <w:rsid w:val="00B64C39"/>
    <w:rsid w:val="00B70FDF"/>
    <w:rsid w:val="00B841D5"/>
    <w:rsid w:val="00BA01C9"/>
    <w:rsid w:val="00BB42F9"/>
    <w:rsid w:val="00BC05E5"/>
    <w:rsid w:val="00BC2258"/>
    <w:rsid w:val="00BF09D3"/>
    <w:rsid w:val="00BF1089"/>
    <w:rsid w:val="00BF238A"/>
    <w:rsid w:val="00C04247"/>
    <w:rsid w:val="00C04FE8"/>
    <w:rsid w:val="00C320A5"/>
    <w:rsid w:val="00C321F3"/>
    <w:rsid w:val="00C42142"/>
    <w:rsid w:val="00C85431"/>
    <w:rsid w:val="00C86ECC"/>
    <w:rsid w:val="00C9334D"/>
    <w:rsid w:val="00CA7F36"/>
    <w:rsid w:val="00CB0A0E"/>
    <w:rsid w:val="00CC7529"/>
    <w:rsid w:val="00CD0576"/>
    <w:rsid w:val="00CD54AD"/>
    <w:rsid w:val="00CE3061"/>
    <w:rsid w:val="00CF0A7A"/>
    <w:rsid w:val="00CF4F25"/>
    <w:rsid w:val="00CF6378"/>
    <w:rsid w:val="00CF7828"/>
    <w:rsid w:val="00D0004F"/>
    <w:rsid w:val="00D128DE"/>
    <w:rsid w:val="00D14644"/>
    <w:rsid w:val="00D336A0"/>
    <w:rsid w:val="00D34F3B"/>
    <w:rsid w:val="00D41EDE"/>
    <w:rsid w:val="00D45A94"/>
    <w:rsid w:val="00D5366F"/>
    <w:rsid w:val="00D61861"/>
    <w:rsid w:val="00D61BBB"/>
    <w:rsid w:val="00D620F8"/>
    <w:rsid w:val="00D6719A"/>
    <w:rsid w:val="00D72AAA"/>
    <w:rsid w:val="00D7701E"/>
    <w:rsid w:val="00D82496"/>
    <w:rsid w:val="00D82C3E"/>
    <w:rsid w:val="00D9027F"/>
    <w:rsid w:val="00DA2859"/>
    <w:rsid w:val="00DC5BFE"/>
    <w:rsid w:val="00DE37BF"/>
    <w:rsid w:val="00DF0482"/>
    <w:rsid w:val="00E025D1"/>
    <w:rsid w:val="00E4481B"/>
    <w:rsid w:val="00E47402"/>
    <w:rsid w:val="00E47515"/>
    <w:rsid w:val="00E64BA5"/>
    <w:rsid w:val="00E6506C"/>
    <w:rsid w:val="00E65501"/>
    <w:rsid w:val="00E65FC6"/>
    <w:rsid w:val="00E72FA1"/>
    <w:rsid w:val="00E751FF"/>
    <w:rsid w:val="00E975FA"/>
    <w:rsid w:val="00EB1CCB"/>
    <w:rsid w:val="00EC69CC"/>
    <w:rsid w:val="00ED37F0"/>
    <w:rsid w:val="00EF1874"/>
    <w:rsid w:val="00EF2F22"/>
    <w:rsid w:val="00F00730"/>
    <w:rsid w:val="00F00870"/>
    <w:rsid w:val="00F122C2"/>
    <w:rsid w:val="00F13D45"/>
    <w:rsid w:val="00F17658"/>
    <w:rsid w:val="00F22114"/>
    <w:rsid w:val="00F24750"/>
    <w:rsid w:val="00F43CFB"/>
    <w:rsid w:val="00F674FD"/>
    <w:rsid w:val="00F73470"/>
    <w:rsid w:val="00FA0F98"/>
    <w:rsid w:val="00FA2027"/>
    <w:rsid w:val="00FA207F"/>
    <w:rsid w:val="00FB3E21"/>
    <w:rsid w:val="00FC038B"/>
    <w:rsid w:val="00FC28CC"/>
    <w:rsid w:val="00FD6FF0"/>
  </w:rsids>
  <m:mathPr>
    <m:mathFont m:val="Shrut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42100"/>
    <w:pPr>
      <w:spacing w:after="0"/>
    </w:pPr>
    <w:rPr>
      <w:rFonts w:ascii="Baskerville Old Face" w:hAnsi="Baskerville Old Face"/>
      <w:sz w:val="18"/>
      <w:lang w:val="en-GB"/>
    </w:rPr>
  </w:style>
  <w:style w:type="paragraph" w:styleId="Heading1">
    <w:name w:val="heading 1"/>
    <w:basedOn w:val="Normal"/>
    <w:next w:val="Normal"/>
    <w:link w:val="Heading1Char"/>
    <w:uiPriority w:val="9"/>
    <w:qFormat/>
    <w:rsid w:val="00C04FE8"/>
    <w:pPr>
      <w:keepNext/>
      <w:keepLines/>
      <w:pBdr>
        <w:top w:val="single" w:sz="4" w:space="1" w:color="auto"/>
        <w:left w:val="single" w:sz="4" w:space="4" w:color="auto"/>
        <w:bottom w:val="single" w:sz="4" w:space="1" w:color="auto"/>
        <w:right w:val="single" w:sz="4" w:space="4" w:color="auto"/>
      </w:pBdr>
      <w:shd w:val="clear" w:color="auto" w:fill="FFFF00"/>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C04FE8"/>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04FE8"/>
    <w:pPr>
      <w:keepNext/>
      <w:keepLines/>
      <w:spacing w:before="200"/>
      <w:outlineLvl w:val="2"/>
    </w:pPr>
    <w:rPr>
      <w:rFonts w:eastAsiaTheme="majorEastAsia" w:cstheme="majorBidi"/>
      <w:b/>
      <w:bCs/>
      <w:sz w:val="22"/>
      <w:u w:val="single"/>
    </w:rPr>
  </w:style>
  <w:style w:type="paragraph" w:styleId="Heading4">
    <w:name w:val="heading 4"/>
    <w:basedOn w:val="Normal"/>
    <w:next w:val="Normal"/>
    <w:link w:val="Heading4Char"/>
    <w:uiPriority w:val="9"/>
    <w:unhideWhenUsed/>
    <w:qFormat/>
    <w:rsid w:val="002F347C"/>
    <w:pPr>
      <w:keepNext/>
      <w:keepLines/>
      <w:spacing w:before="200"/>
      <w:outlineLvl w:val="3"/>
    </w:pPr>
    <w:rPr>
      <w:rFonts w:eastAsiaTheme="majorEastAsia" w:cstheme="majorBidi"/>
      <w:bCs/>
      <w:iCs/>
      <w:u w:val="single"/>
      <w:lang w:val="en-US"/>
    </w:rPr>
  </w:style>
  <w:style w:type="paragraph" w:styleId="Heading5">
    <w:name w:val="heading 5"/>
    <w:basedOn w:val="Normal"/>
    <w:next w:val="Normal"/>
    <w:link w:val="Heading5Char"/>
    <w:uiPriority w:val="9"/>
    <w:unhideWhenUsed/>
    <w:qFormat/>
    <w:rsid w:val="00642100"/>
    <w:pPr>
      <w:keepNext/>
      <w:keepLines/>
      <w:shd w:val="clear" w:color="auto" w:fill="FBD4B4" w:themeFill="accent6" w:themeFillTint="66"/>
      <w:spacing w:before="200"/>
      <w:outlineLvl w:val="4"/>
    </w:pPr>
    <w:rPr>
      <w:rFonts w:asciiTheme="majorHAnsi" w:eastAsiaTheme="majorEastAsia" w:hAnsiTheme="majorHAnsi" w:cstheme="majorBidi"/>
      <w:b/>
      <w:sz w:val="20"/>
      <w:szCs w:val="20"/>
      <w:lang w:val="en-CA" w:eastAsia="en-CA"/>
    </w:rPr>
  </w:style>
  <w:style w:type="paragraph" w:styleId="Heading6">
    <w:name w:val="heading 6"/>
    <w:basedOn w:val="Normal"/>
    <w:next w:val="Normal"/>
    <w:link w:val="Heading6Char"/>
    <w:uiPriority w:val="9"/>
    <w:unhideWhenUsed/>
    <w:qFormat/>
    <w:rsid w:val="00642100"/>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CA"/>
    </w:rPr>
  </w:style>
  <w:style w:type="paragraph" w:styleId="Heading7">
    <w:name w:val="heading 7"/>
    <w:basedOn w:val="Normal"/>
    <w:next w:val="Normal"/>
    <w:link w:val="Heading7Char"/>
    <w:uiPriority w:val="9"/>
    <w:unhideWhenUsed/>
    <w:qFormat/>
    <w:rsid w:val="00642100"/>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CA"/>
    </w:rPr>
  </w:style>
  <w:style w:type="paragraph" w:styleId="Heading8">
    <w:name w:val="heading 8"/>
    <w:basedOn w:val="Normal"/>
    <w:next w:val="Normal"/>
    <w:link w:val="Heading8Char"/>
    <w:uiPriority w:val="9"/>
    <w:unhideWhenUsed/>
    <w:qFormat/>
    <w:rsid w:val="00642100"/>
    <w:pPr>
      <w:keepNext/>
      <w:keepLines/>
      <w:spacing w:before="200" w:line="276" w:lineRule="auto"/>
      <w:outlineLvl w:val="7"/>
    </w:pPr>
    <w:rPr>
      <w:rFonts w:asciiTheme="majorHAnsi" w:eastAsiaTheme="majorEastAsia" w:hAnsiTheme="majorHAnsi" w:cstheme="majorBidi"/>
      <w:color w:val="4F81BD" w:themeColor="accent1"/>
      <w:sz w:val="20"/>
      <w:szCs w:val="20"/>
      <w:lang w:val="en-CA"/>
    </w:rPr>
  </w:style>
  <w:style w:type="paragraph" w:styleId="Heading9">
    <w:name w:val="heading 9"/>
    <w:basedOn w:val="Normal"/>
    <w:next w:val="Normal"/>
    <w:link w:val="Heading9Char"/>
    <w:uiPriority w:val="9"/>
    <w:unhideWhenUsed/>
    <w:qFormat/>
    <w:rsid w:val="00642100"/>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04FE8"/>
    <w:rPr>
      <w:rFonts w:ascii="Baskerville Old Face" w:eastAsiaTheme="majorEastAsia" w:hAnsi="Baskerville Old Face" w:cstheme="majorBidi"/>
      <w:b/>
      <w:bCs/>
      <w:color w:val="000000" w:themeColor="text1"/>
      <w:sz w:val="32"/>
      <w:szCs w:val="32"/>
      <w:shd w:val="clear" w:color="auto" w:fill="FFFF00"/>
      <w:lang w:val="en-GB"/>
    </w:rPr>
  </w:style>
  <w:style w:type="character" w:customStyle="1" w:styleId="Heading2Char">
    <w:name w:val="Heading 2 Char"/>
    <w:basedOn w:val="DefaultParagraphFont"/>
    <w:link w:val="Heading2"/>
    <w:uiPriority w:val="9"/>
    <w:rsid w:val="00C04FE8"/>
    <w:rPr>
      <w:rFonts w:ascii="Baskerville Old Face" w:eastAsiaTheme="majorEastAsia" w:hAnsi="Baskerville Old Face" w:cstheme="majorBidi"/>
      <w:b/>
      <w:bCs/>
      <w:sz w:val="18"/>
      <w:szCs w:val="26"/>
      <w:lang w:val="en-GB"/>
    </w:rPr>
  </w:style>
  <w:style w:type="character" w:customStyle="1" w:styleId="Heading3Char">
    <w:name w:val="Heading 3 Char"/>
    <w:basedOn w:val="DefaultParagraphFont"/>
    <w:link w:val="Heading3"/>
    <w:uiPriority w:val="9"/>
    <w:rsid w:val="00C04FE8"/>
    <w:rPr>
      <w:rFonts w:ascii="Baskerville Old Face" w:eastAsiaTheme="majorEastAsia" w:hAnsi="Baskerville Old Face" w:cstheme="majorBidi"/>
      <w:b/>
      <w:bCs/>
      <w:sz w:val="22"/>
      <w:u w:val="single"/>
      <w:lang w:val="en-GB"/>
    </w:rPr>
  </w:style>
  <w:style w:type="character" w:customStyle="1" w:styleId="Heading4Char">
    <w:name w:val="Heading 4 Char"/>
    <w:basedOn w:val="DefaultParagraphFont"/>
    <w:link w:val="Heading4"/>
    <w:uiPriority w:val="9"/>
    <w:rsid w:val="002F347C"/>
    <w:rPr>
      <w:rFonts w:ascii="Baskerville Old Face" w:eastAsiaTheme="majorEastAsia" w:hAnsi="Baskerville Old Face" w:cstheme="majorBidi"/>
      <w:bCs/>
      <w:iCs/>
      <w:sz w:val="18"/>
      <w:u w:val="single"/>
    </w:rPr>
  </w:style>
  <w:style w:type="character" w:customStyle="1" w:styleId="Heading5Char">
    <w:name w:val="Heading 5 Char"/>
    <w:basedOn w:val="DefaultParagraphFont"/>
    <w:link w:val="Heading5"/>
    <w:uiPriority w:val="9"/>
    <w:rsid w:val="00642100"/>
    <w:rPr>
      <w:rFonts w:asciiTheme="majorHAnsi" w:eastAsiaTheme="majorEastAsia" w:hAnsiTheme="majorHAnsi" w:cstheme="majorBidi"/>
      <w:b/>
      <w:sz w:val="20"/>
      <w:szCs w:val="20"/>
      <w:shd w:val="clear" w:color="auto" w:fill="FBD4B4" w:themeFill="accent6" w:themeFillTint="66"/>
      <w:lang w:val="en-CA" w:eastAsia="en-CA"/>
    </w:rPr>
  </w:style>
  <w:style w:type="character" w:customStyle="1" w:styleId="Heading6Char">
    <w:name w:val="Heading 6 Char"/>
    <w:basedOn w:val="DefaultParagraphFont"/>
    <w:link w:val="Heading6"/>
    <w:uiPriority w:val="9"/>
    <w:rsid w:val="00642100"/>
    <w:rPr>
      <w:rFonts w:asciiTheme="majorHAnsi" w:eastAsiaTheme="majorEastAsia" w:hAnsiTheme="majorHAnsi" w:cstheme="majorBidi"/>
      <w:i/>
      <w:iCs/>
      <w:color w:val="243F60" w:themeColor="accent1" w:themeShade="7F"/>
      <w:sz w:val="22"/>
      <w:szCs w:val="22"/>
      <w:lang w:val="en-CA"/>
    </w:rPr>
  </w:style>
  <w:style w:type="character" w:customStyle="1" w:styleId="Heading7Char">
    <w:name w:val="Heading 7 Char"/>
    <w:basedOn w:val="DefaultParagraphFont"/>
    <w:link w:val="Heading7"/>
    <w:uiPriority w:val="9"/>
    <w:rsid w:val="00642100"/>
    <w:rPr>
      <w:rFonts w:asciiTheme="majorHAnsi" w:eastAsiaTheme="majorEastAsia" w:hAnsiTheme="majorHAnsi" w:cstheme="majorBidi"/>
      <w:i/>
      <w:iCs/>
      <w:color w:val="404040" w:themeColor="text1" w:themeTint="BF"/>
      <w:sz w:val="22"/>
      <w:szCs w:val="22"/>
      <w:lang w:val="en-CA"/>
    </w:rPr>
  </w:style>
  <w:style w:type="character" w:customStyle="1" w:styleId="Heading8Char">
    <w:name w:val="Heading 8 Char"/>
    <w:basedOn w:val="DefaultParagraphFont"/>
    <w:link w:val="Heading8"/>
    <w:uiPriority w:val="9"/>
    <w:rsid w:val="00642100"/>
    <w:rPr>
      <w:rFonts w:asciiTheme="majorHAnsi" w:eastAsiaTheme="majorEastAsia" w:hAnsiTheme="majorHAnsi" w:cstheme="majorBidi"/>
      <w:color w:val="4F81BD" w:themeColor="accent1"/>
      <w:sz w:val="20"/>
      <w:szCs w:val="20"/>
      <w:lang w:val="en-CA"/>
    </w:rPr>
  </w:style>
  <w:style w:type="character" w:customStyle="1" w:styleId="Heading9Char">
    <w:name w:val="Heading 9 Char"/>
    <w:basedOn w:val="DefaultParagraphFont"/>
    <w:link w:val="Heading9"/>
    <w:uiPriority w:val="9"/>
    <w:rsid w:val="00642100"/>
    <w:rPr>
      <w:rFonts w:asciiTheme="majorHAnsi" w:eastAsiaTheme="majorEastAsia" w:hAnsiTheme="majorHAnsi" w:cstheme="majorBidi"/>
      <w:i/>
      <w:iCs/>
      <w:color w:val="404040" w:themeColor="text1" w:themeTint="BF"/>
      <w:sz w:val="20"/>
      <w:szCs w:val="20"/>
      <w:lang w:val="en-CA"/>
    </w:rPr>
  </w:style>
  <w:style w:type="paragraph" w:styleId="TOC1">
    <w:name w:val="toc 1"/>
    <w:basedOn w:val="Normal"/>
    <w:next w:val="Normal"/>
    <w:autoRedefine/>
    <w:uiPriority w:val="39"/>
    <w:unhideWhenUsed/>
    <w:qFormat/>
    <w:rsid w:val="00642100"/>
    <w:pPr>
      <w:spacing w:before="120"/>
    </w:pPr>
    <w:rPr>
      <w:rFonts w:asciiTheme="minorHAnsi" w:hAnsiTheme="minorHAnsi"/>
      <w:b/>
      <w:sz w:val="24"/>
    </w:rPr>
  </w:style>
  <w:style w:type="paragraph" w:styleId="TOC3">
    <w:name w:val="toc 3"/>
    <w:basedOn w:val="Normal"/>
    <w:next w:val="Normal"/>
    <w:autoRedefine/>
    <w:uiPriority w:val="39"/>
    <w:unhideWhenUsed/>
    <w:qFormat/>
    <w:rsid w:val="000C3CD4"/>
    <w:pPr>
      <w:tabs>
        <w:tab w:val="right" w:leader="dot" w:pos="8630"/>
      </w:tabs>
      <w:ind w:left="360"/>
    </w:pPr>
    <w:rPr>
      <w:rFonts w:asciiTheme="minorHAnsi" w:hAnsiTheme="minorHAnsi"/>
      <w:noProof/>
      <w:sz w:val="20"/>
      <w:szCs w:val="22"/>
      <w:lang w:val="en-US"/>
    </w:rPr>
  </w:style>
  <w:style w:type="paragraph" w:styleId="TOC2">
    <w:name w:val="toc 2"/>
    <w:basedOn w:val="Normal"/>
    <w:next w:val="Normal"/>
    <w:autoRedefine/>
    <w:uiPriority w:val="39"/>
    <w:unhideWhenUsed/>
    <w:qFormat/>
    <w:rsid w:val="00642100"/>
    <w:pPr>
      <w:ind w:left="180"/>
    </w:pPr>
    <w:rPr>
      <w:rFonts w:asciiTheme="minorHAnsi" w:hAnsiTheme="minorHAnsi"/>
      <w:b/>
      <w:sz w:val="22"/>
      <w:szCs w:val="22"/>
    </w:rPr>
  </w:style>
  <w:style w:type="paragraph" w:styleId="TOC4">
    <w:name w:val="toc 4"/>
    <w:basedOn w:val="Normal"/>
    <w:next w:val="Normal"/>
    <w:autoRedefine/>
    <w:uiPriority w:val="39"/>
    <w:unhideWhenUsed/>
    <w:rsid w:val="00642100"/>
    <w:pPr>
      <w:ind w:left="540"/>
    </w:pPr>
    <w:rPr>
      <w:rFonts w:asciiTheme="minorHAnsi" w:hAnsiTheme="minorHAnsi"/>
      <w:sz w:val="20"/>
      <w:szCs w:val="20"/>
    </w:rPr>
  </w:style>
  <w:style w:type="table" w:styleId="TableGrid">
    <w:name w:val="Table Grid"/>
    <w:basedOn w:val="TableNormal"/>
    <w:rsid w:val="0064210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Heading three"/>
    <w:basedOn w:val="Normal"/>
    <w:uiPriority w:val="34"/>
    <w:qFormat/>
    <w:rsid w:val="00642100"/>
    <w:pPr>
      <w:ind w:left="720"/>
      <w:contextualSpacing/>
    </w:pPr>
  </w:style>
  <w:style w:type="paragraph" w:styleId="TOC5">
    <w:name w:val="toc 5"/>
    <w:basedOn w:val="Normal"/>
    <w:next w:val="Normal"/>
    <w:autoRedefine/>
    <w:uiPriority w:val="39"/>
    <w:unhideWhenUsed/>
    <w:rsid w:val="00642100"/>
    <w:pPr>
      <w:ind w:left="720"/>
    </w:pPr>
    <w:rPr>
      <w:rFonts w:asciiTheme="minorHAnsi" w:hAnsiTheme="minorHAnsi"/>
      <w:sz w:val="20"/>
      <w:szCs w:val="20"/>
    </w:rPr>
  </w:style>
  <w:style w:type="paragraph" w:styleId="TOC6">
    <w:name w:val="toc 6"/>
    <w:basedOn w:val="Normal"/>
    <w:next w:val="Normal"/>
    <w:autoRedefine/>
    <w:uiPriority w:val="39"/>
    <w:unhideWhenUsed/>
    <w:rsid w:val="00642100"/>
    <w:pPr>
      <w:ind w:left="900"/>
    </w:pPr>
    <w:rPr>
      <w:rFonts w:asciiTheme="minorHAnsi" w:hAnsiTheme="minorHAnsi"/>
      <w:sz w:val="20"/>
      <w:szCs w:val="20"/>
    </w:rPr>
  </w:style>
  <w:style w:type="paragraph" w:styleId="TOC7">
    <w:name w:val="toc 7"/>
    <w:basedOn w:val="Normal"/>
    <w:next w:val="Normal"/>
    <w:autoRedefine/>
    <w:uiPriority w:val="39"/>
    <w:unhideWhenUsed/>
    <w:rsid w:val="00642100"/>
    <w:pPr>
      <w:ind w:left="1080"/>
    </w:pPr>
    <w:rPr>
      <w:rFonts w:asciiTheme="minorHAnsi" w:hAnsiTheme="minorHAnsi"/>
      <w:sz w:val="20"/>
      <w:szCs w:val="20"/>
    </w:rPr>
  </w:style>
  <w:style w:type="paragraph" w:styleId="TOC8">
    <w:name w:val="toc 8"/>
    <w:basedOn w:val="Normal"/>
    <w:next w:val="Normal"/>
    <w:autoRedefine/>
    <w:uiPriority w:val="39"/>
    <w:unhideWhenUsed/>
    <w:rsid w:val="00642100"/>
    <w:pPr>
      <w:ind w:left="1260"/>
    </w:pPr>
    <w:rPr>
      <w:rFonts w:asciiTheme="minorHAnsi" w:hAnsiTheme="minorHAnsi"/>
      <w:sz w:val="20"/>
      <w:szCs w:val="20"/>
    </w:rPr>
  </w:style>
  <w:style w:type="paragraph" w:styleId="TOC9">
    <w:name w:val="toc 9"/>
    <w:basedOn w:val="Normal"/>
    <w:next w:val="Normal"/>
    <w:autoRedefine/>
    <w:uiPriority w:val="39"/>
    <w:unhideWhenUsed/>
    <w:rsid w:val="00642100"/>
    <w:pPr>
      <w:ind w:left="1440"/>
    </w:pPr>
    <w:rPr>
      <w:rFonts w:asciiTheme="minorHAnsi" w:hAnsiTheme="minorHAnsi"/>
      <w:sz w:val="20"/>
      <w:szCs w:val="20"/>
    </w:rPr>
  </w:style>
  <w:style w:type="paragraph" w:styleId="NoteLevel1">
    <w:name w:val="Note Level 1"/>
    <w:basedOn w:val="Normal"/>
    <w:uiPriority w:val="99"/>
    <w:unhideWhenUsed/>
    <w:rsid w:val="00642100"/>
    <w:pPr>
      <w:keepNext/>
      <w:numPr>
        <w:numId w:val="1"/>
      </w:numPr>
      <w:contextualSpacing/>
      <w:outlineLvl w:val="0"/>
    </w:pPr>
    <w:rPr>
      <w:rFonts w:ascii="Verdana" w:eastAsia="ＭＳ ゴシック" w:hAnsi="Verdana"/>
    </w:rPr>
  </w:style>
  <w:style w:type="paragraph" w:styleId="NoteLevel2">
    <w:name w:val="Note Level 2"/>
    <w:basedOn w:val="Normal"/>
    <w:uiPriority w:val="99"/>
    <w:unhideWhenUsed/>
    <w:rsid w:val="00642100"/>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unhideWhenUsed/>
    <w:rsid w:val="00642100"/>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unhideWhenUsed/>
    <w:rsid w:val="00642100"/>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unhideWhenUsed/>
    <w:rsid w:val="00642100"/>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unhideWhenUsed/>
    <w:rsid w:val="00642100"/>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unhideWhenUsed/>
    <w:rsid w:val="00642100"/>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unhideWhenUsed/>
    <w:rsid w:val="00642100"/>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unhideWhenUsed/>
    <w:rsid w:val="00642100"/>
    <w:pPr>
      <w:keepNext/>
      <w:numPr>
        <w:ilvl w:val="8"/>
        <w:numId w:val="1"/>
      </w:numPr>
      <w:contextualSpacing/>
      <w:outlineLvl w:val="8"/>
    </w:pPr>
    <w:rPr>
      <w:rFonts w:ascii="Verdana" w:eastAsia="ＭＳ ゴシック" w:hAnsi="Verdana"/>
    </w:rPr>
  </w:style>
  <w:style w:type="paragraph" w:styleId="NormalWeb">
    <w:name w:val="Normal (Web)"/>
    <w:basedOn w:val="Normal"/>
    <w:uiPriority w:val="99"/>
    <w:unhideWhenUsed/>
    <w:rsid w:val="00642100"/>
    <w:pPr>
      <w:spacing w:before="100" w:beforeAutospacing="1" w:after="100" w:afterAutospacing="1"/>
    </w:pPr>
    <w:rPr>
      <w:rFonts w:ascii="Times New Roman" w:eastAsia="Times New Roman" w:hAnsi="Times New Roman" w:cs="Times New Roman"/>
      <w:lang w:val="en-CA" w:eastAsia="en-CA"/>
    </w:rPr>
  </w:style>
  <w:style w:type="paragraph" w:styleId="Header">
    <w:name w:val="header"/>
    <w:basedOn w:val="Normal"/>
    <w:link w:val="HeaderChar"/>
    <w:unhideWhenUsed/>
    <w:rsid w:val="00642100"/>
    <w:pPr>
      <w:tabs>
        <w:tab w:val="center" w:pos="4320"/>
        <w:tab w:val="right" w:pos="8640"/>
      </w:tabs>
    </w:pPr>
  </w:style>
  <w:style w:type="character" w:customStyle="1" w:styleId="HeaderChar">
    <w:name w:val="Header Char"/>
    <w:basedOn w:val="DefaultParagraphFont"/>
    <w:link w:val="Header"/>
    <w:rsid w:val="00642100"/>
    <w:rPr>
      <w:lang w:val="en-GB"/>
    </w:rPr>
  </w:style>
  <w:style w:type="paragraph" w:styleId="NoSpacing">
    <w:name w:val="No Spacing"/>
    <w:uiPriority w:val="1"/>
    <w:qFormat/>
    <w:rsid w:val="00642100"/>
    <w:pPr>
      <w:spacing w:after="0"/>
    </w:pPr>
    <w:rPr>
      <w:sz w:val="22"/>
      <w:szCs w:val="22"/>
      <w:lang w:val="en-CA"/>
    </w:rPr>
  </w:style>
  <w:style w:type="character" w:styleId="CommentReference">
    <w:name w:val="annotation reference"/>
    <w:basedOn w:val="DefaultParagraphFont"/>
    <w:uiPriority w:val="99"/>
    <w:unhideWhenUsed/>
    <w:rsid w:val="00642100"/>
    <w:rPr>
      <w:sz w:val="16"/>
      <w:szCs w:val="16"/>
    </w:rPr>
  </w:style>
  <w:style w:type="paragraph" w:styleId="CommentText">
    <w:name w:val="annotation text"/>
    <w:basedOn w:val="Normal"/>
    <w:link w:val="CommentTextChar"/>
    <w:uiPriority w:val="99"/>
    <w:unhideWhenUsed/>
    <w:rsid w:val="00642100"/>
    <w:rPr>
      <w:rFonts w:asciiTheme="majorHAnsi" w:eastAsia="Times New Roman" w:hAnsiTheme="majorHAnsi" w:cs="Times New Roman"/>
      <w:sz w:val="20"/>
      <w:szCs w:val="20"/>
      <w:lang w:val="en-CA" w:eastAsia="en-CA"/>
    </w:rPr>
  </w:style>
  <w:style w:type="character" w:customStyle="1" w:styleId="CommentTextChar">
    <w:name w:val="Comment Text Char"/>
    <w:basedOn w:val="DefaultParagraphFont"/>
    <w:link w:val="CommentText"/>
    <w:uiPriority w:val="99"/>
    <w:rsid w:val="00642100"/>
    <w:rPr>
      <w:rFonts w:asciiTheme="majorHAnsi" w:eastAsia="Times New Roman" w:hAnsiTheme="majorHAnsi" w:cs="Times New Roman"/>
      <w:sz w:val="20"/>
      <w:szCs w:val="20"/>
      <w:lang w:val="en-CA" w:eastAsia="en-CA"/>
    </w:rPr>
  </w:style>
  <w:style w:type="paragraph" w:styleId="CommentSubject">
    <w:name w:val="annotation subject"/>
    <w:basedOn w:val="CommentText"/>
    <w:next w:val="CommentText"/>
    <w:link w:val="CommentSubjectChar"/>
    <w:uiPriority w:val="99"/>
    <w:unhideWhenUsed/>
    <w:rsid w:val="00642100"/>
    <w:rPr>
      <w:b/>
      <w:bCs/>
    </w:rPr>
  </w:style>
  <w:style w:type="character" w:customStyle="1" w:styleId="CommentSubjectChar">
    <w:name w:val="Comment Subject Char"/>
    <w:basedOn w:val="CommentTextChar"/>
    <w:link w:val="CommentSubject"/>
    <w:uiPriority w:val="99"/>
    <w:rsid w:val="00642100"/>
    <w:rPr>
      <w:b/>
      <w:bCs/>
    </w:rPr>
  </w:style>
  <w:style w:type="paragraph" w:styleId="BalloonText">
    <w:name w:val="Balloon Text"/>
    <w:basedOn w:val="Normal"/>
    <w:link w:val="BalloonTextChar"/>
    <w:uiPriority w:val="99"/>
    <w:unhideWhenUsed/>
    <w:rsid w:val="00642100"/>
    <w:rPr>
      <w:rFonts w:ascii="Tahoma" w:eastAsia="Times New Roman" w:hAnsi="Tahoma" w:cs="Tahoma"/>
      <w:sz w:val="16"/>
      <w:szCs w:val="16"/>
      <w:lang w:val="en-CA" w:eastAsia="en-CA"/>
    </w:rPr>
  </w:style>
  <w:style w:type="character" w:customStyle="1" w:styleId="BalloonTextChar">
    <w:name w:val="Balloon Text Char"/>
    <w:basedOn w:val="DefaultParagraphFont"/>
    <w:link w:val="BalloonText"/>
    <w:uiPriority w:val="99"/>
    <w:rsid w:val="00642100"/>
    <w:rPr>
      <w:rFonts w:ascii="Tahoma" w:eastAsia="Times New Roman" w:hAnsi="Tahoma" w:cs="Tahoma"/>
      <w:sz w:val="16"/>
      <w:szCs w:val="16"/>
      <w:lang w:val="en-CA" w:eastAsia="en-CA"/>
    </w:rPr>
  </w:style>
  <w:style w:type="character" w:styleId="Strong">
    <w:name w:val="Strong"/>
    <w:basedOn w:val="DefaultParagraphFont"/>
    <w:uiPriority w:val="22"/>
    <w:qFormat/>
    <w:rsid w:val="00642100"/>
    <w:rPr>
      <w:b/>
      <w:bCs/>
    </w:rPr>
  </w:style>
  <w:style w:type="paragraph" w:styleId="TOCHeading">
    <w:name w:val="TOC Heading"/>
    <w:basedOn w:val="Heading1"/>
    <w:next w:val="Normal"/>
    <w:uiPriority w:val="39"/>
    <w:unhideWhenUsed/>
    <w:qFormat/>
    <w:rsid w:val="00642100"/>
    <w:pPr>
      <w:pBdr>
        <w:top w:val="none" w:sz="0" w:space="0" w:color="auto"/>
        <w:left w:val="none" w:sz="0" w:space="0" w:color="auto"/>
        <w:bottom w:val="none" w:sz="0" w:space="0" w:color="auto"/>
        <w:right w:val="none" w:sz="0" w:space="0" w:color="auto"/>
      </w:pBdr>
      <w:shd w:val="clear" w:color="auto" w:fill="auto"/>
      <w:spacing w:before="480" w:line="276" w:lineRule="auto"/>
      <w:outlineLvl w:val="9"/>
    </w:pPr>
    <w:rPr>
      <w:color w:val="365F91" w:themeColor="accent1" w:themeShade="BF"/>
      <w:sz w:val="28"/>
      <w:szCs w:val="28"/>
      <w:lang w:val="en-US" w:eastAsia="en-CA"/>
    </w:rPr>
  </w:style>
  <w:style w:type="character" w:styleId="Hyperlink">
    <w:name w:val="Hyperlink"/>
    <w:basedOn w:val="DefaultParagraphFont"/>
    <w:uiPriority w:val="99"/>
    <w:unhideWhenUsed/>
    <w:rsid w:val="00642100"/>
    <w:rPr>
      <w:color w:val="0000FF" w:themeColor="hyperlink"/>
      <w:u w:val="single"/>
    </w:rPr>
  </w:style>
  <w:style w:type="paragraph" w:customStyle="1" w:styleId="sec3">
    <w:name w:val="sec3"/>
    <w:basedOn w:val="Normal"/>
    <w:rsid w:val="00642100"/>
    <w:pPr>
      <w:spacing w:before="100" w:beforeAutospacing="1" w:after="100" w:afterAutospacing="1"/>
    </w:pPr>
    <w:rPr>
      <w:rFonts w:ascii="Times New Roman" w:eastAsia="Times New Roman" w:hAnsi="Times New Roman" w:cs="Times New Roman"/>
      <w:lang w:val="en-CA" w:eastAsia="en-CA"/>
    </w:rPr>
  </w:style>
  <w:style w:type="character" w:styleId="Emphasis">
    <w:name w:val="Emphasis"/>
    <w:basedOn w:val="DefaultParagraphFont"/>
    <w:uiPriority w:val="20"/>
    <w:qFormat/>
    <w:rsid w:val="00642100"/>
    <w:rPr>
      <w:i/>
      <w:iCs/>
    </w:rPr>
  </w:style>
  <w:style w:type="paragraph" w:customStyle="1" w:styleId="sub">
    <w:name w:val="sub"/>
    <w:basedOn w:val="Normal"/>
    <w:rsid w:val="00642100"/>
    <w:pPr>
      <w:spacing w:before="100" w:beforeAutospacing="1" w:after="100" w:afterAutospacing="1"/>
    </w:pPr>
    <w:rPr>
      <w:rFonts w:ascii="Times New Roman" w:eastAsia="Times New Roman" w:hAnsi="Times New Roman" w:cs="Times New Roman"/>
      <w:lang w:val="en-CA" w:eastAsia="en-CA"/>
    </w:rPr>
  </w:style>
  <w:style w:type="paragraph" w:customStyle="1" w:styleId="para">
    <w:name w:val="para"/>
    <w:basedOn w:val="Normal"/>
    <w:rsid w:val="00642100"/>
    <w:pPr>
      <w:spacing w:before="100" w:beforeAutospacing="1" w:after="100" w:afterAutospacing="1"/>
    </w:pPr>
    <w:rPr>
      <w:rFonts w:ascii="Times New Roman" w:eastAsia="Times New Roman" w:hAnsi="Times New Roman" w:cs="Times New Roman"/>
      <w:lang w:val="en-CA" w:eastAsia="en-CA"/>
    </w:rPr>
  </w:style>
  <w:style w:type="paragraph" w:customStyle="1" w:styleId="subpara">
    <w:name w:val="subpara"/>
    <w:basedOn w:val="Normal"/>
    <w:rsid w:val="00642100"/>
    <w:pPr>
      <w:spacing w:before="100" w:beforeAutospacing="1" w:after="100" w:afterAutospacing="1"/>
    </w:pPr>
    <w:rPr>
      <w:rFonts w:ascii="Times New Roman" w:eastAsia="Times New Roman" w:hAnsi="Times New Roman" w:cs="Times New Roman"/>
      <w:lang w:val="en-CA" w:eastAsia="en-CA"/>
    </w:rPr>
  </w:style>
  <w:style w:type="paragraph" w:customStyle="1" w:styleId="sec2">
    <w:name w:val="sec2"/>
    <w:basedOn w:val="Normal"/>
    <w:rsid w:val="00642100"/>
    <w:pPr>
      <w:spacing w:before="100" w:beforeAutospacing="1" w:after="100" w:afterAutospacing="1"/>
    </w:pPr>
    <w:rPr>
      <w:rFonts w:ascii="Times New Roman" w:eastAsia="Times New Roman" w:hAnsi="Times New Roman" w:cs="Times New Roman"/>
      <w:lang w:val="en-CA" w:eastAsia="en-CA"/>
    </w:rPr>
  </w:style>
  <w:style w:type="paragraph" w:customStyle="1" w:styleId="sec1">
    <w:name w:val="sec1"/>
    <w:basedOn w:val="Normal"/>
    <w:rsid w:val="00642100"/>
    <w:pPr>
      <w:spacing w:before="100" w:beforeAutospacing="1" w:after="100" w:afterAutospacing="1"/>
    </w:pPr>
    <w:rPr>
      <w:rFonts w:ascii="Times New Roman" w:eastAsia="Times New Roman" w:hAnsi="Times New Roman" w:cs="Times New Roman"/>
      <w:lang w:val="en-CA" w:eastAsia="en-CA"/>
    </w:rPr>
  </w:style>
  <w:style w:type="paragraph" w:customStyle="1" w:styleId="clause">
    <w:name w:val="clause"/>
    <w:basedOn w:val="Normal"/>
    <w:rsid w:val="00642100"/>
    <w:pPr>
      <w:spacing w:before="100" w:beforeAutospacing="1" w:after="100" w:afterAutospacing="1"/>
    </w:pPr>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642100"/>
    <w:pPr>
      <w:tabs>
        <w:tab w:val="center" w:pos="4680"/>
        <w:tab w:val="right" w:pos="9360"/>
      </w:tabs>
    </w:pPr>
    <w:rPr>
      <w:rFonts w:asciiTheme="majorHAnsi" w:eastAsia="Times New Roman" w:hAnsiTheme="majorHAnsi" w:cs="Times New Roman"/>
      <w:sz w:val="20"/>
      <w:szCs w:val="20"/>
      <w:lang w:val="en-CA" w:eastAsia="en-CA"/>
    </w:rPr>
  </w:style>
  <w:style w:type="character" w:customStyle="1" w:styleId="FooterChar">
    <w:name w:val="Footer Char"/>
    <w:basedOn w:val="DefaultParagraphFont"/>
    <w:link w:val="Footer"/>
    <w:uiPriority w:val="99"/>
    <w:rsid w:val="00642100"/>
    <w:rPr>
      <w:rFonts w:asciiTheme="majorHAnsi" w:eastAsia="Times New Roman" w:hAnsiTheme="majorHAnsi" w:cs="Times New Roman"/>
      <w:sz w:val="20"/>
      <w:szCs w:val="20"/>
      <w:lang w:val="en-CA" w:eastAsia="en-CA"/>
    </w:rPr>
  </w:style>
  <w:style w:type="paragraph" w:customStyle="1" w:styleId="indentlevel1">
    <w:name w:val="indentlevel1"/>
    <w:basedOn w:val="Normal"/>
    <w:rsid w:val="00642100"/>
    <w:pPr>
      <w:spacing w:before="100" w:beforeAutospacing="1" w:after="100" w:afterAutospacing="1"/>
    </w:pPr>
    <w:rPr>
      <w:rFonts w:ascii="Times New Roman" w:eastAsia="PMingLiU" w:hAnsi="Times New Roman" w:cs="Times New Roman"/>
      <w:lang w:val="en-CA" w:eastAsia="zh-TW"/>
    </w:rPr>
  </w:style>
  <w:style w:type="character" w:customStyle="1" w:styleId="s1">
    <w:name w:val="s1"/>
    <w:basedOn w:val="DefaultParagraphFont"/>
    <w:rsid w:val="00642100"/>
  </w:style>
  <w:style w:type="paragraph" w:customStyle="1" w:styleId="Notes">
    <w:name w:val="Notes"/>
    <w:basedOn w:val="Normal"/>
    <w:rsid w:val="00642100"/>
    <w:pPr>
      <w:tabs>
        <w:tab w:val="left" w:pos="720"/>
      </w:tabs>
      <w:ind w:left="864" w:hanging="864"/>
    </w:pPr>
    <w:rPr>
      <w:rFonts w:ascii="Times New Roman" w:eastAsia="Times New Roman" w:hAnsi="Times New Roman" w:cs="Times New Roman"/>
      <w:sz w:val="20"/>
      <w:szCs w:val="20"/>
      <w:lang w:val="en-US"/>
    </w:rPr>
  </w:style>
  <w:style w:type="paragraph" w:customStyle="1" w:styleId="Notes1">
    <w:name w:val="Notes1"/>
    <w:basedOn w:val="Notes"/>
    <w:rsid w:val="00642100"/>
    <w:pPr>
      <w:ind w:left="1008" w:hanging="288"/>
    </w:pPr>
  </w:style>
  <w:style w:type="paragraph" w:styleId="Caption">
    <w:name w:val="caption"/>
    <w:basedOn w:val="Normal"/>
    <w:next w:val="Normal"/>
    <w:uiPriority w:val="35"/>
    <w:unhideWhenUsed/>
    <w:qFormat/>
    <w:rsid w:val="00642100"/>
    <w:pPr>
      <w:spacing w:after="200"/>
    </w:pPr>
    <w:rPr>
      <w:rFonts w:eastAsiaTheme="minorEastAsia"/>
      <w:b/>
      <w:bCs/>
      <w:color w:val="4F81BD" w:themeColor="accent1"/>
      <w:szCs w:val="18"/>
      <w:lang w:val="en-CA"/>
    </w:rPr>
  </w:style>
  <w:style w:type="paragraph" w:styleId="Title">
    <w:name w:val="Title"/>
    <w:basedOn w:val="Normal"/>
    <w:next w:val="Normal"/>
    <w:link w:val="TitleChar"/>
    <w:uiPriority w:val="10"/>
    <w:qFormat/>
    <w:rsid w:val="006421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CA"/>
    </w:rPr>
  </w:style>
  <w:style w:type="character" w:customStyle="1" w:styleId="TitleChar">
    <w:name w:val="Title Char"/>
    <w:basedOn w:val="DefaultParagraphFont"/>
    <w:link w:val="Title"/>
    <w:uiPriority w:val="10"/>
    <w:rsid w:val="00642100"/>
    <w:rPr>
      <w:rFonts w:asciiTheme="majorHAnsi" w:eastAsiaTheme="majorEastAsia" w:hAnsiTheme="majorHAnsi" w:cstheme="majorBidi"/>
      <w:color w:val="17365D" w:themeColor="text2" w:themeShade="BF"/>
      <w:spacing w:val="5"/>
      <w:kern w:val="28"/>
      <w:sz w:val="52"/>
      <w:szCs w:val="52"/>
      <w:lang w:val="en-CA"/>
    </w:rPr>
  </w:style>
  <w:style w:type="paragraph" w:styleId="Subtitle">
    <w:name w:val="Subtitle"/>
    <w:basedOn w:val="Normal"/>
    <w:next w:val="Normal"/>
    <w:link w:val="SubtitleChar"/>
    <w:uiPriority w:val="11"/>
    <w:qFormat/>
    <w:rsid w:val="00642100"/>
    <w:pPr>
      <w:numPr>
        <w:ilvl w:val="1"/>
      </w:numPr>
      <w:spacing w:after="200" w:line="276" w:lineRule="auto"/>
    </w:pPr>
    <w:rPr>
      <w:rFonts w:asciiTheme="majorHAnsi" w:eastAsiaTheme="majorEastAsia" w:hAnsiTheme="majorHAnsi" w:cstheme="majorBidi"/>
      <w:i/>
      <w:iCs/>
      <w:color w:val="4F81BD" w:themeColor="accent1"/>
      <w:spacing w:val="15"/>
      <w:lang w:val="en-CA"/>
    </w:rPr>
  </w:style>
  <w:style w:type="character" w:customStyle="1" w:styleId="SubtitleChar">
    <w:name w:val="Subtitle Char"/>
    <w:basedOn w:val="DefaultParagraphFont"/>
    <w:link w:val="Subtitle"/>
    <w:uiPriority w:val="11"/>
    <w:rsid w:val="00642100"/>
    <w:rPr>
      <w:rFonts w:asciiTheme="majorHAnsi" w:eastAsiaTheme="majorEastAsia" w:hAnsiTheme="majorHAnsi" w:cstheme="majorBidi"/>
      <w:i/>
      <w:iCs/>
      <w:color w:val="4F81BD" w:themeColor="accent1"/>
      <w:spacing w:val="15"/>
      <w:lang w:val="en-CA"/>
    </w:rPr>
  </w:style>
  <w:style w:type="paragraph" w:styleId="Quote">
    <w:name w:val="Quote"/>
    <w:basedOn w:val="Normal"/>
    <w:next w:val="Normal"/>
    <w:link w:val="QuoteChar"/>
    <w:uiPriority w:val="29"/>
    <w:qFormat/>
    <w:rsid w:val="00642100"/>
    <w:pPr>
      <w:spacing w:after="200" w:line="276" w:lineRule="auto"/>
    </w:pPr>
    <w:rPr>
      <w:rFonts w:eastAsiaTheme="minorEastAsia"/>
      <w:i/>
      <w:iCs/>
      <w:color w:val="000000" w:themeColor="text1"/>
      <w:sz w:val="22"/>
      <w:szCs w:val="22"/>
      <w:lang w:val="en-CA"/>
    </w:rPr>
  </w:style>
  <w:style w:type="character" w:customStyle="1" w:styleId="QuoteChar">
    <w:name w:val="Quote Char"/>
    <w:basedOn w:val="DefaultParagraphFont"/>
    <w:link w:val="Quote"/>
    <w:uiPriority w:val="29"/>
    <w:rsid w:val="00642100"/>
    <w:rPr>
      <w:rFonts w:eastAsiaTheme="minorEastAsia"/>
      <w:i/>
      <w:iCs/>
      <w:color w:val="000000" w:themeColor="text1"/>
      <w:sz w:val="22"/>
      <w:szCs w:val="22"/>
      <w:lang w:val="en-CA"/>
    </w:rPr>
  </w:style>
  <w:style w:type="paragraph" w:styleId="IntenseQuote">
    <w:name w:val="Intense Quote"/>
    <w:basedOn w:val="Normal"/>
    <w:next w:val="Normal"/>
    <w:link w:val="IntenseQuoteChar"/>
    <w:uiPriority w:val="30"/>
    <w:qFormat/>
    <w:rsid w:val="00642100"/>
    <w:pPr>
      <w:pBdr>
        <w:bottom w:val="single" w:sz="4" w:space="4" w:color="4F81BD" w:themeColor="accent1"/>
      </w:pBdr>
      <w:spacing w:before="200" w:after="280" w:line="276" w:lineRule="auto"/>
      <w:ind w:left="936" w:right="936"/>
    </w:pPr>
    <w:rPr>
      <w:rFonts w:eastAsiaTheme="minorEastAsia"/>
      <w:b/>
      <w:bCs/>
      <w:i/>
      <w:iCs/>
      <w:color w:val="4F81BD" w:themeColor="accent1"/>
      <w:sz w:val="22"/>
      <w:szCs w:val="22"/>
      <w:lang w:val="en-CA"/>
    </w:rPr>
  </w:style>
  <w:style w:type="character" w:customStyle="1" w:styleId="IntenseQuoteChar">
    <w:name w:val="Intense Quote Char"/>
    <w:basedOn w:val="DefaultParagraphFont"/>
    <w:link w:val="IntenseQuote"/>
    <w:uiPriority w:val="30"/>
    <w:rsid w:val="00642100"/>
    <w:rPr>
      <w:rFonts w:eastAsiaTheme="minorEastAsia"/>
      <w:b/>
      <w:bCs/>
      <w:i/>
      <w:iCs/>
      <w:color w:val="4F81BD" w:themeColor="accent1"/>
      <w:sz w:val="22"/>
      <w:szCs w:val="22"/>
      <w:lang w:val="en-CA"/>
    </w:rPr>
  </w:style>
  <w:style w:type="character" w:styleId="SubtleEmphasis">
    <w:name w:val="Subtle Emphasis"/>
    <w:basedOn w:val="DefaultParagraphFont"/>
    <w:uiPriority w:val="19"/>
    <w:qFormat/>
    <w:rsid w:val="00642100"/>
    <w:rPr>
      <w:i/>
      <w:iCs/>
      <w:color w:val="808080" w:themeColor="text1" w:themeTint="7F"/>
    </w:rPr>
  </w:style>
  <w:style w:type="character" w:styleId="IntenseEmphasis">
    <w:name w:val="Intense Emphasis"/>
    <w:basedOn w:val="DefaultParagraphFont"/>
    <w:uiPriority w:val="21"/>
    <w:qFormat/>
    <w:rsid w:val="00642100"/>
    <w:rPr>
      <w:b/>
      <w:bCs/>
      <w:i/>
      <w:iCs/>
      <w:color w:val="4F81BD" w:themeColor="accent1"/>
    </w:rPr>
  </w:style>
  <w:style w:type="character" w:styleId="SubtleReference">
    <w:name w:val="Subtle Reference"/>
    <w:basedOn w:val="DefaultParagraphFont"/>
    <w:uiPriority w:val="31"/>
    <w:qFormat/>
    <w:rsid w:val="00642100"/>
    <w:rPr>
      <w:smallCaps/>
      <w:color w:val="C0504D" w:themeColor="accent2"/>
      <w:u w:val="single"/>
    </w:rPr>
  </w:style>
  <w:style w:type="character" w:styleId="IntenseReference">
    <w:name w:val="Intense Reference"/>
    <w:basedOn w:val="DefaultParagraphFont"/>
    <w:uiPriority w:val="32"/>
    <w:qFormat/>
    <w:rsid w:val="00642100"/>
    <w:rPr>
      <w:b/>
      <w:bCs/>
      <w:smallCaps/>
      <w:color w:val="C0504D" w:themeColor="accent2"/>
      <w:spacing w:val="5"/>
      <w:u w:val="single"/>
    </w:rPr>
  </w:style>
  <w:style w:type="character" w:styleId="BookTitle">
    <w:name w:val="Book Title"/>
    <w:basedOn w:val="DefaultParagraphFont"/>
    <w:uiPriority w:val="33"/>
    <w:qFormat/>
    <w:rsid w:val="00642100"/>
    <w:rPr>
      <w:b/>
      <w:bCs/>
      <w:smallCaps/>
      <w:spacing w:val="5"/>
    </w:rPr>
  </w:style>
  <w:style w:type="character" w:customStyle="1" w:styleId="apple-converted-space">
    <w:name w:val="apple-converted-space"/>
    <w:basedOn w:val="DefaultParagraphFont"/>
    <w:rsid w:val="00642100"/>
  </w:style>
  <w:style w:type="paragraph" w:customStyle="1" w:styleId="def">
    <w:name w:val="def"/>
    <w:basedOn w:val="Normal"/>
    <w:rsid w:val="00642100"/>
    <w:pPr>
      <w:spacing w:before="100" w:beforeAutospacing="1" w:after="100" w:afterAutospacing="1"/>
    </w:pPr>
    <w:rPr>
      <w:rFonts w:ascii="Times New Roman" w:eastAsia="Times New Roman" w:hAnsi="Times New Roman" w:cs="Times New Roman"/>
      <w:lang w:val="en-CA" w:eastAsia="en-CA"/>
    </w:rPr>
  </w:style>
  <w:style w:type="paragraph" w:customStyle="1" w:styleId="sec2d1">
    <w:name w:val="sec2d1"/>
    <w:basedOn w:val="Normal"/>
    <w:rsid w:val="00642100"/>
    <w:pPr>
      <w:spacing w:before="100" w:beforeAutospacing="1" w:after="100" w:afterAutospacing="1"/>
    </w:pPr>
    <w:rPr>
      <w:rFonts w:ascii="Times New Roman" w:eastAsia="Times New Roman" w:hAnsi="Times New Roman" w:cs="Times New Roman"/>
      <w:lang w:val="en-CA" w:eastAsia="en-CA"/>
    </w:rPr>
  </w:style>
  <w:style w:type="paragraph" w:styleId="BodyText">
    <w:name w:val="Body Text"/>
    <w:basedOn w:val="Normal"/>
    <w:link w:val="BodyTextChar"/>
    <w:rsid w:val="00642100"/>
    <w:rPr>
      <w:rFonts w:ascii="Times" w:eastAsia="Times" w:hAnsi="Times" w:cs="Times New Roman"/>
      <w:b/>
      <w:szCs w:val="20"/>
      <w:lang w:val="en-US" w:eastAsia="zh-TW"/>
    </w:rPr>
  </w:style>
  <w:style w:type="character" w:customStyle="1" w:styleId="BodyTextChar">
    <w:name w:val="Body Text Char"/>
    <w:basedOn w:val="DefaultParagraphFont"/>
    <w:link w:val="BodyText"/>
    <w:rsid w:val="00642100"/>
    <w:rPr>
      <w:rFonts w:ascii="Times" w:eastAsia="Times" w:hAnsi="Times" w:cs="Times New Roman"/>
      <w:b/>
      <w:szCs w:val="20"/>
      <w:lang w:eastAsia="zh-TW"/>
    </w:rPr>
  </w:style>
  <w:style w:type="paragraph" w:customStyle="1" w:styleId="marginalnote">
    <w:name w:val="marginalnote"/>
    <w:basedOn w:val="Normal"/>
    <w:rsid w:val="00642100"/>
    <w:pPr>
      <w:spacing w:before="100" w:beforeAutospacing="1" w:after="100" w:afterAutospacing="1"/>
    </w:pPr>
    <w:rPr>
      <w:rFonts w:ascii="Times New Roman" w:eastAsia="Times New Roman" w:hAnsi="Times New Roman" w:cs="Times New Roman"/>
      <w:lang w:val="en-CA" w:eastAsia="en-CA"/>
    </w:rPr>
  </w:style>
  <w:style w:type="paragraph" w:customStyle="1" w:styleId="secsubsec">
    <w:name w:val="secsubsec"/>
    <w:basedOn w:val="Normal"/>
    <w:rsid w:val="00642100"/>
    <w:pPr>
      <w:spacing w:before="100" w:beforeAutospacing="1" w:after="100" w:afterAutospacing="1"/>
    </w:pPr>
    <w:rPr>
      <w:rFonts w:ascii="Times New Roman" w:eastAsia="Times New Roman" w:hAnsi="Times New Roman" w:cs="Times New Roman"/>
      <w:lang w:val="en-CA" w:eastAsia="en-CA"/>
    </w:rPr>
  </w:style>
  <w:style w:type="character" w:customStyle="1" w:styleId="indentlabel">
    <w:name w:val="indentlabel"/>
    <w:basedOn w:val="DefaultParagraphFont"/>
    <w:rsid w:val="00642100"/>
  </w:style>
  <w:style w:type="paragraph" w:customStyle="1" w:styleId="paragraph">
    <w:name w:val="paragraph"/>
    <w:basedOn w:val="Normal"/>
    <w:rsid w:val="00642100"/>
    <w:pPr>
      <w:spacing w:before="100" w:beforeAutospacing="1" w:after="100" w:afterAutospacing="1"/>
    </w:pPr>
    <w:rPr>
      <w:rFonts w:ascii="Times New Roman" w:eastAsia="Times New Roman" w:hAnsi="Times New Roman" w:cs="Times New Roman"/>
      <w:lang w:val="en-CA" w:eastAsia="en-CA"/>
    </w:rPr>
  </w:style>
  <w:style w:type="character" w:customStyle="1" w:styleId="italic">
    <w:name w:val="italic"/>
    <w:basedOn w:val="DefaultParagraphFont"/>
    <w:rsid w:val="00642100"/>
  </w:style>
  <w:style w:type="paragraph" w:styleId="ListBullet">
    <w:name w:val="List Bullet"/>
    <w:basedOn w:val="Normal"/>
    <w:rsid w:val="007D3F2F"/>
    <w:pPr>
      <w:numPr>
        <w:numId w:val="24"/>
      </w:numPr>
      <w:contextualSpacing/>
    </w:pPr>
  </w:style>
  <w:style w:type="character" w:styleId="PageNumber">
    <w:name w:val="page number"/>
    <w:basedOn w:val="DefaultParagraphFont"/>
    <w:rsid w:val="009B101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37</Pages>
  <Words>15502</Words>
  <Characters>88362</Characters>
  <Application>Microsoft Word 12.0.0</Application>
  <DocSecurity>0</DocSecurity>
  <Lines>736</Lines>
  <Paragraphs>176</Paragraphs>
  <ScaleCrop>false</ScaleCrop>
  <LinksUpToDate>false</LinksUpToDate>
  <CharactersWithSpaces>108514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Dallakyan</dc:creator>
  <cp:keywords/>
  <cp:lastModifiedBy>Robert Dallakyan</cp:lastModifiedBy>
  <cp:revision>92</cp:revision>
  <cp:lastPrinted>2014-04-24T01:33:00Z</cp:lastPrinted>
  <dcterms:created xsi:type="dcterms:W3CDTF">2014-04-08T06:58:00Z</dcterms:created>
  <dcterms:modified xsi:type="dcterms:W3CDTF">2014-04-24T05:23:00Z</dcterms:modified>
</cp:coreProperties>
</file>