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1912227483"/>
        <w:docPartObj>
          <w:docPartGallery w:val="Table of Contents"/>
          <w:docPartUnique/>
        </w:docPartObj>
      </w:sdtPr>
      <w:sdtEndPr>
        <w:rPr>
          <w:b/>
          <w:bCs/>
          <w:noProof/>
          <w:sz w:val="18"/>
        </w:rPr>
      </w:sdtEndPr>
      <w:sdtContent>
        <w:p w:rsidR="00E06F57" w:rsidRPr="00670212" w:rsidRDefault="00E06F57" w:rsidP="00FF0B61">
          <w:pPr>
            <w:pStyle w:val="TOCHeading"/>
            <w:spacing w:before="0" w:line="240" w:lineRule="auto"/>
            <w:rPr>
              <w:sz w:val="14"/>
              <w:szCs w:val="18"/>
            </w:rPr>
          </w:pPr>
        </w:p>
        <w:p w:rsidR="00E91AA0" w:rsidRPr="00152E2F" w:rsidRDefault="00E06F57" w:rsidP="00FF0B61">
          <w:pPr>
            <w:pStyle w:val="TOC1"/>
            <w:rPr>
              <w:rFonts w:eastAsiaTheme="minorEastAsia"/>
              <w:noProof/>
              <w:sz w:val="20"/>
              <w:lang w:val="en-CA" w:eastAsia="en-CA"/>
            </w:rPr>
          </w:pPr>
          <w:r w:rsidRPr="00A8188A">
            <w:rPr>
              <w:sz w:val="2"/>
              <w:szCs w:val="18"/>
            </w:rPr>
            <w:fldChar w:fldCharType="begin"/>
          </w:r>
          <w:r w:rsidRPr="00A8188A">
            <w:rPr>
              <w:sz w:val="2"/>
              <w:szCs w:val="18"/>
            </w:rPr>
            <w:instrText xml:space="preserve"> TOC \o "1-3" \h \z \u </w:instrText>
          </w:r>
          <w:r w:rsidRPr="00A8188A">
            <w:rPr>
              <w:sz w:val="2"/>
              <w:szCs w:val="18"/>
            </w:rPr>
            <w:fldChar w:fldCharType="separate"/>
          </w:r>
          <w:hyperlink w:anchor="_Toc468980386" w:history="1">
            <w:r w:rsidR="00E91AA0" w:rsidRPr="00152E2F">
              <w:rPr>
                <w:rStyle w:val="Hyperlink"/>
                <w:noProof/>
                <w:sz w:val="16"/>
              </w:rPr>
              <w:t>Introduction</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_Toc468980386 \h </w:instrText>
            </w:r>
            <w:r w:rsidR="00E91AA0" w:rsidRPr="00152E2F">
              <w:rPr>
                <w:noProof/>
                <w:webHidden/>
                <w:sz w:val="16"/>
              </w:rPr>
            </w:r>
            <w:r w:rsidR="00E91AA0" w:rsidRPr="00152E2F">
              <w:rPr>
                <w:noProof/>
                <w:webHidden/>
                <w:sz w:val="16"/>
              </w:rPr>
              <w:fldChar w:fldCharType="separate"/>
            </w:r>
            <w:r w:rsidR="0029486E">
              <w:rPr>
                <w:noProof/>
                <w:webHidden/>
                <w:sz w:val="16"/>
              </w:rPr>
              <w:t>2</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387" w:history="1">
            <w:r w:rsidR="00E91AA0" w:rsidRPr="00152E2F">
              <w:rPr>
                <w:rStyle w:val="Hyperlink"/>
                <w:noProof/>
                <w:sz w:val="16"/>
              </w:rPr>
              <w:t>TYPES OF SECURITIES: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_Toc468980387 \h </w:instrText>
            </w:r>
            <w:r w:rsidR="00E91AA0" w:rsidRPr="00152E2F">
              <w:rPr>
                <w:noProof/>
                <w:webHidden/>
                <w:sz w:val="16"/>
              </w:rPr>
            </w:r>
            <w:r w:rsidR="00E91AA0" w:rsidRPr="00152E2F">
              <w:rPr>
                <w:noProof/>
                <w:webHidden/>
                <w:sz w:val="16"/>
              </w:rPr>
              <w:fldChar w:fldCharType="separate"/>
            </w:r>
            <w:r w:rsidR="0029486E">
              <w:rPr>
                <w:noProof/>
                <w:webHidden/>
                <w:sz w:val="16"/>
              </w:rPr>
              <w:t>2</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388" w:history="1">
            <w:r w:rsidR="00E91AA0" w:rsidRPr="00152E2F">
              <w:rPr>
                <w:rStyle w:val="Hyperlink"/>
                <w:noProof/>
                <w:sz w:val="16"/>
              </w:rPr>
              <w:t>INVESTORS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_Toc468980388 \h </w:instrText>
            </w:r>
            <w:r w:rsidR="00E91AA0" w:rsidRPr="00152E2F">
              <w:rPr>
                <w:noProof/>
                <w:webHidden/>
                <w:sz w:val="16"/>
              </w:rPr>
            </w:r>
            <w:r w:rsidR="00E91AA0" w:rsidRPr="00152E2F">
              <w:rPr>
                <w:noProof/>
                <w:webHidden/>
                <w:sz w:val="16"/>
              </w:rPr>
              <w:fldChar w:fldCharType="separate"/>
            </w:r>
            <w:r w:rsidR="0029486E">
              <w:rPr>
                <w:noProof/>
                <w:webHidden/>
                <w:sz w:val="16"/>
              </w:rPr>
              <w:t>3</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389" w:history="1">
            <w:r w:rsidR="00E91AA0" w:rsidRPr="00152E2F">
              <w:rPr>
                <w:rStyle w:val="Hyperlink"/>
                <w:noProof/>
                <w:sz w:val="16"/>
              </w:rPr>
              <w:t>“Issuer” vs “Reporting Issuer”</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_Toc468980389 \h </w:instrText>
            </w:r>
            <w:r w:rsidR="00E91AA0" w:rsidRPr="00152E2F">
              <w:rPr>
                <w:noProof/>
                <w:webHidden/>
                <w:sz w:val="16"/>
              </w:rPr>
            </w:r>
            <w:r w:rsidR="00E91AA0" w:rsidRPr="00152E2F">
              <w:rPr>
                <w:noProof/>
                <w:webHidden/>
                <w:sz w:val="16"/>
              </w:rPr>
              <w:fldChar w:fldCharType="separate"/>
            </w:r>
            <w:r w:rsidR="0029486E">
              <w:rPr>
                <w:noProof/>
                <w:webHidden/>
                <w:sz w:val="16"/>
              </w:rPr>
              <w:t>3</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390" w:history="1">
            <w:r w:rsidR="00E91AA0" w:rsidRPr="00152E2F">
              <w:rPr>
                <w:rStyle w:val="Hyperlink"/>
                <w:noProof/>
                <w:sz w:val="16"/>
              </w:rPr>
              <w:t>Scope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_Toc468980390 \h </w:instrText>
            </w:r>
            <w:r w:rsidR="00E91AA0" w:rsidRPr="00152E2F">
              <w:rPr>
                <w:noProof/>
                <w:webHidden/>
                <w:sz w:val="16"/>
              </w:rPr>
            </w:r>
            <w:r w:rsidR="00E91AA0" w:rsidRPr="00152E2F">
              <w:rPr>
                <w:noProof/>
                <w:webHidden/>
                <w:sz w:val="16"/>
              </w:rPr>
              <w:fldChar w:fldCharType="separate"/>
            </w:r>
            <w:r w:rsidR="0029486E">
              <w:rPr>
                <w:noProof/>
                <w:webHidden/>
                <w:sz w:val="16"/>
              </w:rPr>
              <w:t>3</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391" w:history="1">
            <w:r w:rsidR="00E91AA0" w:rsidRPr="00152E2F">
              <w:rPr>
                <w:rStyle w:val="Hyperlink"/>
                <w:noProof/>
                <w:sz w:val="16"/>
              </w:rPr>
              <w:t>DEFINITION: “Security”</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_Toc468980391 \h </w:instrText>
            </w:r>
            <w:r w:rsidR="00E91AA0" w:rsidRPr="00152E2F">
              <w:rPr>
                <w:noProof/>
                <w:webHidden/>
                <w:sz w:val="16"/>
              </w:rPr>
            </w:r>
            <w:r w:rsidR="00E91AA0" w:rsidRPr="00152E2F">
              <w:rPr>
                <w:noProof/>
                <w:webHidden/>
                <w:sz w:val="16"/>
              </w:rPr>
              <w:fldChar w:fldCharType="separate"/>
            </w:r>
            <w:r w:rsidR="0029486E">
              <w:rPr>
                <w:noProof/>
                <w:webHidden/>
                <w:sz w:val="16"/>
              </w:rPr>
              <w:t>3</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392" w:history="1">
            <w:r w:rsidR="00E91AA0" w:rsidRPr="00152E2F">
              <w:rPr>
                <w:rStyle w:val="Hyperlink"/>
                <w:noProof/>
                <w:sz w:val="16"/>
              </w:rPr>
              <w:t>DEFINITION: “Trade” (BCSA, s.1(1)):</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_Toc468980392 \h </w:instrText>
            </w:r>
            <w:r w:rsidR="00E91AA0" w:rsidRPr="00152E2F">
              <w:rPr>
                <w:noProof/>
                <w:webHidden/>
                <w:sz w:val="16"/>
              </w:rPr>
            </w:r>
            <w:r w:rsidR="00E91AA0" w:rsidRPr="00152E2F">
              <w:rPr>
                <w:noProof/>
                <w:webHidden/>
                <w:sz w:val="16"/>
              </w:rPr>
              <w:fldChar w:fldCharType="separate"/>
            </w:r>
            <w:r w:rsidR="0029486E">
              <w:rPr>
                <w:noProof/>
                <w:webHidden/>
                <w:sz w:val="16"/>
              </w:rPr>
              <w:t>4</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393" w:history="1">
            <w:r w:rsidR="00E91AA0" w:rsidRPr="00152E2F">
              <w:rPr>
                <w:rStyle w:val="Hyperlink"/>
                <w:noProof/>
                <w:sz w:val="16"/>
              </w:rPr>
              <w:t xml:space="preserve">DEFINITION: “Distribution” – </w:t>
            </w:r>
            <w:r w:rsidR="00E91AA0" w:rsidRPr="00152E2F">
              <w:rPr>
                <w:rStyle w:val="Hyperlink"/>
                <w:rFonts w:ascii="Calibri" w:hAnsi="Calibri" w:cs="Calibri"/>
                <w:noProof/>
                <w:sz w:val="16"/>
              </w:rPr>
              <w:t>(note (b) and (d) are not important) (NB: Incorporates the word trade (defined above))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_Toc468980393 \h </w:instrText>
            </w:r>
            <w:r w:rsidR="00E91AA0" w:rsidRPr="00152E2F">
              <w:rPr>
                <w:noProof/>
                <w:webHidden/>
                <w:sz w:val="16"/>
              </w:rPr>
            </w:r>
            <w:r w:rsidR="00E91AA0" w:rsidRPr="00152E2F">
              <w:rPr>
                <w:noProof/>
                <w:webHidden/>
                <w:sz w:val="16"/>
              </w:rPr>
              <w:fldChar w:fldCharType="separate"/>
            </w:r>
            <w:r w:rsidR="0029486E">
              <w:rPr>
                <w:noProof/>
                <w:webHidden/>
                <w:sz w:val="16"/>
              </w:rPr>
              <w:t>5</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394" w:history="1">
            <w:r w:rsidR="00E91AA0" w:rsidRPr="00152E2F">
              <w:rPr>
                <w:rStyle w:val="Hyperlink"/>
                <w:noProof/>
                <w:sz w:val="16"/>
              </w:rPr>
              <w:t>Different Kinds of Distribution</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_Toc468980394 \h </w:instrText>
            </w:r>
            <w:r w:rsidR="00E91AA0" w:rsidRPr="00152E2F">
              <w:rPr>
                <w:noProof/>
                <w:webHidden/>
                <w:sz w:val="16"/>
              </w:rPr>
            </w:r>
            <w:r w:rsidR="00E91AA0" w:rsidRPr="00152E2F">
              <w:rPr>
                <w:noProof/>
                <w:webHidden/>
                <w:sz w:val="16"/>
              </w:rPr>
              <w:fldChar w:fldCharType="separate"/>
            </w:r>
            <w:r w:rsidR="0029486E">
              <w:rPr>
                <w:noProof/>
                <w:webHidden/>
                <w:sz w:val="16"/>
              </w:rPr>
              <w:t>5</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395" w:history="1">
            <w:r w:rsidR="00E91AA0" w:rsidRPr="00152E2F">
              <w:rPr>
                <w:rStyle w:val="Hyperlink"/>
                <w:noProof/>
                <w:sz w:val="16"/>
                <w:lang w:val="en-CA" w:eastAsia="en-CA"/>
              </w:rPr>
              <w:t>DEFINITION: “Materiality”</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_Toc468980395 \h </w:instrText>
            </w:r>
            <w:r w:rsidR="00E91AA0" w:rsidRPr="00152E2F">
              <w:rPr>
                <w:noProof/>
                <w:webHidden/>
                <w:sz w:val="16"/>
              </w:rPr>
            </w:r>
            <w:r w:rsidR="00E91AA0" w:rsidRPr="00152E2F">
              <w:rPr>
                <w:noProof/>
                <w:webHidden/>
                <w:sz w:val="16"/>
              </w:rPr>
              <w:fldChar w:fldCharType="separate"/>
            </w:r>
            <w:r w:rsidR="0029486E">
              <w:rPr>
                <w:noProof/>
                <w:webHidden/>
                <w:sz w:val="16"/>
              </w:rPr>
              <w:t>6</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396" w:history="1">
            <w:r w:rsidR="00E91AA0" w:rsidRPr="00152E2F">
              <w:rPr>
                <w:rStyle w:val="Hyperlink"/>
                <w:noProof/>
                <w:sz w:val="16"/>
                <w:lang w:val="en-CA" w:eastAsia="en-CA"/>
              </w:rPr>
              <w:t>Machinery</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_Toc468980396 \h </w:instrText>
            </w:r>
            <w:r w:rsidR="00E91AA0" w:rsidRPr="00152E2F">
              <w:rPr>
                <w:noProof/>
                <w:webHidden/>
                <w:sz w:val="16"/>
              </w:rPr>
            </w:r>
            <w:r w:rsidR="00E91AA0" w:rsidRPr="00152E2F">
              <w:rPr>
                <w:noProof/>
                <w:webHidden/>
                <w:sz w:val="16"/>
              </w:rPr>
              <w:fldChar w:fldCharType="separate"/>
            </w:r>
            <w:r w:rsidR="0029486E">
              <w:rPr>
                <w:noProof/>
                <w:webHidden/>
                <w:sz w:val="16"/>
              </w:rPr>
              <w:t>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397" w:history="1">
            <w:r w:rsidR="00E91AA0" w:rsidRPr="00152E2F">
              <w:rPr>
                <w:rStyle w:val="Hyperlink"/>
                <w:noProof/>
                <w:sz w:val="16"/>
                <w:lang w:val="en-CA" w:eastAsia="en-CA"/>
              </w:rPr>
              <w:t>BC Securities Commission</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_Toc468980397 \h </w:instrText>
            </w:r>
            <w:r w:rsidR="00E91AA0" w:rsidRPr="00152E2F">
              <w:rPr>
                <w:noProof/>
                <w:webHidden/>
                <w:sz w:val="16"/>
              </w:rPr>
            </w:r>
            <w:r w:rsidR="00E91AA0" w:rsidRPr="00152E2F">
              <w:rPr>
                <w:noProof/>
                <w:webHidden/>
                <w:sz w:val="16"/>
              </w:rPr>
              <w:fldChar w:fldCharType="separate"/>
            </w:r>
            <w:r w:rsidR="0029486E">
              <w:rPr>
                <w:noProof/>
                <w:webHidden/>
                <w:sz w:val="16"/>
              </w:rPr>
              <w:t>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398" w:history="1">
            <w:r w:rsidR="00E91AA0" w:rsidRPr="00152E2F">
              <w:rPr>
                <w:rStyle w:val="Hyperlink"/>
                <w:noProof/>
                <w:sz w:val="16"/>
                <w:lang w:val="en-CA" w:eastAsia="en-CA"/>
              </w:rPr>
              <w:t>Enforcement Procedure of Commissions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_Toc468980398 \h </w:instrText>
            </w:r>
            <w:r w:rsidR="00E91AA0" w:rsidRPr="00152E2F">
              <w:rPr>
                <w:noProof/>
                <w:webHidden/>
                <w:sz w:val="16"/>
              </w:rPr>
            </w:r>
            <w:r w:rsidR="00E91AA0" w:rsidRPr="00152E2F">
              <w:rPr>
                <w:noProof/>
                <w:webHidden/>
                <w:sz w:val="16"/>
              </w:rPr>
              <w:fldChar w:fldCharType="separate"/>
            </w:r>
            <w:r w:rsidR="0029486E">
              <w:rPr>
                <w:noProof/>
                <w:webHidden/>
                <w:sz w:val="16"/>
              </w:rPr>
              <w:t>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399" w:history="1">
            <w:r w:rsidR="00E91AA0" w:rsidRPr="00152E2F">
              <w:rPr>
                <w:rStyle w:val="Hyperlink"/>
                <w:noProof/>
                <w:sz w:val="16"/>
                <w:lang w:val="en-CA" w:eastAsia="en-CA"/>
              </w:rPr>
              <w:t>Reviews and Appeals (</w:t>
            </w:r>
            <w:r w:rsidR="00E91AA0" w:rsidRPr="00152E2F">
              <w:rPr>
                <w:rStyle w:val="Hyperlink"/>
                <w:noProof/>
                <w:color w:val="034990" w:themeColor="hyperlink" w:themeShade="BF"/>
                <w:sz w:val="16"/>
                <w:lang w:val="en-CA" w:eastAsia="en-CA"/>
              </w:rPr>
              <w:t>Part 19 BCSA</w:t>
            </w:r>
            <w:r w:rsidR="00E91AA0" w:rsidRPr="00152E2F">
              <w:rPr>
                <w:rStyle w:val="Hyperlink"/>
                <w:noProof/>
                <w:sz w:val="16"/>
                <w:lang w:val="en-CA" w:eastAsia="en-CA"/>
              </w:rPr>
              <w:t>)</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_Toc468980399 \h </w:instrText>
            </w:r>
            <w:r w:rsidR="00E91AA0" w:rsidRPr="00152E2F">
              <w:rPr>
                <w:noProof/>
                <w:webHidden/>
                <w:sz w:val="16"/>
              </w:rPr>
            </w:r>
            <w:r w:rsidR="00E91AA0" w:rsidRPr="00152E2F">
              <w:rPr>
                <w:noProof/>
                <w:webHidden/>
                <w:sz w:val="16"/>
              </w:rPr>
              <w:fldChar w:fldCharType="separate"/>
            </w:r>
            <w:r w:rsidR="0029486E">
              <w:rPr>
                <w:noProof/>
                <w:webHidden/>
                <w:sz w:val="16"/>
              </w:rPr>
              <w:t>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00" w:history="1">
            <w:r w:rsidR="00E91AA0" w:rsidRPr="00152E2F">
              <w:rPr>
                <w:rStyle w:val="Hyperlink"/>
                <w:noProof/>
                <w:sz w:val="16"/>
                <w:lang w:val="en-CA" w:eastAsia="en-CA"/>
              </w:rPr>
              <w:t>National Instruments &amp; Policies (have legal force under BCSA ss.184, 187)</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_Toc468980400 \h </w:instrText>
            </w:r>
            <w:r w:rsidR="00E91AA0" w:rsidRPr="00152E2F">
              <w:rPr>
                <w:noProof/>
                <w:webHidden/>
                <w:sz w:val="16"/>
              </w:rPr>
            </w:r>
            <w:r w:rsidR="00E91AA0" w:rsidRPr="00152E2F">
              <w:rPr>
                <w:noProof/>
                <w:webHidden/>
                <w:sz w:val="16"/>
              </w:rPr>
              <w:fldChar w:fldCharType="separate"/>
            </w:r>
            <w:r w:rsidR="0029486E">
              <w:rPr>
                <w:noProof/>
                <w:webHidden/>
                <w:sz w:val="16"/>
              </w:rPr>
              <w:t>8</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01" w:history="1">
            <w:r w:rsidR="00E91AA0" w:rsidRPr="00152E2F">
              <w:rPr>
                <w:rStyle w:val="Hyperlink"/>
                <w:noProof/>
                <w:sz w:val="16"/>
                <w:lang w:val="en-CA" w:eastAsia="en-CA"/>
              </w:rPr>
              <w:t>Self-Regulatory Organizations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_Toc468980401 \h </w:instrText>
            </w:r>
            <w:r w:rsidR="00E91AA0" w:rsidRPr="00152E2F">
              <w:rPr>
                <w:noProof/>
                <w:webHidden/>
                <w:sz w:val="16"/>
              </w:rPr>
            </w:r>
            <w:r w:rsidR="00E91AA0" w:rsidRPr="00152E2F">
              <w:rPr>
                <w:noProof/>
                <w:webHidden/>
                <w:sz w:val="16"/>
              </w:rPr>
              <w:fldChar w:fldCharType="separate"/>
            </w:r>
            <w:r w:rsidR="0029486E">
              <w:rPr>
                <w:noProof/>
                <w:webHidden/>
                <w:sz w:val="16"/>
              </w:rPr>
              <w:t>8</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02" w:history="1">
            <w:r w:rsidR="00E91AA0" w:rsidRPr="00152E2F">
              <w:rPr>
                <w:rStyle w:val="Hyperlink"/>
                <w:noProof/>
                <w:sz w:val="16"/>
                <w:lang w:val="en-CA" w:eastAsia="en-CA"/>
              </w:rPr>
              <w:t>Industry Best Practice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_Toc468980402 \h </w:instrText>
            </w:r>
            <w:r w:rsidR="00E91AA0" w:rsidRPr="00152E2F">
              <w:rPr>
                <w:noProof/>
                <w:webHidden/>
                <w:sz w:val="16"/>
              </w:rPr>
            </w:r>
            <w:r w:rsidR="00E91AA0" w:rsidRPr="00152E2F">
              <w:rPr>
                <w:noProof/>
                <w:webHidden/>
                <w:sz w:val="16"/>
              </w:rPr>
              <w:fldChar w:fldCharType="separate"/>
            </w:r>
            <w:r w:rsidR="0029486E">
              <w:rPr>
                <w:noProof/>
                <w:webHidden/>
                <w:sz w:val="16"/>
              </w:rPr>
              <w:t>8</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03" w:history="1">
            <w:r w:rsidR="00E91AA0" w:rsidRPr="00152E2F">
              <w:rPr>
                <w:rStyle w:val="Hyperlink"/>
                <w:noProof/>
                <w:sz w:val="16"/>
                <w:lang w:val="en-CA" w:eastAsia="en-CA"/>
              </w:rPr>
              <w:t>Federalism, Financial Regulation, and Potential Regime Change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_Toc468980403 \h </w:instrText>
            </w:r>
            <w:r w:rsidR="00E91AA0" w:rsidRPr="00152E2F">
              <w:rPr>
                <w:noProof/>
                <w:webHidden/>
                <w:sz w:val="16"/>
              </w:rPr>
            </w:r>
            <w:r w:rsidR="00E91AA0" w:rsidRPr="00152E2F">
              <w:rPr>
                <w:noProof/>
                <w:webHidden/>
                <w:sz w:val="16"/>
              </w:rPr>
              <w:fldChar w:fldCharType="separate"/>
            </w:r>
            <w:r w:rsidR="0029486E">
              <w:rPr>
                <w:noProof/>
                <w:webHidden/>
                <w:sz w:val="16"/>
              </w:rPr>
              <w:t>8</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04" w:history="1">
            <w:r w:rsidR="00E91AA0" w:rsidRPr="00152E2F">
              <w:rPr>
                <w:rStyle w:val="Hyperlink"/>
                <w:noProof/>
                <w:sz w:val="16"/>
                <w:lang w:val="en-CA" w:eastAsia="en-CA"/>
              </w:rPr>
              <w:t>Prospectus Process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_Toc468980404 \h </w:instrText>
            </w:r>
            <w:r w:rsidR="00E91AA0" w:rsidRPr="00152E2F">
              <w:rPr>
                <w:noProof/>
                <w:webHidden/>
                <w:sz w:val="16"/>
              </w:rPr>
            </w:r>
            <w:r w:rsidR="00E91AA0" w:rsidRPr="00152E2F">
              <w:rPr>
                <w:noProof/>
                <w:webHidden/>
                <w:sz w:val="16"/>
              </w:rPr>
              <w:fldChar w:fldCharType="separate"/>
            </w:r>
            <w:r w:rsidR="0029486E">
              <w:rPr>
                <w:noProof/>
                <w:webHidden/>
                <w:sz w:val="16"/>
              </w:rPr>
              <w:t>9</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05" w:history="1">
            <w:r w:rsidR="00E91AA0" w:rsidRPr="00152E2F">
              <w:rPr>
                <w:rStyle w:val="Hyperlink"/>
                <w:noProof/>
                <w:sz w:val="16"/>
                <w:lang w:val="en-CA" w:eastAsia="en-CA"/>
              </w:rPr>
              <w:t>Basic Requirements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_Toc468980405 \h </w:instrText>
            </w:r>
            <w:r w:rsidR="00E91AA0" w:rsidRPr="00152E2F">
              <w:rPr>
                <w:noProof/>
                <w:webHidden/>
                <w:sz w:val="16"/>
              </w:rPr>
            </w:r>
            <w:r w:rsidR="00E91AA0" w:rsidRPr="00152E2F">
              <w:rPr>
                <w:noProof/>
                <w:webHidden/>
                <w:sz w:val="16"/>
              </w:rPr>
              <w:fldChar w:fldCharType="separate"/>
            </w:r>
            <w:r w:rsidR="0029486E">
              <w:rPr>
                <w:noProof/>
                <w:webHidden/>
                <w:sz w:val="16"/>
              </w:rPr>
              <w:t>9</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06" w:history="1">
            <w:r w:rsidR="00E91AA0" w:rsidRPr="00152E2F">
              <w:rPr>
                <w:rStyle w:val="Hyperlink"/>
                <w:noProof/>
                <w:sz w:val="16"/>
              </w:rPr>
              <w:t xml:space="preserve">NI 41-101 General Prospectus Requirements </w:t>
            </w:r>
            <w:r w:rsidR="00E91AA0" w:rsidRPr="00152E2F">
              <w:rPr>
                <w:rStyle w:val="Hyperlink"/>
                <w:noProof/>
                <w:sz w:val="16"/>
              </w:rPr>
              <w:sym w:font="Wingdings" w:char="F0E0"/>
            </w:r>
            <w:r w:rsidR="00E91AA0" w:rsidRPr="00152E2F">
              <w:rPr>
                <w:rStyle w:val="Hyperlink"/>
                <w:noProof/>
                <w:sz w:val="16"/>
              </w:rPr>
              <w:t xml:space="preserve"> Regime to prepare, file and distribute a “long form” prospectus.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_Toc468980406 \h </w:instrText>
            </w:r>
            <w:r w:rsidR="00E91AA0" w:rsidRPr="00152E2F">
              <w:rPr>
                <w:noProof/>
                <w:webHidden/>
                <w:sz w:val="16"/>
              </w:rPr>
            </w:r>
            <w:r w:rsidR="00E91AA0" w:rsidRPr="00152E2F">
              <w:rPr>
                <w:noProof/>
                <w:webHidden/>
                <w:sz w:val="16"/>
              </w:rPr>
              <w:fldChar w:fldCharType="separate"/>
            </w:r>
            <w:r w:rsidR="0029486E">
              <w:rPr>
                <w:noProof/>
                <w:webHidden/>
                <w:sz w:val="16"/>
              </w:rPr>
              <w:t>9</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07" w:history="1">
            <w:r w:rsidR="00E91AA0" w:rsidRPr="00152E2F">
              <w:rPr>
                <w:rStyle w:val="Hyperlink"/>
                <w:noProof/>
                <w:sz w:val="16"/>
              </w:rPr>
              <w:t>Mechanics and Stages of Prospectus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_Toc468980407 \h </w:instrText>
            </w:r>
            <w:r w:rsidR="00E91AA0" w:rsidRPr="00152E2F">
              <w:rPr>
                <w:noProof/>
                <w:webHidden/>
                <w:sz w:val="16"/>
              </w:rPr>
            </w:r>
            <w:r w:rsidR="00E91AA0" w:rsidRPr="00152E2F">
              <w:rPr>
                <w:noProof/>
                <w:webHidden/>
                <w:sz w:val="16"/>
              </w:rPr>
              <w:fldChar w:fldCharType="separate"/>
            </w:r>
            <w:r w:rsidR="0029486E">
              <w:rPr>
                <w:noProof/>
                <w:webHidden/>
                <w:sz w:val="16"/>
              </w:rPr>
              <w:t>10</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08" w:history="1">
            <w:r w:rsidR="00E91AA0" w:rsidRPr="00152E2F">
              <w:rPr>
                <w:rStyle w:val="Hyperlink"/>
                <w:noProof/>
                <w:sz w:val="16"/>
                <w:lang w:val="en-CA" w:eastAsia="en-CA"/>
              </w:rPr>
              <w:t>Alternative Forms of Prospectus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_Toc468980408 \h </w:instrText>
            </w:r>
            <w:r w:rsidR="00E91AA0" w:rsidRPr="00152E2F">
              <w:rPr>
                <w:noProof/>
                <w:webHidden/>
                <w:sz w:val="16"/>
              </w:rPr>
            </w:r>
            <w:r w:rsidR="00E91AA0" w:rsidRPr="00152E2F">
              <w:rPr>
                <w:noProof/>
                <w:webHidden/>
                <w:sz w:val="16"/>
              </w:rPr>
              <w:fldChar w:fldCharType="separate"/>
            </w:r>
            <w:r w:rsidR="0029486E">
              <w:rPr>
                <w:noProof/>
                <w:webHidden/>
                <w:sz w:val="16"/>
              </w:rPr>
              <w:t>10</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09" w:history="1">
            <w:r w:rsidR="00E91AA0" w:rsidRPr="00152E2F">
              <w:rPr>
                <w:rStyle w:val="Hyperlink"/>
                <w:noProof/>
                <w:sz w:val="16"/>
                <w:lang w:val="en-CA" w:eastAsia="en-CA"/>
              </w:rPr>
              <w:t>Passport System</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_Toc468980409 \h </w:instrText>
            </w:r>
            <w:r w:rsidR="00E91AA0" w:rsidRPr="00152E2F">
              <w:rPr>
                <w:noProof/>
                <w:webHidden/>
                <w:sz w:val="16"/>
              </w:rPr>
            </w:r>
            <w:r w:rsidR="00E91AA0" w:rsidRPr="00152E2F">
              <w:rPr>
                <w:noProof/>
                <w:webHidden/>
                <w:sz w:val="16"/>
              </w:rPr>
              <w:fldChar w:fldCharType="separate"/>
            </w:r>
            <w:r w:rsidR="0029486E">
              <w:rPr>
                <w:noProof/>
                <w:webHidden/>
                <w:sz w:val="16"/>
              </w:rPr>
              <w:t>11</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10" w:history="1">
            <w:r w:rsidR="00E91AA0" w:rsidRPr="00152E2F">
              <w:rPr>
                <w:rStyle w:val="Hyperlink"/>
                <w:noProof/>
                <w:sz w:val="16"/>
                <w:lang w:val="en-CA" w:eastAsia="en-CA"/>
              </w:rPr>
              <w:t>Multijurisdictional Disclosure System (MJDS)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_Toc468980410 \h </w:instrText>
            </w:r>
            <w:r w:rsidR="00E91AA0" w:rsidRPr="00152E2F">
              <w:rPr>
                <w:noProof/>
                <w:webHidden/>
                <w:sz w:val="16"/>
              </w:rPr>
            </w:r>
            <w:r w:rsidR="00E91AA0" w:rsidRPr="00152E2F">
              <w:rPr>
                <w:noProof/>
                <w:webHidden/>
                <w:sz w:val="16"/>
              </w:rPr>
              <w:fldChar w:fldCharType="separate"/>
            </w:r>
            <w:r w:rsidR="0029486E">
              <w:rPr>
                <w:noProof/>
                <w:webHidden/>
                <w:sz w:val="16"/>
              </w:rPr>
              <w:t>11</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11" w:history="1">
            <w:r w:rsidR="00E91AA0" w:rsidRPr="00152E2F">
              <w:rPr>
                <w:rStyle w:val="Hyperlink"/>
                <w:noProof/>
                <w:sz w:val="16"/>
                <w:lang w:val="en-CA" w:eastAsia="en-CA"/>
              </w:rPr>
              <w:t>Continuous Disclosure Obligations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_Toc468980411 \h </w:instrText>
            </w:r>
            <w:r w:rsidR="00E91AA0" w:rsidRPr="00152E2F">
              <w:rPr>
                <w:noProof/>
                <w:webHidden/>
                <w:sz w:val="16"/>
              </w:rPr>
            </w:r>
            <w:r w:rsidR="00E91AA0" w:rsidRPr="00152E2F">
              <w:rPr>
                <w:noProof/>
                <w:webHidden/>
                <w:sz w:val="16"/>
              </w:rPr>
              <w:fldChar w:fldCharType="separate"/>
            </w:r>
            <w:r w:rsidR="0029486E">
              <w:rPr>
                <w:noProof/>
                <w:webHidden/>
                <w:sz w:val="16"/>
              </w:rPr>
              <w:t>11</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12" w:history="1">
            <w:r w:rsidR="00E91AA0" w:rsidRPr="00152E2F">
              <w:rPr>
                <w:rStyle w:val="Hyperlink"/>
                <w:noProof/>
                <w:sz w:val="16"/>
                <w:lang w:val="en-CA" w:eastAsia="en-CA"/>
              </w:rPr>
              <w:t>[1] Periodic Disclosure (85(a))</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_Toc468980412 \h </w:instrText>
            </w:r>
            <w:r w:rsidR="00E91AA0" w:rsidRPr="00152E2F">
              <w:rPr>
                <w:noProof/>
                <w:webHidden/>
                <w:sz w:val="16"/>
              </w:rPr>
            </w:r>
            <w:r w:rsidR="00E91AA0" w:rsidRPr="00152E2F">
              <w:rPr>
                <w:noProof/>
                <w:webHidden/>
                <w:sz w:val="16"/>
              </w:rPr>
              <w:fldChar w:fldCharType="separate"/>
            </w:r>
            <w:r w:rsidR="0029486E">
              <w:rPr>
                <w:noProof/>
                <w:webHidden/>
                <w:sz w:val="16"/>
              </w:rPr>
              <w:t>11</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13" w:history="1">
            <w:r w:rsidR="00E91AA0" w:rsidRPr="00152E2F">
              <w:rPr>
                <w:rStyle w:val="Hyperlink"/>
                <w:noProof/>
                <w:sz w:val="16"/>
                <w:lang w:val="en-CA" w:eastAsia="en-CA"/>
              </w:rPr>
              <w:t>Financial Disclosure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_Toc468980413 \h </w:instrText>
            </w:r>
            <w:r w:rsidR="00E91AA0" w:rsidRPr="00152E2F">
              <w:rPr>
                <w:noProof/>
                <w:webHidden/>
                <w:sz w:val="16"/>
              </w:rPr>
            </w:r>
            <w:r w:rsidR="00E91AA0" w:rsidRPr="00152E2F">
              <w:rPr>
                <w:noProof/>
                <w:webHidden/>
                <w:sz w:val="16"/>
              </w:rPr>
              <w:fldChar w:fldCharType="separate"/>
            </w:r>
            <w:r w:rsidR="0029486E">
              <w:rPr>
                <w:noProof/>
                <w:webHidden/>
                <w:sz w:val="16"/>
              </w:rPr>
              <w:t>11</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14" w:history="1">
            <w:r w:rsidR="00E91AA0" w:rsidRPr="00152E2F">
              <w:rPr>
                <w:rStyle w:val="Hyperlink"/>
                <w:noProof/>
                <w:sz w:val="16"/>
                <w:lang w:val="en-CA" w:eastAsia="en-CA"/>
              </w:rPr>
              <w:t>Management’s Discussion &amp; Analysis (MD&amp;A) (51-102 Part 5)</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_Toc468980414 \h </w:instrText>
            </w:r>
            <w:r w:rsidR="00E91AA0" w:rsidRPr="00152E2F">
              <w:rPr>
                <w:noProof/>
                <w:webHidden/>
                <w:sz w:val="16"/>
              </w:rPr>
            </w:r>
            <w:r w:rsidR="00E91AA0" w:rsidRPr="00152E2F">
              <w:rPr>
                <w:noProof/>
                <w:webHidden/>
                <w:sz w:val="16"/>
              </w:rPr>
              <w:fldChar w:fldCharType="separate"/>
            </w:r>
            <w:r w:rsidR="0029486E">
              <w:rPr>
                <w:noProof/>
                <w:webHidden/>
                <w:sz w:val="16"/>
              </w:rPr>
              <w:t>12</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15" w:history="1">
            <w:r w:rsidR="00E91AA0" w:rsidRPr="00152E2F">
              <w:rPr>
                <w:rStyle w:val="Hyperlink"/>
                <w:noProof/>
                <w:sz w:val="16"/>
                <w:lang w:val="en-CA" w:eastAsia="en-CA"/>
              </w:rPr>
              <w:t>Annual Reports and Annual Information Forms (AIFs) (NI 51-102 Part 6)</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_Toc468980415 \h </w:instrText>
            </w:r>
            <w:r w:rsidR="00E91AA0" w:rsidRPr="00152E2F">
              <w:rPr>
                <w:noProof/>
                <w:webHidden/>
                <w:sz w:val="16"/>
              </w:rPr>
            </w:r>
            <w:r w:rsidR="00E91AA0" w:rsidRPr="00152E2F">
              <w:rPr>
                <w:noProof/>
                <w:webHidden/>
                <w:sz w:val="16"/>
              </w:rPr>
              <w:fldChar w:fldCharType="separate"/>
            </w:r>
            <w:r w:rsidR="0029486E">
              <w:rPr>
                <w:noProof/>
                <w:webHidden/>
                <w:sz w:val="16"/>
              </w:rPr>
              <w:t>13</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16" w:history="1">
            <w:r w:rsidR="00E91AA0" w:rsidRPr="00152E2F">
              <w:rPr>
                <w:rStyle w:val="Hyperlink"/>
                <w:noProof/>
                <w:sz w:val="16"/>
                <w:lang w:val="en-CA" w:eastAsia="en-CA"/>
              </w:rPr>
              <w:t>Certification Requirements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_Toc468980416 \h </w:instrText>
            </w:r>
            <w:r w:rsidR="00E91AA0" w:rsidRPr="00152E2F">
              <w:rPr>
                <w:noProof/>
                <w:webHidden/>
                <w:sz w:val="16"/>
              </w:rPr>
            </w:r>
            <w:r w:rsidR="00E91AA0" w:rsidRPr="00152E2F">
              <w:rPr>
                <w:noProof/>
                <w:webHidden/>
                <w:sz w:val="16"/>
              </w:rPr>
              <w:fldChar w:fldCharType="separate"/>
            </w:r>
            <w:r w:rsidR="0029486E">
              <w:rPr>
                <w:noProof/>
                <w:webHidden/>
                <w:sz w:val="16"/>
              </w:rPr>
              <w:t>13</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17" w:history="1">
            <w:r w:rsidR="00E91AA0" w:rsidRPr="00152E2F">
              <w:rPr>
                <w:rStyle w:val="Hyperlink"/>
                <w:noProof/>
                <w:sz w:val="16"/>
                <w:lang w:val="en-CA" w:eastAsia="en-CA"/>
              </w:rPr>
              <w:t>Proxy and Information Circular - Relates to shares with voting rights attached</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_Toc468980417 \h </w:instrText>
            </w:r>
            <w:r w:rsidR="00E91AA0" w:rsidRPr="00152E2F">
              <w:rPr>
                <w:noProof/>
                <w:webHidden/>
                <w:sz w:val="16"/>
              </w:rPr>
            </w:r>
            <w:r w:rsidR="00E91AA0" w:rsidRPr="00152E2F">
              <w:rPr>
                <w:noProof/>
                <w:webHidden/>
                <w:sz w:val="16"/>
              </w:rPr>
              <w:fldChar w:fldCharType="separate"/>
            </w:r>
            <w:r w:rsidR="0029486E">
              <w:rPr>
                <w:noProof/>
                <w:webHidden/>
                <w:sz w:val="16"/>
              </w:rPr>
              <w:t>13</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18" w:history="1">
            <w:r w:rsidR="00E91AA0" w:rsidRPr="00152E2F">
              <w:rPr>
                <w:rStyle w:val="Hyperlink"/>
                <w:noProof/>
                <w:sz w:val="16"/>
                <w:lang w:val="en-CA" w:eastAsia="en-CA"/>
              </w:rPr>
              <w:t>Communications/Delivery of Periodic Disclosure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_Toc468980418 \h </w:instrText>
            </w:r>
            <w:r w:rsidR="00E91AA0" w:rsidRPr="00152E2F">
              <w:rPr>
                <w:noProof/>
                <w:webHidden/>
                <w:sz w:val="16"/>
              </w:rPr>
            </w:r>
            <w:r w:rsidR="00E91AA0" w:rsidRPr="00152E2F">
              <w:rPr>
                <w:noProof/>
                <w:webHidden/>
                <w:sz w:val="16"/>
              </w:rPr>
              <w:fldChar w:fldCharType="separate"/>
            </w:r>
            <w:r w:rsidR="0029486E">
              <w:rPr>
                <w:noProof/>
                <w:webHidden/>
                <w:sz w:val="16"/>
              </w:rPr>
              <w:t>14</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19" w:history="1">
            <w:r w:rsidR="00E91AA0" w:rsidRPr="00152E2F">
              <w:rPr>
                <w:rStyle w:val="Hyperlink"/>
                <w:noProof/>
                <w:sz w:val="16"/>
                <w:lang w:val="en-CA" w:eastAsia="en-CA"/>
              </w:rPr>
              <w:t>[2] Timely Disclosure (85(b))</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_Toc468980419 \h </w:instrText>
            </w:r>
            <w:r w:rsidR="00E91AA0" w:rsidRPr="00152E2F">
              <w:rPr>
                <w:noProof/>
                <w:webHidden/>
                <w:sz w:val="16"/>
              </w:rPr>
            </w:r>
            <w:r w:rsidR="00E91AA0" w:rsidRPr="00152E2F">
              <w:rPr>
                <w:noProof/>
                <w:webHidden/>
                <w:sz w:val="16"/>
              </w:rPr>
              <w:fldChar w:fldCharType="separate"/>
            </w:r>
            <w:r w:rsidR="0029486E">
              <w:rPr>
                <w:noProof/>
                <w:webHidden/>
                <w:sz w:val="16"/>
              </w:rPr>
              <w:t>14</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20" w:history="1">
            <w:r w:rsidR="00E91AA0" w:rsidRPr="00152E2F">
              <w:rPr>
                <w:rStyle w:val="Hyperlink"/>
                <w:noProof/>
                <w:sz w:val="16"/>
                <w:lang w:val="en-CA" w:eastAsia="en-CA"/>
              </w:rPr>
              <w:t>Material Change Reports (NI 51-102 Part 7/85(b))</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_Toc468980420 \h </w:instrText>
            </w:r>
            <w:r w:rsidR="00E91AA0" w:rsidRPr="00152E2F">
              <w:rPr>
                <w:noProof/>
                <w:webHidden/>
                <w:sz w:val="16"/>
              </w:rPr>
            </w:r>
            <w:r w:rsidR="00E91AA0" w:rsidRPr="00152E2F">
              <w:rPr>
                <w:noProof/>
                <w:webHidden/>
                <w:sz w:val="16"/>
              </w:rPr>
              <w:fldChar w:fldCharType="separate"/>
            </w:r>
            <w:r w:rsidR="0029486E">
              <w:rPr>
                <w:noProof/>
                <w:webHidden/>
                <w:sz w:val="16"/>
              </w:rPr>
              <w:t>15</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21" w:history="1">
            <w:r w:rsidR="00E91AA0" w:rsidRPr="00152E2F">
              <w:rPr>
                <w:rStyle w:val="Hyperlink"/>
                <w:noProof/>
                <w:sz w:val="16"/>
                <w:lang w:val="en-CA" w:eastAsia="en-CA"/>
              </w:rPr>
              <w:t>[3] Selective Disclosure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_Toc468980421 \h </w:instrText>
            </w:r>
            <w:r w:rsidR="00E91AA0" w:rsidRPr="00152E2F">
              <w:rPr>
                <w:noProof/>
                <w:webHidden/>
                <w:sz w:val="16"/>
              </w:rPr>
            </w:r>
            <w:r w:rsidR="00E91AA0" w:rsidRPr="00152E2F">
              <w:rPr>
                <w:noProof/>
                <w:webHidden/>
                <w:sz w:val="16"/>
              </w:rPr>
              <w:fldChar w:fldCharType="separate"/>
            </w:r>
            <w:r w:rsidR="0029486E">
              <w:rPr>
                <w:noProof/>
                <w:webHidden/>
                <w:sz w:val="16"/>
              </w:rPr>
              <w:t>15</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22" w:history="1">
            <w:r w:rsidR="00E91AA0" w:rsidRPr="00152E2F">
              <w:rPr>
                <w:rStyle w:val="Hyperlink"/>
                <w:noProof/>
                <w:sz w:val="16"/>
                <w:lang w:val="en-CA" w:eastAsia="en-CA"/>
              </w:rPr>
              <w:t>The Exempt Market</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_Toc468980422 \h </w:instrText>
            </w:r>
            <w:r w:rsidR="00E91AA0" w:rsidRPr="00152E2F">
              <w:rPr>
                <w:noProof/>
                <w:webHidden/>
                <w:sz w:val="16"/>
              </w:rPr>
            </w:r>
            <w:r w:rsidR="00E91AA0" w:rsidRPr="00152E2F">
              <w:rPr>
                <w:noProof/>
                <w:webHidden/>
                <w:sz w:val="16"/>
              </w:rPr>
              <w:fldChar w:fldCharType="separate"/>
            </w:r>
            <w:r w:rsidR="0029486E">
              <w:rPr>
                <w:noProof/>
                <w:webHidden/>
                <w:sz w:val="16"/>
              </w:rPr>
              <w:t>15</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23" w:history="1">
            <w:r w:rsidR="00E91AA0" w:rsidRPr="00152E2F">
              <w:rPr>
                <w:rStyle w:val="Hyperlink"/>
                <w:noProof/>
                <w:sz w:val="16"/>
                <w:lang w:val="en-CA" w:eastAsia="en-CA"/>
              </w:rPr>
              <w:t>TYPES OF PROSPECTUS EXEMPTIONS: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_Toc468980423 \h </w:instrText>
            </w:r>
            <w:r w:rsidR="00E91AA0" w:rsidRPr="00152E2F">
              <w:rPr>
                <w:noProof/>
                <w:webHidden/>
                <w:sz w:val="16"/>
              </w:rPr>
            </w:r>
            <w:r w:rsidR="00E91AA0" w:rsidRPr="00152E2F">
              <w:rPr>
                <w:noProof/>
                <w:webHidden/>
                <w:sz w:val="16"/>
              </w:rPr>
              <w:fldChar w:fldCharType="separate"/>
            </w:r>
            <w:r w:rsidR="0029486E">
              <w:rPr>
                <w:noProof/>
                <w:webHidden/>
                <w:sz w:val="16"/>
              </w:rPr>
              <w:t>15</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24" w:history="1">
            <w:r w:rsidR="00E91AA0" w:rsidRPr="00152E2F">
              <w:rPr>
                <w:rStyle w:val="Hyperlink"/>
                <w:noProof/>
                <w:sz w:val="16"/>
                <w:lang w:val="en-CA" w:eastAsia="en-CA"/>
              </w:rPr>
              <w:t>(A) No Need to Know: Purchaser already familiar w/ Issuer or Securities (NI 45-106, Part 2 Div 1)</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_Toc468980424 \h </w:instrText>
            </w:r>
            <w:r w:rsidR="00E91AA0" w:rsidRPr="00152E2F">
              <w:rPr>
                <w:noProof/>
                <w:webHidden/>
                <w:sz w:val="16"/>
              </w:rPr>
            </w:r>
            <w:r w:rsidR="00E91AA0" w:rsidRPr="00152E2F">
              <w:rPr>
                <w:noProof/>
                <w:webHidden/>
                <w:sz w:val="16"/>
              </w:rPr>
              <w:fldChar w:fldCharType="separate"/>
            </w:r>
            <w:r w:rsidR="0029486E">
              <w:rPr>
                <w:noProof/>
                <w:webHidden/>
                <w:sz w:val="16"/>
              </w:rPr>
              <w:t>15</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25" w:history="1">
            <w:r w:rsidR="00E91AA0" w:rsidRPr="00152E2F">
              <w:rPr>
                <w:rStyle w:val="Hyperlink"/>
                <w:noProof/>
                <w:sz w:val="16"/>
                <w:lang w:val="en-CA" w:eastAsia="en-CA"/>
              </w:rPr>
              <w:t>(B) No Need to Know: Purchaser is Sophisticated or Otherwise Able to Protect Itself</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_Toc468980425 \h </w:instrText>
            </w:r>
            <w:r w:rsidR="00E91AA0" w:rsidRPr="00152E2F">
              <w:rPr>
                <w:noProof/>
                <w:webHidden/>
                <w:sz w:val="16"/>
              </w:rPr>
            </w:r>
            <w:r w:rsidR="00E91AA0" w:rsidRPr="00152E2F">
              <w:rPr>
                <w:noProof/>
                <w:webHidden/>
                <w:sz w:val="16"/>
              </w:rPr>
              <w:fldChar w:fldCharType="separate"/>
            </w:r>
            <w:r w:rsidR="0029486E">
              <w:rPr>
                <w:noProof/>
                <w:webHidden/>
                <w:sz w:val="16"/>
              </w:rPr>
              <w:t>16</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26" w:history="1">
            <w:r w:rsidR="00E91AA0" w:rsidRPr="00152E2F">
              <w:rPr>
                <w:rStyle w:val="Hyperlink"/>
                <w:noProof/>
                <w:sz w:val="16"/>
              </w:rPr>
              <w:t>(C) No Need to Know: Investment Very Safe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_Toc468980426 \h </w:instrText>
            </w:r>
            <w:r w:rsidR="00E91AA0" w:rsidRPr="00152E2F">
              <w:rPr>
                <w:noProof/>
                <w:webHidden/>
                <w:sz w:val="16"/>
              </w:rPr>
            </w:r>
            <w:r w:rsidR="00E91AA0" w:rsidRPr="00152E2F">
              <w:rPr>
                <w:noProof/>
                <w:webHidden/>
                <w:sz w:val="16"/>
              </w:rPr>
              <w:fldChar w:fldCharType="separate"/>
            </w:r>
            <w:r w:rsidR="0029486E">
              <w:rPr>
                <w:noProof/>
                <w:webHidden/>
                <w:sz w:val="16"/>
              </w:rPr>
              <w:t>17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27" w:history="1">
            <w:r w:rsidR="00E91AA0" w:rsidRPr="00152E2F">
              <w:rPr>
                <w:rStyle w:val="Hyperlink"/>
                <w:noProof/>
                <w:sz w:val="16"/>
                <w:lang w:val="en-CA" w:eastAsia="en-CA"/>
              </w:rPr>
              <w:t>(D) Redundancy or Dual Regulation: Prospectus-level info available from another source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_Toc468980427 \h </w:instrText>
            </w:r>
            <w:r w:rsidR="00E91AA0" w:rsidRPr="00152E2F">
              <w:rPr>
                <w:noProof/>
                <w:webHidden/>
                <w:sz w:val="16"/>
              </w:rPr>
            </w:r>
            <w:r w:rsidR="00E91AA0" w:rsidRPr="00152E2F">
              <w:rPr>
                <w:noProof/>
                <w:webHidden/>
                <w:sz w:val="16"/>
              </w:rPr>
              <w:fldChar w:fldCharType="separate"/>
            </w:r>
            <w:r w:rsidR="0029486E">
              <w:rPr>
                <w:noProof/>
                <w:webHidden/>
                <w:sz w:val="16"/>
              </w:rPr>
              <w:t>17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28" w:history="1">
            <w:r w:rsidR="00E91AA0" w:rsidRPr="00152E2F">
              <w:rPr>
                <w:rStyle w:val="Hyperlink"/>
                <w:noProof/>
                <w:sz w:val="16"/>
                <w:lang w:val="en-CA" w:eastAsia="en-CA"/>
              </w:rPr>
              <w:t>(E) Cost/Benefit Analysis: Ensuring Smaller Issuers and Not-for-Profits can access Capital Markets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_Toc468980428 \h </w:instrText>
            </w:r>
            <w:r w:rsidR="00E91AA0" w:rsidRPr="00152E2F">
              <w:rPr>
                <w:noProof/>
                <w:webHidden/>
                <w:sz w:val="16"/>
              </w:rPr>
            </w:r>
            <w:r w:rsidR="00E91AA0" w:rsidRPr="00152E2F">
              <w:rPr>
                <w:noProof/>
                <w:webHidden/>
                <w:sz w:val="16"/>
              </w:rPr>
              <w:fldChar w:fldCharType="separate"/>
            </w:r>
            <w:r w:rsidR="0029486E">
              <w:rPr>
                <w:noProof/>
                <w:webHidden/>
                <w:sz w:val="16"/>
              </w:rPr>
              <w:t>17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29" w:history="1">
            <w:r w:rsidR="00E91AA0" w:rsidRPr="00152E2F">
              <w:rPr>
                <w:rStyle w:val="Hyperlink"/>
                <w:noProof/>
                <w:sz w:val="16"/>
                <w:lang w:val="en-CA" w:eastAsia="en-CA"/>
              </w:rPr>
              <w:t>Equity Crowdfunding Exemption (BCI 45-535)</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_Toc468980429 \h </w:instrText>
            </w:r>
            <w:r w:rsidR="00E91AA0" w:rsidRPr="00152E2F">
              <w:rPr>
                <w:noProof/>
                <w:webHidden/>
                <w:sz w:val="16"/>
              </w:rPr>
            </w:r>
            <w:r w:rsidR="00E91AA0" w:rsidRPr="00152E2F">
              <w:rPr>
                <w:noProof/>
                <w:webHidden/>
                <w:sz w:val="16"/>
              </w:rPr>
              <w:fldChar w:fldCharType="separate"/>
            </w:r>
            <w:r w:rsidR="0029486E">
              <w:rPr>
                <w:noProof/>
                <w:webHidden/>
                <w:sz w:val="16"/>
              </w:rPr>
              <w:t>17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30" w:history="1">
            <w:r w:rsidR="00E91AA0" w:rsidRPr="00152E2F">
              <w:rPr>
                <w:rStyle w:val="Hyperlink"/>
                <w:noProof/>
                <w:sz w:val="16"/>
              </w:rPr>
              <w:t>Miscellaneous (Part of Div 2: Transaction Exemptions)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_Toc468980430 \h </w:instrText>
            </w:r>
            <w:r w:rsidR="00E91AA0" w:rsidRPr="00152E2F">
              <w:rPr>
                <w:noProof/>
                <w:webHidden/>
                <w:sz w:val="16"/>
              </w:rPr>
            </w:r>
            <w:r w:rsidR="00E91AA0" w:rsidRPr="00152E2F">
              <w:rPr>
                <w:noProof/>
                <w:webHidden/>
                <w:sz w:val="16"/>
              </w:rPr>
              <w:fldChar w:fldCharType="separate"/>
            </w:r>
            <w:r w:rsidR="0029486E">
              <w:rPr>
                <w:noProof/>
                <w:webHidden/>
                <w:sz w:val="16"/>
              </w:rPr>
              <w:t>18</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31" w:history="1">
            <w:r w:rsidR="00E91AA0" w:rsidRPr="00152E2F">
              <w:rPr>
                <w:rStyle w:val="Hyperlink"/>
                <w:noProof/>
                <w:sz w:val="16"/>
                <w:lang w:val="en-CA" w:eastAsia="en-CA"/>
              </w:rPr>
              <w:t>Resale of Securities Exemption (NI 45-102)</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_Toc468980431 \h </w:instrText>
            </w:r>
            <w:r w:rsidR="00E91AA0" w:rsidRPr="00152E2F">
              <w:rPr>
                <w:noProof/>
                <w:webHidden/>
                <w:sz w:val="16"/>
              </w:rPr>
            </w:r>
            <w:r w:rsidR="00E91AA0" w:rsidRPr="00152E2F">
              <w:rPr>
                <w:noProof/>
                <w:webHidden/>
                <w:sz w:val="16"/>
              </w:rPr>
              <w:fldChar w:fldCharType="separate"/>
            </w:r>
            <w:r w:rsidR="0029486E">
              <w:rPr>
                <w:noProof/>
                <w:webHidden/>
                <w:sz w:val="16"/>
              </w:rPr>
              <w:t>18</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32" w:history="1">
            <w:r w:rsidR="00E91AA0" w:rsidRPr="00152E2F">
              <w:rPr>
                <w:rStyle w:val="Hyperlink"/>
                <w:noProof/>
                <w:sz w:val="16"/>
                <w:lang w:val="en-CA" w:eastAsia="en-CA"/>
              </w:rPr>
              <w:t>Under (3) - Resale Rules (NI 45-102)</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_Toc468980432 \h </w:instrText>
            </w:r>
            <w:r w:rsidR="00E91AA0" w:rsidRPr="00152E2F">
              <w:rPr>
                <w:noProof/>
                <w:webHidden/>
                <w:sz w:val="16"/>
              </w:rPr>
            </w:r>
            <w:r w:rsidR="00E91AA0" w:rsidRPr="00152E2F">
              <w:rPr>
                <w:noProof/>
                <w:webHidden/>
                <w:sz w:val="16"/>
              </w:rPr>
              <w:fldChar w:fldCharType="separate"/>
            </w:r>
            <w:r w:rsidR="0029486E">
              <w:rPr>
                <w:noProof/>
                <w:webHidden/>
                <w:sz w:val="16"/>
              </w:rPr>
              <w:t>18</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33" w:history="1">
            <w:r w:rsidR="00E91AA0" w:rsidRPr="00152E2F">
              <w:rPr>
                <w:rStyle w:val="Hyperlink"/>
                <w:noProof/>
                <w:sz w:val="16"/>
                <w:lang w:val="en-CA" w:eastAsia="en-CA"/>
              </w:rPr>
              <w:t>Registrant Regulation</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_Toc468980433 \h </w:instrText>
            </w:r>
            <w:r w:rsidR="00E91AA0" w:rsidRPr="00152E2F">
              <w:rPr>
                <w:noProof/>
                <w:webHidden/>
                <w:sz w:val="16"/>
              </w:rPr>
            </w:r>
            <w:r w:rsidR="00E91AA0" w:rsidRPr="00152E2F">
              <w:rPr>
                <w:noProof/>
                <w:webHidden/>
                <w:sz w:val="16"/>
              </w:rPr>
              <w:fldChar w:fldCharType="separate"/>
            </w:r>
            <w:r w:rsidR="0029486E">
              <w:rPr>
                <w:noProof/>
                <w:webHidden/>
                <w:sz w:val="16"/>
              </w:rPr>
              <w:t>19</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34" w:history="1">
            <w:r w:rsidR="00E91AA0" w:rsidRPr="00152E2F">
              <w:rPr>
                <w:rStyle w:val="Hyperlink"/>
                <w:noProof/>
                <w:sz w:val="16"/>
                <w:lang w:val="en-CA" w:eastAsia="en-CA"/>
              </w:rPr>
              <w:t>Registration Requirements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_Toc468980434 \h </w:instrText>
            </w:r>
            <w:r w:rsidR="00E91AA0" w:rsidRPr="00152E2F">
              <w:rPr>
                <w:noProof/>
                <w:webHidden/>
                <w:sz w:val="16"/>
              </w:rPr>
            </w:r>
            <w:r w:rsidR="00E91AA0" w:rsidRPr="00152E2F">
              <w:rPr>
                <w:noProof/>
                <w:webHidden/>
                <w:sz w:val="16"/>
              </w:rPr>
              <w:fldChar w:fldCharType="separate"/>
            </w:r>
            <w:r w:rsidR="0029486E">
              <w:rPr>
                <w:noProof/>
                <w:webHidden/>
                <w:sz w:val="16"/>
              </w:rPr>
              <w:t>19</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35" w:history="1">
            <w:r w:rsidR="00E91AA0" w:rsidRPr="00152E2F">
              <w:rPr>
                <w:rStyle w:val="Hyperlink"/>
                <w:noProof/>
                <w:sz w:val="16"/>
                <w:lang w:val="en-CA" w:eastAsia="en-CA"/>
              </w:rPr>
              <w:t>Dealers and Advisers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_Toc468980435 \h </w:instrText>
            </w:r>
            <w:r w:rsidR="00E91AA0" w:rsidRPr="00152E2F">
              <w:rPr>
                <w:noProof/>
                <w:webHidden/>
                <w:sz w:val="16"/>
              </w:rPr>
            </w:r>
            <w:r w:rsidR="00E91AA0" w:rsidRPr="00152E2F">
              <w:rPr>
                <w:noProof/>
                <w:webHidden/>
                <w:sz w:val="16"/>
              </w:rPr>
              <w:fldChar w:fldCharType="separate"/>
            </w:r>
            <w:r w:rsidR="0029486E">
              <w:rPr>
                <w:noProof/>
                <w:webHidden/>
                <w:sz w:val="16"/>
              </w:rPr>
              <w:t>19</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36" w:history="1">
            <w:r w:rsidR="00E91AA0" w:rsidRPr="00152E2F">
              <w:rPr>
                <w:rStyle w:val="Hyperlink"/>
                <w:noProof/>
                <w:sz w:val="16"/>
                <w:lang w:val="en-CA" w:eastAsia="en-CA"/>
              </w:rPr>
              <w:t>Investment Fund Managers (NI 31-103 s.7.3)</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_Toc468980436 \h </w:instrText>
            </w:r>
            <w:r w:rsidR="00E91AA0" w:rsidRPr="00152E2F">
              <w:rPr>
                <w:noProof/>
                <w:webHidden/>
                <w:sz w:val="16"/>
              </w:rPr>
            </w:r>
            <w:r w:rsidR="00E91AA0" w:rsidRPr="00152E2F">
              <w:rPr>
                <w:noProof/>
                <w:webHidden/>
                <w:sz w:val="16"/>
              </w:rPr>
              <w:fldChar w:fldCharType="separate"/>
            </w:r>
            <w:r w:rsidR="0029486E">
              <w:rPr>
                <w:noProof/>
                <w:webHidden/>
                <w:sz w:val="16"/>
              </w:rPr>
              <w:t>19</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37" w:history="1">
            <w:r w:rsidR="00E91AA0" w:rsidRPr="00152E2F">
              <w:rPr>
                <w:rStyle w:val="Hyperlink"/>
                <w:noProof/>
                <w:sz w:val="16"/>
                <w:lang w:val="en-CA" w:eastAsia="en-CA"/>
              </w:rPr>
              <w:t>Firm Categories For Registration</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_Toc468980437 \h </w:instrText>
            </w:r>
            <w:r w:rsidR="00E91AA0" w:rsidRPr="00152E2F">
              <w:rPr>
                <w:noProof/>
                <w:webHidden/>
                <w:sz w:val="16"/>
              </w:rPr>
            </w:r>
            <w:r w:rsidR="00E91AA0" w:rsidRPr="00152E2F">
              <w:rPr>
                <w:noProof/>
                <w:webHidden/>
                <w:sz w:val="16"/>
              </w:rPr>
              <w:fldChar w:fldCharType="separate"/>
            </w:r>
            <w:r w:rsidR="0029486E">
              <w:rPr>
                <w:noProof/>
                <w:webHidden/>
                <w:sz w:val="16"/>
              </w:rPr>
              <w:t>20</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38" w:history="1">
            <w:r w:rsidR="00E91AA0" w:rsidRPr="00152E2F">
              <w:rPr>
                <w:rStyle w:val="Hyperlink"/>
                <w:noProof/>
                <w:sz w:val="16"/>
              </w:rPr>
              <w:t>Individual Categories of Registration (NI 31-103 s.2.1)</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_Toc468980438 \h </w:instrText>
            </w:r>
            <w:r w:rsidR="00E91AA0" w:rsidRPr="00152E2F">
              <w:rPr>
                <w:noProof/>
                <w:webHidden/>
                <w:sz w:val="16"/>
              </w:rPr>
            </w:r>
            <w:r w:rsidR="00E91AA0" w:rsidRPr="00152E2F">
              <w:rPr>
                <w:noProof/>
                <w:webHidden/>
                <w:sz w:val="16"/>
              </w:rPr>
              <w:fldChar w:fldCharType="separate"/>
            </w:r>
            <w:r w:rsidR="0029486E">
              <w:rPr>
                <w:noProof/>
                <w:webHidden/>
                <w:sz w:val="16"/>
              </w:rPr>
              <w:t>20</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39" w:history="1">
            <w:r w:rsidR="00E91AA0" w:rsidRPr="00152E2F">
              <w:rPr>
                <w:rStyle w:val="Hyperlink"/>
                <w:noProof/>
                <w:sz w:val="16"/>
              </w:rPr>
              <w:t>Individual Registration Requirements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_Toc468980439 \h </w:instrText>
            </w:r>
            <w:r w:rsidR="00E91AA0" w:rsidRPr="00152E2F">
              <w:rPr>
                <w:noProof/>
                <w:webHidden/>
                <w:sz w:val="16"/>
              </w:rPr>
            </w:r>
            <w:r w:rsidR="00E91AA0" w:rsidRPr="00152E2F">
              <w:rPr>
                <w:noProof/>
                <w:webHidden/>
                <w:sz w:val="16"/>
              </w:rPr>
              <w:fldChar w:fldCharType="separate"/>
            </w:r>
            <w:r w:rsidR="0029486E">
              <w:rPr>
                <w:noProof/>
                <w:webHidden/>
                <w:sz w:val="16"/>
              </w:rPr>
              <w:t>21</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40" w:history="1">
            <w:r w:rsidR="00E91AA0" w:rsidRPr="00152E2F">
              <w:rPr>
                <w:rStyle w:val="Hyperlink"/>
                <w:noProof/>
                <w:sz w:val="16"/>
              </w:rPr>
              <w:t>Registrant Obligations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_Toc468980440 \h </w:instrText>
            </w:r>
            <w:r w:rsidR="00E91AA0" w:rsidRPr="00152E2F">
              <w:rPr>
                <w:noProof/>
                <w:webHidden/>
                <w:sz w:val="16"/>
              </w:rPr>
            </w:r>
            <w:r w:rsidR="00E91AA0" w:rsidRPr="00152E2F">
              <w:rPr>
                <w:noProof/>
                <w:webHidden/>
                <w:sz w:val="16"/>
              </w:rPr>
              <w:fldChar w:fldCharType="separate"/>
            </w:r>
            <w:r w:rsidR="0029486E">
              <w:rPr>
                <w:noProof/>
                <w:webHidden/>
                <w:sz w:val="16"/>
              </w:rPr>
              <w:t>21</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41" w:history="1">
            <w:r w:rsidR="00E91AA0" w:rsidRPr="00152E2F">
              <w:rPr>
                <w:rStyle w:val="Hyperlink"/>
                <w:noProof/>
                <w:sz w:val="16"/>
                <w:lang w:val="en-CA" w:eastAsia="en-CA"/>
              </w:rPr>
              <w:t>Insider Trading</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_Toc468980441 \h </w:instrText>
            </w:r>
            <w:r w:rsidR="00E91AA0" w:rsidRPr="00152E2F">
              <w:rPr>
                <w:noProof/>
                <w:webHidden/>
                <w:sz w:val="16"/>
              </w:rPr>
            </w:r>
            <w:r w:rsidR="00E91AA0" w:rsidRPr="00152E2F">
              <w:rPr>
                <w:noProof/>
                <w:webHidden/>
                <w:sz w:val="16"/>
              </w:rPr>
              <w:fldChar w:fldCharType="separate"/>
            </w:r>
            <w:r w:rsidR="0029486E">
              <w:rPr>
                <w:noProof/>
                <w:webHidden/>
                <w:sz w:val="16"/>
              </w:rPr>
              <w:t>22</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42" w:history="1">
            <w:r w:rsidR="00E91AA0" w:rsidRPr="00152E2F">
              <w:rPr>
                <w:rStyle w:val="Hyperlink"/>
                <w:noProof/>
                <w:sz w:val="16"/>
                <w:lang w:val="en-CA" w:eastAsia="en-CA"/>
              </w:rPr>
              <w:t>Legal Insider Trading (Reporting Issuer)</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_Toc468980442 \h </w:instrText>
            </w:r>
            <w:r w:rsidR="00E91AA0" w:rsidRPr="00152E2F">
              <w:rPr>
                <w:noProof/>
                <w:webHidden/>
                <w:sz w:val="16"/>
              </w:rPr>
            </w:r>
            <w:r w:rsidR="00E91AA0" w:rsidRPr="00152E2F">
              <w:rPr>
                <w:noProof/>
                <w:webHidden/>
                <w:sz w:val="16"/>
              </w:rPr>
              <w:fldChar w:fldCharType="separate"/>
            </w:r>
            <w:r w:rsidR="0029486E">
              <w:rPr>
                <w:noProof/>
                <w:webHidden/>
                <w:sz w:val="16"/>
              </w:rPr>
              <w:t>22</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43" w:history="1">
            <w:r w:rsidR="00E91AA0" w:rsidRPr="00152E2F">
              <w:rPr>
                <w:rStyle w:val="Hyperlink"/>
                <w:noProof/>
                <w:sz w:val="16"/>
              </w:rPr>
              <w:t>Illegal Insider Trading/Tipping/Recommending</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_Toc468980443 \h </w:instrText>
            </w:r>
            <w:r w:rsidR="00E91AA0" w:rsidRPr="00152E2F">
              <w:rPr>
                <w:noProof/>
                <w:webHidden/>
                <w:sz w:val="16"/>
              </w:rPr>
            </w:r>
            <w:r w:rsidR="00E91AA0" w:rsidRPr="00152E2F">
              <w:rPr>
                <w:noProof/>
                <w:webHidden/>
                <w:sz w:val="16"/>
              </w:rPr>
              <w:fldChar w:fldCharType="separate"/>
            </w:r>
            <w:r w:rsidR="0029486E">
              <w:rPr>
                <w:noProof/>
                <w:webHidden/>
                <w:sz w:val="16"/>
              </w:rPr>
              <w:t>23</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44" w:history="1">
            <w:r w:rsidR="00E91AA0" w:rsidRPr="00152E2F">
              <w:rPr>
                <w:rStyle w:val="Hyperlink"/>
                <w:noProof/>
                <w:sz w:val="16"/>
                <w:lang w:val="en-CA" w:eastAsia="en-CA"/>
              </w:rPr>
              <w:t>[1]: X must be in a SPECIAL RELATIONSHIP with the reporting issuer (BCSA 3).</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_Toc468980444 \h </w:instrText>
            </w:r>
            <w:r w:rsidR="00E91AA0" w:rsidRPr="00152E2F">
              <w:rPr>
                <w:noProof/>
                <w:webHidden/>
                <w:sz w:val="16"/>
              </w:rPr>
            </w:r>
            <w:r w:rsidR="00E91AA0" w:rsidRPr="00152E2F">
              <w:rPr>
                <w:noProof/>
                <w:webHidden/>
                <w:sz w:val="16"/>
              </w:rPr>
              <w:fldChar w:fldCharType="separate"/>
            </w:r>
            <w:r w:rsidR="0029486E">
              <w:rPr>
                <w:noProof/>
                <w:webHidden/>
                <w:sz w:val="16"/>
              </w:rPr>
              <w:t>24</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45" w:history="1">
            <w:r w:rsidR="00E91AA0" w:rsidRPr="00152E2F">
              <w:rPr>
                <w:rStyle w:val="Hyperlink"/>
                <w:noProof/>
                <w:sz w:val="16"/>
                <w:lang w:val="en-CA" w:eastAsia="en-CA"/>
              </w:rPr>
              <w:t>[2] X traded based on knowledge of MATERIAL INFO</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_Toc468980445 \h </w:instrText>
            </w:r>
            <w:r w:rsidR="00E91AA0" w:rsidRPr="00152E2F">
              <w:rPr>
                <w:noProof/>
                <w:webHidden/>
                <w:sz w:val="16"/>
              </w:rPr>
            </w:r>
            <w:r w:rsidR="00E91AA0" w:rsidRPr="00152E2F">
              <w:rPr>
                <w:noProof/>
                <w:webHidden/>
                <w:sz w:val="16"/>
              </w:rPr>
              <w:fldChar w:fldCharType="separate"/>
            </w:r>
            <w:r w:rsidR="0029486E">
              <w:rPr>
                <w:noProof/>
                <w:webHidden/>
                <w:sz w:val="16"/>
              </w:rPr>
              <w:t>24</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46" w:history="1">
            <w:r w:rsidR="00E91AA0" w:rsidRPr="00152E2F">
              <w:rPr>
                <w:rStyle w:val="Hyperlink"/>
                <w:noProof/>
                <w:sz w:val="16"/>
                <w:lang w:val="en-CA" w:eastAsia="en-CA"/>
              </w:rPr>
              <w:t>[3] The material info relied on was NOT GENERALLY DISCLOSED</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_Toc468980446 \h </w:instrText>
            </w:r>
            <w:r w:rsidR="00E91AA0" w:rsidRPr="00152E2F">
              <w:rPr>
                <w:noProof/>
                <w:webHidden/>
                <w:sz w:val="16"/>
              </w:rPr>
            </w:r>
            <w:r w:rsidR="00E91AA0" w:rsidRPr="00152E2F">
              <w:rPr>
                <w:noProof/>
                <w:webHidden/>
                <w:sz w:val="16"/>
              </w:rPr>
              <w:fldChar w:fldCharType="separate"/>
            </w:r>
            <w:r w:rsidR="0029486E">
              <w:rPr>
                <w:noProof/>
                <w:webHidden/>
                <w:sz w:val="16"/>
              </w:rPr>
              <w:t>25</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47" w:history="1">
            <w:r w:rsidR="00E91AA0" w:rsidRPr="00152E2F">
              <w:rPr>
                <w:rStyle w:val="Hyperlink"/>
                <w:noProof/>
                <w:sz w:val="16"/>
                <w:lang w:val="en-CA" w:eastAsia="en-CA"/>
              </w:rPr>
              <w:t>DEFENSES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_Toc468980447 \h </w:instrText>
            </w:r>
            <w:r w:rsidR="00E91AA0" w:rsidRPr="00152E2F">
              <w:rPr>
                <w:noProof/>
                <w:webHidden/>
                <w:sz w:val="16"/>
              </w:rPr>
            </w:r>
            <w:r w:rsidR="00E91AA0" w:rsidRPr="00152E2F">
              <w:rPr>
                <w:noProof/>
                <w:webHidden/>
                <w:sz w:val="16"/>
              </w:rPr>
              <w:fldChar w:fldCharType="separate"/>
            </w:r>
            <w:r w:rsidR="0029486E">
              <w:rPr>
                <w:noProof/>
                <w:webHidden/>
                <w:sz w:val="16"/>
              </w:rPr>
              <w:t>25</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48" w:history="1">
            <w:r w:rsidR="00E91AA0" w:rsidRPr="00152E2F">
              <w:rPr>
                <w:rStyle w:val="Hyperlink"/>
                <w:noProof/>
                <w:sz w:val="16"/>
              </w:rPr>
              <w:t xml:space="preserve">Evidentiary Issues: </w:t>
            </w:r>
            <w:r w:rsidR="00E91AA0" w:rsidRPr="00152E2F">
              <w:rPr>
                <w:rStyle w:val="Hyperlink"/>
                <w:noProof/>
                <w:sz w:val="16"/>
                <w:lang w:val="en-CA" w:eastAsia="en-CA"/>
              </w:rPr>
              <w:t>Commission must prove each element of IT allegations on BofP (Burden of proof can be on D at times).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_Toc468980448 \h </w:instrText>
            </w:r>
            <w:r w:rsidR="00E91AA0" w:rsidRPr="00152E2F">
              <w:rPr>
                <w:noProof/>
                <w:webHidden/>
                <w:sz w:val="16"/>
              </w:rPr>
            </w:r>
            <w:r w:rsidR="00E91AA0" w:rsidRPr="00152E2F">
              <w:rPr>
                <w:noProof/>
                <w:webHidden/>
                <w:sz w:val="16"/>
              </w:rPr>
              <w:fldChar w:fldCharType="separate"/>
            </w:r>
            <w:r w:rsidR="0029486E">
              <w:rPr>
                <w:noProof/>
                <w:webHidden/>
                <w:sz w:val="16"/>
              </w:rPr>
              <w:t>26</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49" w:history="1">
            <w:r w:rsidR="00E91AA0" w:rsidRPr="00152E2F">
              <w:rPr>
                <w:rStyle w:val="Hyperlink"/>
                <w:noProof/>
                <w:sz w:val="16"/>
                <w:lang w:val="en-CA" w:eastAsia="en-CA"/>
              </w:rPr>
              <w:t>Sanctions for Illegal Insider Trading/Tipping (See Below for More Detail)</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_Toc468980449 \h </w:instrText>
            </w:r>
            <w:r w:rsidR="00E91AA0" w:rsidRPr="00152E2F">
              <w:rPr>
                <w:noProof/>
                <w:webHidden/>
                <w:sz w:val="16"/>
              </w:rPr>
            </w:r>
            <w:r w:rsidR="00E91AA0" w:rsidRPr="00152E2F">
              <w:rPr>
                <w:noProof/>
                <w:webHidden/>
                <w:sz w:val="16"/>
              </w:rPr>
              <w:fldChar w:fldCharType="separate"/>
            </w:r>
            <w:r w:rsidR="0029486E">
              <w:rPr>
                <w:noProof/>
                <w:webHidden/>
                <w:sz w:val="16"/>
              </w:rPr>
              <w:t>26</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50" w:history="1">
            <w:r w:rsidR="00E91AA0" w:rsidRPr="00152E2F">
              <w:rPr>
                <w:rStyle w:val="Hyperlink"/>
                <w:noProof/>
                <w:sz w:val="16"/>
                <w:lang w:val="en-CA" w:eastAsia="en-CA"/>
              </w:rPr>
              <w:t>Take-Over Bids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_Toc468980450 \h </w:instrText>
            </w:r>
            <w:r w:rsidR="00E91AA0" w:rsidRPr="00152E2F">
              <w:rPr>
                <w:noProof/>
                <w:webHidden/>
                <w:sz w:val="16"/>
              </w:rPr>
            </w:r>
            <w:r w:rsidR="00E91AA0" w:rsidRPr="00152E2F">
              <w:rPr>
                <w:noProof/>
                <w:webHidden/>
                <w:sz w:val="16"/>
              </w:rPr>
              <w:fldChar w:fldCharType="separate"/>
            </w:r>
            <w:r w:rsidR="0029486E">
              <w:rPr>
                <w:noProof/>
                <w:webHidden/>
                <w:sz w:val="16"/>
              </w:rPr>
              <w:t>26</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51" w:history="1">
            <w:r w:rsidR="00E91AA0" w:rsidRPr="00152E2F">
              <w:rPr>
                <w:rStyle w:val="Hyperlink"/>
                <w:noProof/>
                <w:sz w:val="16"/>
              </w:rPr>
              <w:t>Definition</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_Toc468980451 \h </w:instrText>
            </w:r>
            <w:r w:rsidR="00E91AA0" w:rsidRPr="00152E2F">
              <w:rPr>
                <w:noProof/>
                <w:webHidden/>
                <w:sz w:val="16"/>
              </w:rPr>
            </w:r>
            <w:r w:rsidR="00E91AA0" w:rsidRPr="00152E2F">
              <w:rPr>
                <w:noProof/>
                <w:webHidden/>
                <w:sz w:val="16"/>
              </w:rPr>
              <w:fldChar w:fldCharType="separate"/>
            </w:r>
            <w:r w:rsidR="0029486E">
              <w:rPr>
                <w:noProof/>
                <w:webHidden/>
                <w:sz w:val="16"/>
              </w:rPr>
              <w:t>27</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52" w:history="1">
            <w:r w:rsidR="00E91AA0" w:rsidRPr="00152E2F">
              <w:rPr>
                <w:rStyle w:val="Hyperlink"/>
                <w:noProof/>
                <w:sz w:val="16"/>
              </w:rPr>
              <w:t>Exemptions from “formal” takeover bid requirements (NI 62-104; PART 4 – DIV 1) (Catch-then-exclude)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_Toc468980452 \h </w:instrText>
            </w:r>
            <w:r w:rsidR="00E91AA0" w:rsidRPr="00152E2F">
              <w:rPr>
                <w:noProof/>
                <w:webHidden/>
                <w:sz w:val="16"/>
              </w:rPr>
            </w:r>
            <w:r w:rsidR="00E91AA0" w:rsidRPr="00152E2F">
              <w:rPr>
                <w:noProof/>
                <w:webHidden/>
                <w:sz w:val="16"/>
              </w:rPr>
              <w:fldChar w:fldCharType="separate"/>
            </w:r>
            <w:r w:rsidR="0029486E">
              <w:rPr>
                <w:noProof/>
                <w:webHidden/>
                <w:sz w:val="16"/>
              </w:rPr>
              <w:t>27</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53" w:history="1">
            <w:r w:rsidR="00E91AA0" w:rsidRPr="00152E2F">
              <w:rPr>
                <w:rStyle w:val="Hyperlink"/>
                <w:noProof/>
                <w:sz w:val="16"/>
              </w:rPr>
              <w:t>TOB Procedures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_Toc468980453 \h </w:instrText>
            </w:r>
            <w:r w:rsidR="00E91AA0" w:rsidRPr="00152E2F">
              <w:rPr>
                <w:noProof/>
                <w:webHidden/>
                <w:sz w:val="16"/>
              </w:rPr>
            </w:r>
            <w:r w:rsidR="00E91AA0" w:rsidRPr="00152E2F">
              <w:rPr>
                <w:noProof/>
                <w:webHidden/>
                <w:sz w:val="16"/>
              </w:rPr>
              <w:fldChar w:fldCharType="separate"/>
            </w:r>
            <w:r w:rsidR="0029486E">
              <w:rPr>
                <w:noProof/>
                <w:webHidden/>
                <w:sz w:val="16"/>
              </w:rPr>
              <w:t>27</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54" w:history="1">
            <w:r w:rsidR="00E91AA0" w:rsidRPr="00152E2F">
              <w:rPr>
                <w:rStyle w:val="Hyperlink"/>
                <w:noProof/>
                <w:sz w:val="16"/>
              </w:rPr>
              <w:t>Defenses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_Toc468980454 \h </w:instrText>
            </w:r>
            <w:r w:rsidR="00E91AA0" w:rsidRPr="00152E2F">
              <w:rPr>
                <w:noProof/>
                <w:webHidden/>
                <w:sz w:val="16"/>
              </w:rPr>
            </w:r>
            <w:r w:rsidR="00E91AA0" w:rsidRPr="00152E2F">
              <w:rPr>
                <w:noProof/>
                <w:webHidden/>
                <w:sz w:val="16"/>
              </w:rPr>
              <w:fldChar w:fldCharType="separate"/>
            </w:r>
            <w:r w:rsidR="0029486E">
              <w:rPr>
                <w:noProof/>
                <w:webHidden/>
                <w:sz w:val="16"/>
              </w:rPr>
              <w:t>29</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55" w:history="1">
            <w:r w:rsidR="00E91AA0" w:rsidRPr="00152E2F">
              <w:rPr>
                <w:rStyle w:val="Hyperlink"/>
                <w:noProof/>
                <w:sz w:val="16"/>
              </w:rPr>
              <w:t>Commission + Court Powers: Regulatory Responsibilities vs Court Powers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_Toc468980455 \h </w:instrText>
            </w:r>
            <w:r w:rsidR="00E91AA0" w:rsidRPr="00152E2F">
              <w:rPr>
                <w:noProof/>
                <w:webHidden/>
                <w:sz w:val="16"/>
              </w:rPr>
            </w:r>
            <w:r w:rsidR="00E91AA0" w:rsidRPr="00152E2F">
              <w:rPr>
                <w:noProof/>
                <w:webHidden/>
                <w:sz w:val="16"/>
              </w:rPr>
              <w:fldChar w:fldCharType="separate"/>
            </w:r>
            <w:r w:rsidR="0029486E">
              <w:rPr>
                <w:noProof/>
                <w:webHidden/>
                <w:sz w:val="16"/>
              </w:rPr>
              <w:t>30</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56" w:history="1">
            <w:r w:rsidR="00E91AA0" w:rsidRPr="00152E2F">
              <w:rPr>
                <w:rStyle w:val="Hyperlink"/>
                <w:noProof/>
                <w:sz w:val="16"/>
              </w:rPr>
              <w:t>Emerging Issues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_Toc468980456 \h </w:instrText>
            </w:r>
            <w:r w:rsidR="00E91AA0" w:rsidRPr="00152E2F">
              <w:rPr>
                <w:noProof/>
                <w:webHidden/>
                <w:sz w:val="16"/>
              </w:rPr>
            </w:r>
            <w:r w:rsidR="00E91AA0" w:rsidRPr="00152E2F">
              <w:rPr>
                <w:noProof/>
                <w:webHidden/>
                <w:sz w:val="16"/>
              </w:rPr>
              <w:fldChar w:fldCharType="separate"/>
            </w:r>
            <w:r w:rsidR="0029486E">
              <w:rPr>
                <w:noProof/>
                <w:webHidden/>
                <w:sz w:val="16"/>
              </w:rPr>
              <w:t>30</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57" w:history="1">
            <w:r w:rsidR="00E91AA0" w:rsidRPr="00152E2F">
              <w:rPr>
                <w:rStyle w:val="Hyperlink"/>
                <w:noProof/>
                <w:sz w:val="16"/>
              </w:rPr>
              <w:t>Enforcement</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_Toc468980457 \h </w:instrText>
            </w:r>
            <w:r w:rsidR="00E91AA0" w:rsidRPr="00152E2F">
              <w:rPr>
                <w:noProof/>
                <w:webHidden/>
                <w:sz w:val="16"/>
              </w:rPr>
            </w:r>
            <w:r w:rsidR="00E91AA0" w:rsidRPr="00152E2F">
              <w:rPr>
                <w:noProof/>
                <w:webHidden/>
                <w:sz w:val="16"/>
              </w:rPr>
              <w:fldChar w:fldCharType="separate"/>
            </w:r>
            <w:r w:rsidR="0029486E">
              <w:rPr>
                <w:noProof/>
                <w:webHidden/>
                <w:sz w:val="16"/>
              </w:rPr>
              <w:t>30</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58" w:history="1">
            <w:r w:rsidR="00E91AA0" w:rsidRPr="00152E2F">
              <w:rPr>
                <w:rStyle w:val="Hyperlink"/>
                <w:noProof/>
                <w:sz w:val="16"/>
              </w:rPr>
              <w:t>Investigative Provisions (Part 17 BCSA, ss 141-144)</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_Toc468980458 \h </w:instrText>
            </w:r>
            <w:r w:rsidR="00E91AA0" w:rsidRPr="00152E2F">
              <w:rPr>
                <w:noProof/>
                <w:webHidden/>
                <w:sz w:val="16"/>
              </w:rPr>
            </w:r>
            <w:r w:rsidR="00E91AA0" w:rsidRPr="00152E2F">
              <w:rPr>
                <w:noProof/>
                <w:webHidden/>
                <w:sz w:val="16"/>
              </w:rPr>
              <w:fldChar w:fldCharType="separate"/>
            </w:r>
            <w:r w:rsidR="0029486E">
              <w:rPr>
                <w:noProof/>
                <w:webHidden/>
                <w:sz w:val="16"/>
              </w:rPr>
              <w:t>30</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59" w:history="1">
            <w:r w:rsidR="00E91AA0" w:rsidRPr="00152E2F">
              <w:rPr>
                <w:rStyle w:val="Hyperlink"/>
                <w:noProof/>
                <w:sz w:val="16"/>
              </w:rPr>
              <w:t>Option 1: Administrative Sanctions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_Toc468980459 \h </w:instrText>
            </w:r>
            <w:r w:rsidR="00E91AA0" w:rsidRPr="00152E2F">
              <w:rPr>
                <w:noProof/>
                <w:webHidden/>
                <w:sz w:val="16"/>
              </w:rPr>
            </w:r>
            <w:r w:rsidR="00E91AA0" w:rsidRPr="00152E2F">
              <w:rPr>
                <w:noProof/>
                <w:webHidden/>
                <w:sz w:val="16"/>
              </w:rPr>
              <w:fldChar w:fldCharType="separate"/>
            </w:r>
            <w:r w:rsidR="0029486E">
              <w:rPr>
                <w:noProof/>
                <w:webHidden/>
                <w:sz w:val="16"/>
              </w:rPr>
              <w:t>30</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60" w:history="1">
            <w:r w:rsidR="00E91AA0" w:rsidRPr="00152E2F">
              <w:rPr>
                <w:rStyle w:val="Hyperlink"/>
                <w:noProof/>
                <w:sz w:val="16"/>
              </w:rPr>
              <w:t>ENFORCEMENT ORDERS (BCSA 160-164):</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_Toc468980460 \h </w:instrText>
            </w:r>
            <w:r w:rsidR="00E91AA0" w:rsidRPr="00152E2F">
              <w:rPr>
                <w:noProof/>
                <w:webHidden/>
                <w:sz w:val="16"/>
              </w:rPr>
            </w:r>
            <w:r w:rsidR="00E91AA0" w:rsidRPr="00152E2F">
              <w:rPr>
                <w:noProof/>
                <w:webHidden/>
                <w:sz w:val="16"/>
              </w:rPr>
              <w:fldChar w:fldCharType="separate"/>
            </w:r>
            <w:r w:rsidR="0029486E">
              <w:rPr>
                <w:noProof/>
                <w:webHidden/>
                <w:sz w:val="16"/>
              </w:rPr>
              <w:t>30</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61" w:history="1">
            <w:r w:rsidR="00E91AA0" w:rsidRPr="00152E2F">
              <w:rPr>
                <w:rStyle w:val="Hyperlink"/>
                <w:noProof/>
                <w:sz w:val="16"/>
              </w:rPr>
              <w:t>Court Remedies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_Toc468980461 \h </w:instrText>
            </w:r>
            <w:r w:rsidR="00E91AA0" w:rsidRPr="00152E2F">
              <w:rPr>
                <w:noProof/>
                <w:webHidden/>
                <w:sz w:val="16"/>
              </w:rPr>
            </w:r>
            <w:r w:rsidR="00E91AA0" w:rsidRPr="00152E2F">
              <w:rPr>
                <w:noProof/>
                <w:webHidden/>
                <w:sz w:val="16"/>
              </w:rPr>
              <w:fldChar w:fldCharType="separate"/>
            </w:r>
            <w:r w:rsidR="0029486E">
              <w:rPr>
                <w:noProof/>
                <w:webHidden/>
                <w:sz w:val="16"/>
              </w:rPr>
              <w:t>31</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62" w:history="1">
            <w:r w:rsidR="00E91AA0" w:rsidRPr="00152E2F">
              <w:rPr>
                <w:rStyle w:val="Hyperlink"/>
                <w:noProof/>
                <w:sz w:val="16"/>
              </w:rPr>
              <w:t>Option 2: Quasi-Criminal Provisions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_Toc468980462 \h </w:instrText>
            </w:r>
            <w:r w:rsidR="00E91AA0" w:rsidRPr="00152E2F">
              <w:rPr>
                <w:noProof/>
                <w:webHidden/>
                <w:sz w:val="16"/>
              </w:rPr>
            </w:r>
            <w:r w:rsidR="00E91AA0" w:rsidRPr="00152E2F">
              <w:rPr>
                <w:noProof/>
                <w:webHidden/>
                <w:sz w:val="16"/>
              </w:rPr>
              <w:fldChar w:fldCharType="separate"/>
            </w:r>
            <w:r w:rsidR="0029486E">
              <w:rPr>
                <w:noProof/>
                <w:webHidden/>
                <w:sz w:val="16"/>
              </w:rPr>
              <w:t>32</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63" w:history="1">
            <w:r w:rsidR="00E91AA0" w:rsidRPr="00152E2F">
              <w:rPr>
                <w:rStyle w:val="Hyperlink"/>
                <w:noProof/>
                <w:sz w:val="16"/>
              </w:rPr>
              <w:t>Option 3: Criminal</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_Toc468980463 \h </w:instrText>
            </w:r>
            <w:r w:rsidR="00E91AA0" w:rsidRPr="00152E2F">
              <w:rPr>
                <w:noProof/>
                <w:webHidden/>
                <w:sz w:val="16"/>
              </w:rPr>
            </w:r>
            <w:r w:rsidR="00E91AA0" w:rsidRPr="00152E2F">
              <w:rPr>
                <w:noProof/>
                <w:webHidden/>
                <w:sz w:val="16"/>
              </w:rPr>
              <w:fldChar w:fldCharType="separate"/>
            </w:r>
            <w:r w:rsidR="0029486E">
              <w:rPr>
                <w:noProof/>
                <w:webHidden/>
                <w:sz w:val="16"/>
              </w:rPr>
              <w:t>32</w:t>
            </w:r>
            <w:r w:rsidR="00E91AA0" w:rsidRPr="00152E2F">
              <w:rPr>
                <w:noProof/>
                <w:webHidden/>
                <w:sz w:val="16"/>
              </w:rPr>
              <w:fldChar w:fldCharType="end"/>
            </w:r>
          </w:hyperlink>
        </w:p>
        <w:p w:rsidR="00E91AA0" w:rsidRPr="00152E2F" w:rsidRDefault="007A3D23" w:rsidP="00FF0B61">
          <w:pPr>
            <w:pStyle w:val="TOC1"/>
            <w:rPr>
              <w:rFonts w:eastAsiaTheme="minorEastAsia"/>
              <w:noProof/>
              <w:sz w:val="20"/>
              <w:lang w:val="en-CA" w:eastAsia="en-CA"/>
            </w:rPr>
          </w:pPr>
          <w:hyperlink w:anchor="_Toc468980464" w:history="1">
            <w:r w:rsidR="00E91AA0" w:rsidRPr="00152E2F">
              <w:rPr>
                <w:rStyle w:val="Hyperlink"/>
                <w:noProof/>
                <w:sz w:val="16"/>
              </w:rPr>
              <w:t>Statutory Civil Liability and Due Diligence</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_Toc468980464 \h </w:instrText>
            </w:r>
            <w:r w:rsidR="00E91AA0" w:rsidRPr="00152E2F">
              <w:rPr>
                <w:noProof/>
                <w:webHidden/>
                <w:sz w:val="16"/>
              </w:rPr>
            </w:r>
            <w:r w:rsidR="00E91AA0" w:rsidRPr="00152E2F">
              <w:rPr>
                <w:noProof/>
                <w:webHidden/>
                <w:sz w:val="16"/>
              </w:rPr>
              <w:fldChar w:fldCharType="separate"/>
            </w:r>
            <w:r w:rsidR="0029486E">
              <w:rPr>
                <w:noProof/>
                <w:webHidden/>
                <w:sz w:val="16"/>
              </w:rPr>
              <w:t>32</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65" w:history="1">
            <w:r w:rsidR="00E91AA0" w:rsidRPr="00152E2F">
              <w:rPr>
                <w:rStyle w:val="Hyperlink"/>
                <w:noProof/>
                <w:sz w:val="16"/>
              </w:rPr>
              <w:t>Procedural Matters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_Toc468980465 \h </w:instrText>
            </w:r>
            <w:r w:rsidR="00E91AA0" w:rsidRPr="00152E2F">
              <w:rPr>
                <w:noProof/>
                <w:webHidden/>
                <w:sz w:val="16"/>
              </w:rPr>
            </w:r>
            <w:r w:rsidR="00E91AA0" w:rsidRPr="00152E2F">
              <w:rPr>
                <w:noProof/>
                <w:webHidden/>
                <w:sz w:val="16"/>
              </w:rPr>
              <w:fldChar w:fldCharType="separate"/>
            </w:r>
            <w:r w:rsidR="0029486E">
              <w:rPr>
                <w:noProof/>
                <w:webHidden/>
                <w:sz w:val="16"/>
              </w:rPr>
              <w:t>32</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66" w:history="1">
            <w:r w:rsidR="00E91AA0" w:rsidRPr="00152E2F">
              <w:rPr>
                <w:rStyle w:val="Hyperlink"/>
                <w:noProof/>
                <w:sz w:val="16"/>
              </w:rPr>
              <w:t>Common Law</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_Toc468980466 \h </w:instrText>
            </w:r>
            <w:r w:rsidR="00E91AA0" w:rsidRPr="00152E2F">
              <w:rPr>
                <w:noProof/>
                <w:webHidden/>
                <w:sz w:val="16"/>
              </w:rPr>
            </w:r>
            <w:r w:rsidR="00E91AA0" w:rsidRPr="00152E2F">
              <w:rPr>
                <w:noProof/>
                <w:webHidden/>
                <w:sz w:val="16"/>
              </w:rPr>
              <w:fldChar w:fldCharType="separate"/>
            </w:r>
            <w:r w:rsidR="0029486E">
              <w:rPr>
                <w:noProof/>
                <w:webHidden/>
                <w:sz w:val="16"/>
              </w:rPr>
              <w:t>33</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67" w:history="1">
            <w:r w:rsidR="00E91AA0" w:rsidRPr="00152E2F">
              <w:rPr>
                <w:rStyle w:val="Hyperlink"/>
                <w:noProof/>
                <w:sz w:val="16"/>
              </w:rPr>
              <w:t>Primary Market Liability</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_Toc468980467 \h </w:instrText>
            </w:r>
            <w:r w:rsidR="00E91AA0" w:rsidRPr="00152E2F">
              <w:rPr>
                <w:noProof/>
                <w:webHidden/>
                <w:sz w:val="16"/>
              </w:rPr>
            </w:r>
            <w:r w:rsidR="00E91AA0" w:rsidRPr="00152E2F">
              <w:rPr>
                <w:noProof/>
                <w:webHidden/>
                <w:sz w:val="16"/>
              </w:rPr>
              <w:fldChar w:fldCharType="separate"/>
            </w:r>
            <w:r w:rsidR="0029486E">
              <w:rPr>
                <w:noProof/>
                <w:webHidden/>
                <w:sz w:val="16"/>
              </w:rPr>
              <w:t>33</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68" w:history="1">
            <w:r w:rsidR="00E91AA0" w:rsidRPr="00152E2F">
              <w:rPr>
                <w:rStyle w:val="Hyperlink"/>
                <w:noProof/>
                <w:sz w:val="16"/>
              </w:rPr>
              <w:t>Defenses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_Toc468980468 \h </w:instrText>
            </w:r>
            <w:r w:rsidR="00E91AA0" w:rsidRPr="00152E2F">
              <w:rPr>
                <w:noProof/>
                <w:webHidden/>
                <w:sz w:val="16"/>
              </w:rPr>
            </w:r>
            <w:r w:rsidR="00E91AA0" w:rsidRPr="00152E2F">
              <w:rPr>
                <w:noProof/>
                <w:webHidden/>
                <w:sz w:val="16"/>
              </w:rPr>
              <w:fldChar w:fldCharType="separate"/>
            </w:r>
            <w:r w:rsidR="0029486E">
              <w:rPr>
                <w:noProof/>
                <w:webHidden/>
                <w:sz w:val="16"/>
              </w:rPr>
              <w:t>34</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69" w:history="1">
            <w:r w:rsidR="00E91AA0" w:rsidRPr="00152E2F">
              <w:rPr>
                <w:rStyle w:val="Hyperlink"/>
                <w:noProof/>
                <w:sz w:val="16"/>
              </w:rPr>
              <w:t>Damages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_Toc468980469 \h </w:instrText>
            </w:r>
            <w:r w:rsidR="00E91AA0" w:rsidRPr="00152E2F">
              <w:rPr>
                <w:noProof/>
                <w:webHidden/>
                <w:sz w:val="16"/>
              </w:rPr>
            </w:r>
            <w:r w:rsidR="00E91AA0" w:rsidRPr="00152E2F">
              <w:rPr>
                <w:noProof/>
                <w:webHidden/>
                <w:sz w:val="16"/>
              </w:rPr>
              <w:fldChar w:fldCharType="separate"/>
            </w:r>
            <w:r w:rsidR="0029486E">
              <w:rPr>
                <w:noProof/>
                <w:webHidden/>
                <w:sz w:val="16"/>
              </w:rPr>
              <w:t>34</w:t>
            </w:r>
            <w:r w:rsidR="00E91AA0" w:rsidRPr="00152E2F">
              <w:rPr>
                <w:noProof/>
                <w:webHidden/>
                <w:sz w:val="16"/>
              </w:rPr>
              <w:fldChar w:fldCharType="end"/>
            </w:r>
          </w:hyperlink>
        </w:p>
        <w:p w:rsidR="00E91AA0" w:rsidRPr="00152E2F" w:rsidRDefault="007A3D23" w:rsidP="00FF0B61">
          <w:pPr>
            <w:pStyle w:val="TOC2"/>
            <w:rPr>
              <w:rFonts w:eastAsiaTheme="minorEastAsia"/>
              <w:noProof/>
              <w:sz w:val="20"/>
              <w:lang w:val="en-CA" w:eastAsia="en-CA"/>
            </w:rPr>
          </w:pPr>
          <w:hyperlink w:anchor="_Toc468980470" w:history="1">
            <w:r w:rsidR="00E91AA0" w:rsidRPr="00152E2F">
              <w:rPr>
                <w:rStyle w:val="Hyperlink"/>
                <w:noProof/>
                <w:sz w:val="16"/>
              </w:rPr>
              <w:t>Secondary Market Liability</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_Toc468980470 \h </w:instrText>
            </w:r>
            <w:r w:rsidR="00E91AA0" w:rsidRPr="00152E2F">
              <w:rPr>
                <w:noProof/>
                <w:webHidden/>
                <w:sz w:val="16"/>
              </w:rPr>
            </w:r>
            <w:r w:rsidR="00E91AA0" w:rsidRPr="00152E2F">
              <w:rPr>
                <w:noProof/>
                <w:webHidden/>
                <w:sz w:val="16"/>
              </w:rPr>
              <w:fldChar w:fldCharType="separate"/>
            </w:r>
            <w:r w:rsidR="0029486E">
              <w:rPr>
                <w:noProof/>
                <w:webHidden/>
                <w:sz w:val="16"/>
              </w:rPr>
              <w:t>35</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71" w:history="1">
            <w:r w:rsidR="00E91AA0" w:rsidRPr="00152E2F">
              <w:rPr>
                <w:rStyle w:val="Hyperlink"/>
                <w:noProof/>
                <w:sz w:val="16"/>
              </w:rPr>
              <w:t>Who Can Bring the Action? (140.3(1-4))</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_Toc468980471 \h </w:instrText>
            </w:r>
            <w:r w:rsidR="00E91AA0" w:rsidRPr="00152E2F">
              <w:rPr>
                <w:noProof/>
                <w:webHidden/>
                <w:sz w:val="16"/>
              </w:rPr>
            </w:r>
            <w:r w:rsidR="00E91AA0" w:rsidRPr="00152E2F">
              <w:rPr>
                <w:noProof/>
                <w:webHidden/>
                <w:sz w:val="16"/>
              </w:rPr>
              <w:fldChar w:fldCharType="separate"/>
            </w:r>
            <w:r w:rsidR="0029486E">
              <w:rPr>
                <w:noProof/>
                <w:webHidden/>
                <w:sz w:val="16"/>
              </w:rPr>
              <w:t>35</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72" w:history="1">
            <w:r w:rsidR="00E91AA0" w:rsidRPr="00152E2F">
              <w:rPr>
                <w:rStyle w:val="Hyperlink"/>
                <w:noProof/>
                <w:sz w:val="16"/>
              </w:rPr>
              <w:t>Definitions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_Toc468980472 \h </w:instrText>
            </w:r>
            <w:r w:rsidR="00E91AA0" w:rsidRPr="00152E2F">
              <w:rPr>
                <w:noProof/>
                <w:webHidden/>
                <w:sz w:val="16"/>
              </w:rPr>
            </w:r>
            <w:r w:rsidR="00E91AA0" w:rsidRPr="00152E2F">
              <w:rPr>
                <w:noProof/>
                <w:webHidden/>
                <w:sz w:val="16"/>
              </w:rPr>
              <w:fldChar w:fldCharType="separate"/>
            </w:r>
            <w:r w:rsidR="0029486E">
              <w:rPr>
                <w:noProof/>
                <w:webHidden/>
                <w:sz w:val="16"/>
              </w:rPr>
              <w:t>35</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73" w:history="1">
            <w:r w:rsidR="00E91AA0" w:rsidRPr="00152E2F">
              <w:rPr>
                <w:rStyle w:val="Hyperlink"/>
                <w:noProof/>
                <w:sz w:val="16"/>
              </w:rPr>
              <w:t>Liability (</w:t>
            </w:r>
            <w:r w:rsidR="00E91AA0" w:rsidRPr="00152E2F">
              <w:rPr>
                <w:rStyle w:val="Hyperlink"/>
                <w:rFonts w:cs="Arial"/>
                <w:noProof/>
                <w:sz w:val="16"/>
              </w:rPr>
              <w:t>BCSA 140.3)</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_Toc468980473 \h </w:instrText>
            </w:r>
            <w:r w:rsidR="00E91AA0" w:rsidRPr="00152E2F">
              <w:rPr>
                <w:noProof/>
                <w:webHidden/>
                <w:sz w:val="16"/>
              </w:rPr>
            </w:r>
            <w:r w:rsidR="00E91AA0" w:rsidRPr="00152E2F">
              <w:rPr>
                <w:noProof/>
                <w:webHidden/>
                <w:sz w:val="16"/>
              </w:rPr>
              <w:fldChar w:fldCharType="separate"/>
            </w:r>
            <w:r w:rsidR="0029486E">
              <w:rPr>
                <w:noProof/>
                <w:webHidden/>
                <w:sz w:val="16"/>
              </w:rPr>
              <w:t>35</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74" w:history="1">
            <w:r w:rsidR="00E91AA0" w:rsidRPr="00152E2F">
              <w:rPr>
                <w:rStyle w:val="Hyperlink"/>
                <w:noProof/>
                <w:sz w:val="16"/>
              </w:rPr>
              <w:t>Burden of Proof: Which can act as “defenses”</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_Toc468980474 \h </w:instrText>
            </w:r>
            <w:r w:rsidR="00E91AA0" w:rsidRPr="00152E2F">
              <w:rPr>
                <w:noProof/>
                <w:webHidden/>
                <w:sz w:val="16"/>
              </w:rPr>
            </w:r>
            <w:r w:rsidR="00E91AA0" w:rsidRPr="00152E2F">
              <w:rPr>
                <w:noProof/>
                <w:webHidden/>
                <w:sz w:val="16"/>
              </w:rPr>
              <w:fldChar w:fldCharType="separate"/>
            </w:r>
            <w:r w:rsidR="0029486E">
              <w:rPr>
                <w:noProof/>
                <w:webHidden/>
                <w:sz w:val="16"/>
              </w:rPr>
              <w:t>36</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75" w:history="1">
            <w:r w:rsidR="00E91AA0" w:rsidRPr="00152E2F">
              <w:rPr>
                <w:rStyle w:val="Hyperlink"/>
                <w:noProof/>
                <w:sz w:val="16"/>
              </w:rPr>
              <w:t>Defenses – Onus on D</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_Toc468980475 \h </w:instrText>
            </w:r>
            <w:r w:rsidR="00E91AA0" w:rsidRPr="00152E2F">
              <w:rPr>
                <w:noProof/>
                <w:webHidden/>
                <w:sz w:val="16"/>
              </w:rPr>
            </w:r>
            <w:r w:rsidR="00E91AA0" w:rsidRPr="00152E2F">
              <w:rPr>
                <w:noProof/>
                <w:webHidden/>
                <w:sz w:val="16"/>
              </w:rPr>
              <w:fldChar w:fldCharType="separate"/>
            </w:r>
            <w:r w:rsidR="0029486E">
              <w:rPr>
                <w:noProof/>
                <w:webHidden/>
                <w:sz w:val="16"/>
              </w:rPr>
              <w:t>37</w:t>
            </w:r>
            <w:r w:rsidR="00E91AA0" w:rsidRPr="00152E2F">
              <w:rPr>
                <w:noProof/>
                <w:webHidden/>
                <w:sz w:val="16"/>
              </w:rPr>
              <w:fldChar w:fldCharType="end"/>
            </w:r>
          </w:hyperlink>
        </w:p>
        <w:p w:rsidR="00E91AA0" w:rsidRPr="00152E2F" w:rsidRDefault="007A3D23" w:rsidP="00FF0B61">
          <w:pPr>
            <w:pStyle w:val="TOC3"/>
            <w:rPr>
              <w:rFonts w:eastAsiaTheme="minorEastAsia"/>
              <w:noProof/>
              <w:sz w:val="20"/>
              <w:lang w:val="en-CA" w:eastAsia="en-CA"/>
            </w:rPr>
          </w:pPr>
          <w:hyperlink w:anchor="_Toc468980476" w:history="1">
            <w:r w:rsidR="00E91AA0" w:rsidRPr="00152E2F">
              <w:rPr>
                <w:rStyle w:val="Hyperlink"/>
                <w:noProof/>
                <w:sz w:val="16"/>
              </w:rPr>
              <w:t>Damages (BCSA Division 3)</w:t>
            </w:r>
            <w:r w:rsidR="00E91AA0" w:rsidRPr="00152E2F">
              <w:rPr>
                <w:noProof/>
                <w:webHidden/>
                <w:sz w:val="16"/>
              </w:rPr>
              <w:tab/>
            </w:r>
            <w:r w:rsidR="00E91AA0" w:rsidRPr="00152E2F">
              <w:rPr>
                <w:noProof/>
                <w:webHidden/>
                <w:sz w:val="16"/>
              </w:rPr>
              <w:fldChar w:fldCharType="begin"/>
            </w:r>
            <w:r w:rsidR="00E91AA0" w:rsidRPr="00152E2F">
              <w:rPr>
                <w:noProof/>
                <w:webHidden/>
                <w:sz w:val="16"/>
              </w:rPr>
              <w:instrText xml:space="preserve"> PAGEREF _Toc468980476 \h </w:instrText>
            </w:r>
            <w:r w:rsidR="00E91AA0" w:rsidRPr="00152E2F">
              <w:rPr>
                <w:noProof/>
                <w:webHidden/>
                <w:sz w:val="16"/>
              </w:rPr>
            </w:r>
            <w:r w:rsidR="00E91AA0" w:rsidRPr="00152E2F">
              <w:rPr>
                <w:noProof/>
                <w:webHidden/>
                <w:sz w:val="16"/>
              </w:rPr>
              <w:fldChar w:fldCharType="separate"/>
            </w:r>
            <w:r w:rsidR="0029486E">
              <w:rPr>
                <w:noProof/>
                <w:webHidden/>
                <w:sz w:val="16"/>
              </w:rPr>
              <w:t>37</w:t>
            </w:r>
            <w:r w:rsidR="00E91AA0" w:rsidRPr="00152E2F">
              <w:rPr>
                <w:noProof/>
                <w:webHidden/>
                <w:sz w:val="16"/>
              </w:rPr>
              <w:fldChar w:fldCharType="end"/>
            </w:r>
          </w:hyperlink>
        </w:p>
        <w:p w:rsidR="00E06F57" w:rsidRDefault="00E06F57" w:rsidP="00FF0B61">
          <w:pPr>
            <w:spacing w:after="0" w:line="240" w:lineRule="auto"/>
          </w:pPr>
          <w:r w:rsidRPr="00A8188A">
            <w:rPr>
              <w:b/>
              <w:bCs/>
              <w:noProof/>
              <w:sz w:val="2"/>
              <w:szCs w:val="18"/>
            </w:rPr>
            <w:fldChar w:fldCharType="end"/>
          </w:r>
        </w:p>
      </w:sdtContent>
    </w:sdt>
    <w:p w:rsidR="002F7C9E" w:rsidRDefault="00457F85" w:rsidP="00FF0B61">
      <w:pPr>
        <w:pStyle w:val="Heading1"/>
        <w:spacing w:after="0"/>
      </w:pPr>
      <w:bookmarkStart w:id="0" w:name="_Toc468980386"/>
      <w:r>
        <w:t>Introduction</w:t>
      </w:r>
      <w:bookmarkEnd w:id="0"/>
    </w:p>
    <w:p w:rsidR="000D4D61" w:rsidRDefault="00B54ACD" w:rsidP="00FF0B61">
      <w:pPr>
        <w:spacing w:after="0" w:line="240" w:lineRule="auto"/>
      </w:pPr>
      <w:r>
        <w:rPr>
          <w:b/>
        </w:rPr>
        <w:t>2 MAIN GOALS</w:t>
      </w:r>
      <w:r w:rsidR="00642FFE">
        <w:rPr>
          <w:b/>
        </w:rPr>
        <w:t xml:space="preserve"> OF SECURITIES REGULATION:</w:t>
      </w:r>
      <w:r w:rsidR="00AA703E">
        <w:t xml:space="preserve"> </w:t>
      </w:r>
      <w:r w:rsidR="00AA703E" w:rsidRPr="00C04A42">
        <w:rPr>
          <w:b/>
        </w:rPr>
        <w:t>1)</w:t>
      </w:r>
      <w:r w:rsidR="00AA703E">
        <w:t xml:space="preserve"> P</w:t>
      </w:r>
      <w:r w:rsidR="002F7C9E">
        <w:t xml:space="preserve">rotect investors; </w:t>
      </w:r>
      <w:r w:rsidR="00AA4D9F" w:rsidRPr="00C04A42">
        <w:rPr>
          <w:b/>
        </w:rPr>
        <w:t xml:space="preserve">AND </w:t>
      </w:r>
      <w:r w:rsidR="002F7C9E" w:rsidRPr="00C04A42">
        <w:rPr>
          <w:b/>
        </w:rPr>
        <w:t>2)</w:t>
      </w:r>
      <w:r w:rsidR="002F7C9E">
        <w:t xml:space="preserve"> Foster fai</w:t>
      </w:r>
      <w:r w:rsidR="001C6A70">
        <w:t>r and efficient capital m</w:t>
      </w:r>
      <w:r w:rsidR="00F260D1">
        <w:t xml:space="preserve">arkets [contribute to financial stability/mitigate systemic risk]. </w:t>
      </w:r>
      <w:r w:rsidR="002F7C9E">
        <w:t xml:space="preserve"> </w:t>
      </w:r>
    </w:p>
    <w:p w:rsidR="00C83A74" w:rsidRPr="00F121B2" w:rsidRDefault="00C83A74" w:rsidP="00FF0B61">
      <w:pPr>
        <w:pStyle w:val="ListParagraph"/>
        <w:numPr>
          <w:ilvl w:val="0"/>
          <w:numId w:val="6"/>
        </w:numPr>
        <w:spacing w:after="0"/>
        <w:ind w:left="720"/>
      </w:pPr>
      <w:r w:rsidRPr="00046AF5">
        <w:rPr>
          <w:b/>
        </w:rPr>
        <w:t xml:space="preserve">Capital Markets: </w:t>
      </w:r>
      <w:r w:rsidR="009F3606">
        <w:t>Broader regulatory structure of securities, banking and insurance.</w:t>
      </w:r>
    </w:p>
    <w:p w:rsidR="00C83A74" w:rsidRPr="00C03572" w:rsidRDefault="00C83A74" w:rsidP="00FF0B61">
      <w:pPr>
        <w:pStyle w:val="ListParagraph"/>
        <w:numPr>
          <w:ilvl w:val="0"/>
          <w:numId w:val="6"/>
        </w:numPr>
        <w:ind w:left="720"/>
      </w:pPr>
      <w:r w:rsidRPr="00046AF5">
        <w:rPr>
          <w:b/>
        </w:rPr>
        <w:t>Financial Markets:</w:t>
      </w:r>
      <w:r w:rsidR="009F3606" w:rsidRPr="00046AF5">
        <w:rPr>
          <w:b/>
        </w:rPr>
        <w:t xml:space="preserve"> </w:t>
      </w:r>
      <w:r w:rsidR="00046AF5">
        <w:t xml:space="preserve">All of the capital markets + anything else that may go into how markets move. </w:t>
      </w:r>
    </w:p>
    <w:p w:rsidR="00C83A74" w:rsidRPr="008415CE" w:rsidRDefault="00C83A74" w:rsidP="00FF0B61">
      <w:pPr>
        <w:pStyle w:val="ListParagraph"/>
        <w:numPr>
          <w:ilvl w:val="0"/>
          <w:numId w:val="6"/>
        </w:numPr>
        <w:ind w:left="720"/>
      </w:pPr>
      <w:r w:rsidRPr="00046AF5">
        <w:rPr>
          <w:b/>
        </w:rPr>
        <w:t>Security Markets:</w:t>
      </w:r>
      <w:r w:rsidR="008415CE" w:rsidRPr="00046AF5">
        <w:rPr>
          <w:b/>
        </w:rPr>
        <w:t xml:space="preserve"> </w:t>
      </w:r>
      <w:r w:rsidR="008415CE">
        <w:t xml:space="preserve">About buying and selling securities. </w:t>
      </w:r>
    </w:p>
    <w:p w:rsidR="00C83A74" w:rsidRPr="00507C68" w:rsidRDefault="00393B47" w:rsidP="00FF0B61">
      <w:pPr>
        <w:spacing w:after="0" w:line="240" w:lineRule="auto"/>
        <w:rPr>
          <w:b/>
        </w:rPr>
      </w:pPr>
      <w:r w:rsidRPr="00507C68">
        <w:rPr>
          <w:b/>
        </w:rPr>
        <w:t>SECURITIES MARKET:</w:t>
      </w:r>
    </w:p>
    <w:p w:rsidR="00393B47" w:rsidRPr="00047FA6" w:rsidRDefault="00393B47" w:rsidP="00FF0B61">
      <w:pPr>
        <w:pStyle w:val="ListParagraph"/>
        <w:numPr>
          <w:ilvl w:val="0"/>
          <w:numId w:val="7"/>
        </w:numPr>
        <w:spacing w:after="0"/>
        <w:ind w:left="720"/>
        <w:rPr>
          <w:b/>
        </w:rPr>
      </w:pPr>
      <w:r w:rsidRPr="008B2B65">
        <w:rPr>
          <w:b/>
        </w:rPr>
        <w:t>Public Mar</w:t>
      </w:r>
      <w:r w:rsidR="002B3972" w:rsidRPr="008B2B65">
        <w:rPr>
          <w:b/>
        </w:rPr>
        <w:t>kets</w:t>
      </w:r>
      <w:r w:rsidR="002B3972">
        <w:t xml:space="preserve">: Companies selling stocks to the public. </w:t>
      </w:r>
    </w:p>
    <w:p w:rsidR="00282E47" w:rsidRPr="003B619E" w:rsidRDefault="00047FA6" w:rsidP="00FF0B61">
      <w:pPr>
        <w:pStyle w:val="ListParagraph"/>
        <w:numPr>
          <w:ilvl w:val="0"/>
          <w:numId w:val="7"/>
        </w:numPr>
        <w:spacing w:after="0"/>
        <w:ind w:left="720"/>
        <w:rPr>
          <w:b/>
        </w:rPr>
      </w:pPr>
      <w:r w:rsidRPr="008B2B65">
        <w:rPr>
          <w:b/>
        </w:rPr>
        <w:t>Exempt/private</w:t>
      </w:r>
      <w:r>
        <w:t xml:space="preserve">: Special rules that apply to a security, the general public cannot just buy. Can only sell to people with a unique relationship to the company. Exempt market is bigger than the public. </w:t>
      </w:r>
    </w:p>
    <w:p w:rsidR="003B619E" w:rsidRPr="003B619E" w:rsidRDefault="003B619E" w:rsidP="00FF0B61">
      <w:pPr>
        <w:pStyle w:val="ListParagraph"/>
        <w:spacing w:after="0"/>
        <w:ind w:left="360"/>
        <w:rPr>
          <w:b/>
        </w:rPr>
      </w:pPr>
    </w:p>
    <w:p w:rsidR="003B619E" w:rsidRPr="00507C68" w:rsidRDefault="003B619E" w:rsidP="00FF0B61">
      <w:pPr>
        <w:spacing w:after="0" w:line="240" w:lineRule="auto"/>
        <w:rPr>
          <w:b/>
        </w:rPr>
      </w:pPr>
      <w:r w:rsidRPr="00507C68">
        <w:rPr>
          <w:b/>
        </w:rPr>
        <w:t>TYPES OF REGULATION:</w:t>
      </w:r>
    </w:p>
    <w:p w:rsidR="00282E47" w:rsidRPr="003B619E" w:rsidRDefault="00D11837" w:rsidP="00FF0B61">
      <w:pPr>
        <w:pStyle w:val="ListParagraph"/>
        <w:numPr>
          <w:ilvl w:val="0"/>
          <w:numId w:val="8"/>
        </w:numPr>
        <w:spacing w:after="0"/>
        <w:ind w:left="720"/>
        <w:rPr>
          <w:b/>
        </w:rPr>
      </w:pPr>
      <w:r w:rsidRPr="003B619E">
        <w:rPr>
          <w:b/>
        </w:rPr>
        <w:t xml:space="preserve">Entity Based Regulator: </w:t>
      </w:r>
      <w:r>
        <w:t xml:space="preserve">In Canada, currently we regulate Baking, Securities and Insurance separately. </w:t>
      </w:r>
      <w:r w:rsidRPr="003B619E">
        <w:rPr>
          <w:b/>
        </w:rPr>
        <w:t xml:space="preserve"> </w:t>
      </w:r>
    </w:p>
    <w:p w:rsidR="00AA6F19" w:rsidRDefault="00AA6F19" w:rsidP="00FF0B61">
      <w:pPr>
        <w:pStyle w:val="ListParagraph"/>
        <w:numPr>
          <w:ilvl w:val="0"/>
          <w:numId w:val="8"/>
        </w:numPr>
        <w:spacing w:after="0"/>
        <w:ind w:left="720"/>
      </w:pPr>
      <w:r w:rsidRPr="003B619E">
        <w:rPr>
          <w:b/>
        </w:rPr>
        <w:t>Twin-Peaks Regulator:</w:t>
      </w:r>
      <w:r w:rsidR="00C2065E" w:rsidRPr="003B619E">
        <w:rPr>
          <w:b/>
        </w:rPr>
        <w:t xml:space="preserve"> </w:t>
      </w:r>
      <w:r w:rsidR="00C2065E">
        <w:t xml:space="preserve">Gives </w:t>
      </w:r>
      <w:r>
        <w:t>up on entity based structur</w:t>
      </w:r>
      <w:r w:rsidR="00D27AE8">
        <w:t>e (currently in Canada) and has</w:t>
      </w:r>
      <w:r>
        <w:t xml:space="preserve"> one side deal with consumer protection and the other focuses on</w:t>
      </w:r>
      <w:r w:rsidR="00255B66">
        <w:t xml:space="preserve"> safety and soundness (e.g. seen in Australia). </w:t>
      </w:r>
    </w:p>
    <w:p w:rsidR="00F03C70" w:rsidRPr="00F03C70" w:rsidRDefault="00DF724C" w:rsidP="00FF0B61">
      <w:pPr>
        <w:pStyle w:val="ListParagraph"/>
        <w:numPr>
          <w:ilvl w:val="0"/>
          <w:numId w:val="8"/>
        </w:numPr>
        <w:spacing w:after="0"/>
        <w:ind w:left="720"/>
        <w:rPr>
          <w:b/>
        </w:rPr>
      </w:pPr>
      <w:r>
        <w:rPr>
          <w:b/>
        </w:rPr>
        <w:t xml:space="preserve">Unified Regulator: </w:t>
      </w:r>
      <w:r>
        <w:t xml:space="preserve">Banking, Insurance and Securities all regulated by one organization. </w:t>
      </w:r>
    </w:p>
    <w:p w:rsidR="00C741EF" w:rsidRDefault="00C741EF" w:rsidP="00FF0B61">
      <w:pPr>
        <w:pStyle w:val="ListParagraph"/>
        <w:numPr>
          <w:ilvl w:val="0"/>
          <w:numId w:val="8"/>
        </w:numPr>
        <w:spacing w:after="0"/>
        <w:ind w:left="720"/>
      </w:pPr>
      <w:r w:rsidRPr="003B619E">
        <w:rPr>
          <w:b/>
        </w:rPr>
        <w:t xml:space="preserve">Other Option: </w:t>
      </w:r>
      <w:r>
        <w:t xml:space="preserve">If do not have unified regulator, try and get coordination between the regulators. </w:t>
      </w:r>
    </w:p>
    <w:p w:rsidR="006F2CEC" w:rsidRDefault="006F2CEC" w:rsidP="00FF0B61">
      <w:pPr>
        <w:pStyle w:val="ListParagraph"/>
        <w:spacing w:after="0"/>
      </w:pPr>
    </w:p>
    <w:p w:rsidR="006F2CEC" w:rsidRDefault="006F2CEC" w:rsidP="00FF0B61">
      <w:pPr>
        <w:spacing w:after="0" w:line="240" w:lineRule="auto"/>
      </w:pPr>
      <w:r>
        <w:rPr>
          <w:b/>
        </w:rPr>
        <w:t xml:space="preserve">REGULATORY METHODS: </w:t>
      </w:r>
      <w:r w:rsidRPr="00685887">
        <w:rPr>
          <w:b/>
        </w:rPr>
        <w:t>1)</w:t>
      </w:r>
      <w:r>
        <w:t xml:space="preserve"> Disclosure-based re issuers; </w:t>
      </w:r>
      <w:r w:rsidRPr="00685887">
        <w:rPr>
          <w:b/>
        </w:rPr>
        <w:t>2)</w:t>
      </w:r>
      <w:r>
        <w:t xml:space="preserve"> Registration requirements for registrants (dealers &amp; advisors</w:t>
      </w:r>
      <w:r w:rsidRPr="00685887">
        <w:rPr>
          <w:b/>
        </w:rPr>
        <w:t>); 3)</w:t>
      </w:r>
      <w:r>
        <w:t xml:space="preserve"> Anti-Fraud Provisions including criminal sanctions. </w:t>
      </w:r>
    </w:p>
    <w:p w:rsidR="00FB3A20" w:rsidRDefault="00FB3A20" w:rsidP="00FF0B61">
      <w:pPr>
        <w:spacing w:after="0" w:line="240" w:lineRule="auto"/>
      </w:pPr>
    </w:p>
    <w:p w:rsidR="00FB3A20" w:rsidRDefault="00FB3A20" w:rsidP="00FF0B61">
      <w:pPr>
        <w:spacing w:after="0" w:line="240" w:lineRule="auto"/>
      </w:pPr>
      <w:r>
        <w:rPr>
          <w:b/>
        </w:rPr>
        <w:t xml:space="preserve">SECONDARY MARKET: </w:t>
      </w:r>
      <w:r>
        <w:t xml:space="preserve">After the </w:t>
      </w:r>
      <w:r w:rsidRPr="00CD4ABC">
        <w:rPr>
          <w:u w:val="single"/>
        </w:rPr>
        <w:t>initial distribution</w:t>
      </w:r>
      <w:r>
        <w:t xml:space="preserve">, securities </w:t>
      </w:r>
      <w:r w:rsidRPr="00CD4ABC">
        <w:rPr>
          <w:b/>
          <w:i/>
        </w:rPr>
        <w:t>are bought and sold in the secondary markets</w:t>
      </w:r>
      <w:r>
        <w:t xml:space="preserve">. </w:t>
      </w:r>
      <w:r>
        <w:rPr>
          <w:b/>
        </w:rPr>
        <w:t xml:space="preserve">Types: 1) </w:t>
      </w:r>
      <w:r w:rsidRPr="003120AC">
        <w:t>TSX/TSX-V: must meet &amp; maintain their requirements</w:t>
      </w:r>
      <w:r>
        <w:t xml:space="preserve"> </w:t>
      </w:r>
      <w:r>
        <w:rPr>
          <w:b/>
        </w:rPr>
        <w:t xml:space="preserve">// (2) </w:t>
      </w:r>
      <w:r w:rsidRPr="003120AC">
        <w:t>OTC or unlisted market: includes many debt securities &amp; OTC derivatives</w:t>
      </w:r>
      <w:r>
        <w:rPr>
          <w:b/>
        </w:rPr>
        <w:t xml:space="preserve"> // (3) </w:t>
      </w:r>
      <w:r w:rsidRPr="003120AC">
        <w:t>Upstairs Market (face to face) btw institutional investors (less liquid/transparent/smaller) w/ assistance of dealers</w:t>
      </w:r>
      <w:r>
        <w:rPr>
          <w:b/>
        </w:rPr>
        <w:t xml:space="preserve"> // (4) </w:t>
      </w:r>
      <w:r>
        <w:t xml:space="preserve">Upstairs Market w/o dealers </w:t>
      </w:r>
      <w:r>
        <w:rPr>
          <w:b/>
        </w:rPr>
        <w:t xml:space="preserve">// (5) </w:t>
      </w:r>
      <w:r w:rsidRPr="003120AC">
        <w:t>Money Market: short term deb sec (eg. Commercial paper, debt of gov &amp; corp – companies have strong credit ratings eg. Bank of Canada</w:t>
      </w:r>
    </w:p>
    <w:p w:rsidR="00FB3A20" w:rsidRPr="006F2CEC" w:rsidRDefault="00FB3A20" w:rsidP="00FF0B61">
      <w:pPr>
        <w:spacing w:after="0" w:line="240" w:lineRule="auto"/>
      </w:pPr>
    </w:p>
    <w:p w:rsidR="00784AE4" w:rsidRDefault="00322005" w:rsidP="00FF0B61">
      <w:pPr>
        <w:pStyle w:val="Heading2"/>
        <w:spacing w:line="240" w:lineRule="auto"/>
      </w:pPr>
      <w:bookmarkStart w:id="1" w:name="_Toc468980387"/>
      <w:r>
        <w:t>TYPES OF SECURITIES:</w:t>
      </w:r>
      <w:bookmarkEnd w:id="1"/>
    </w:p>
    <w:p w:rsidR="00E752BB" w:rsidRPr="00D65031" w:rsidRDefault="00D65031" w:rsidP="00FF0B61">
      <w:pPr>
        <w:spacing w:after="0" w:line="240" w:lineRule="auto"/>
        <w:rPr>
          <w:b/>
        </w:rPr>
      </w:pPr>
      <w:r>
        <w:rPr>
          <w:b/>
        </w:rPr>
        <w:t>[1] DEBT:</w:t>
      </w:r>
      <w:r w:rsidR="008B4BA8">
        <w:t xml:space="preserve"> C</w:t>
      </w:r>
      <w:r w:rsidR="002F4D76" w:rsidRPr="002F4D76">
        <w:t>ommercial paper</w:t>
      </w:r>
      <w:r w:rsidR="00FA434B">
        <w:t xml:space="preserve"> (short term)</w:t>
      </w:r>
      <w:r w:rsidR="002F4D76" w:rsidRPr="002F4D76">
        <w:t>, bonds and debentures</w:t>
      </w:r>
    </w:p>
    <w:p w:rsidR="00E752BB" w:rsidRPr="00E752BB" w:rsidRDefault="00E752BB" w:rsidP="00FF0B61">
      <w:pPr>
        <w:pStyle w:val="ListParagraph"/>
        <w:numPr>
          <w:ilvl w:val="0"/>
          <w:numId w:val="9"/>
        </w:numPr>
        <w:spacing w:after="0"/>
      </w:pPr>
      <w:r w:rsidRPr="005D3DD9">
        <w:rPr>
          <w:b/>
          <w:i/>
        </w:rPr>
        <w:t>Commercial Paper:</w:t>
      </w:r>
      <w:r>
        <w:t xml:space="preserve"> </w:t>
      </w:r>
      <w:r w:rsidRPr="00E752BB">
        <w:t>IOU, investor buys, agreed on maturity date to pay back with interest, no interest along the way, and is unsecured, and is usually short term (</w:t>
      </w:r>
      <w:r>
        <w:t>&lt;</w:t>
      </w:r>
      <w:r w:rsidRPr="00E752BB">
        <w:t xml:space="preserve">270 days) </w:t>
      </w:r>
    </w:p>
    <w:p w:rsidR="00E752BB" w:rsidRPr="007449FD" w:rsidRDefault="007449FD" w:rsidP="00FF0B61">
      <w:pPr>
        <w:pStyle w:val="ListParagraph"/>
        <w:numPr>
          <w:ilvl w:val="0"/>
          <w:numId w:val="9"/>
        </w:numPr>
        <w:spacing w:after="0"/>
      </w:pPr>
      <w:r>
        <w:rPr>
          <w:b/>
          <w:i/>
        </w:rPr>
        <w:t>Bond</w:t>
      </w:r>
      <w:r w:rsidR="004736AA">
        <w:rPr>
          <w:b/>
          <w:i/>
        </w:rPr>
        <w:t>/Debenture</w:t>
      </w:r>
      <w:r>
        <w:rPr>
          <w:b/>
          <w:i/>
        </w:rPr>
        <w:t xml:space="preserve">: </w:t>
      </w:r>
      <w:r w:rsidR="00BE58A0" w:rsidRPr="001564DA">
        <w:rPr>
          <w:rFonts w:ascii="Calibri" w:eastAsia="Times New Roman" w:hAnsi="Calibri" w:cs="Times New Roman"/>
          <w:color w:val="000000"/>
          <w:lang w:eastAsia="en-CA"/>
        </w:rPr>
        <w:t xml:space="preserve">Secured against some asset, company would need to talk to a credit rating agency since they are long term commitments, get fixed income along the way, good way of raising </w:t>
      </w:r>
      <w:r w:rsidR="00C65A17">
        <w:rPr>
          <w:rFonts w:ascii="Calibri" w:eastAsia="Times New Roman" w:hAnsi="Calibri" w:cs="Times New Roman"/>
          <w:color w:val="000000"/>
          <w:lang w:eastAsia="en-CA"/>
        </w:rPr>
        <w:t xml:space="preserve">steady low-risk </w:t>
      </w:r>
      <w:r w:rsidR="00BE58A0" w:rsidRPr="001564DA">
        <w:rPr>
          <w:rFonts w:ascii="Calibri" w:eastAsia="Times New Roman" w:hAnsi="Calibri" w:cs="Times New Roman"/>
          <w:color w:val="000000"/>
          <w:lang w:eastAsia="en-CA"/>
        </w:rPr>
        <w:t>money</w:t>
      </w:r>
      <w:r w:rsidR="004736AA">
        <w:rPr>
          <w:rFonts w:ascii="Calibri" w:eastAsia="Times New Roman" w:hAnsi="Calibri" w:cs="Times New Roman"/>
          <w:color w:val="000000"/>
          <w:lang w:eastAsia="en-CA"/>
        </w:rPr>
        <w:t>. But won’t get a large return</w:t>
      </w:r>
      <w:r w:rsidR="000114B2">
        <w:rPr>
          <w:rFonts w:ascii="Calibri" w:eastAsia="Times New Roman" w:hAnsi="Calibri" w:cs="Times New Roman"/>
          <w:color w:val="000000"/>
          <w:lang w:eastAsia="en-CA"/>
        </w:rPr>
        <w:t xml:space="preserve">. </w:t>
      </w:r>
      <w:r w:rsidR="00040525">
        <w:rPr>
          <w:rFonts w:ascii="Calibri" w:eastAsia="Times New Roman" w:hAnsi="Calibri" w:cs="Times New Roman"/>
          <w:color w:val="000000"/>
          <w:lang w:eastAsia="en-CA"/>
        </w:rPr>
        <w:t xml:space="preserve">Priority in event of bankruptcy. </w:t>
      </w:r>
    </w:p>
    <w:p w:rsidR="00212F88" w:rsidRPr="00212F88" w:rsidRDefault="00EE5DB8" w:rsidP="00FF0B61">
      <w:pPr>
        <w:spacing w:after="0" w:line="240" w:lineRule="auto"/>
      </w:pPr>
      <w:r>
        <w:rPr>
          <w:b/>
        </w:rPr>
        <w:t xml:space="preserve">[2] EQUITY: </w:t>
      </w:r>
      <w:r w:rsidR="00212F88">
        <w:t xml:space="preserve">Buying a piece of a company. </w:t>
      </w:r>
    </w:p>
    <w:p w:rsidR="007E022F" w:rsidRPr="00B0198D" w:rsidRDefault="007E022F" w:rsidP="00FF0B61">
      <w:pPr>
        <w:pStyle w:val="ListParagraph"/>
        <w:numPr>
          <w:ilvl w:val="0"/>
          <w:numId w:val="9"/>
        </w:numPr>
        <w:spacing w:after="0"/>
        <w:rPr>
          <w:b/>
        </w:rPr>
      </w:pPr>
      <w:r w:rsidRPr="009A2850">
        <w:rPr>
          <w:b/>
        </w:rPr>
        <w:t>Share:</w:t>
      </w:r>
      <w:r w:rsidR="00212F88" w:rsidRPr="009A2850">
        <w:rPr>
          <w:b/>
        </w:rPr>
        <w:t xml:space="preserve"> </w:t>
      </w:r>
      <w:r w:rsidR="009A2850">
        <w:t xml:space="preserve">Share pro-rata in any future profits and rights to some proceeds of sales of assets if the company dissolves. </w:t>
      </w:r>
    </w:p>
    <w:p w:rsidR="00B0198D" w:rsidRPr="00B0198D" w:rsidRDefault="00B0198D" w:rsidP="00FF0B61">
      <w:pPr>
        <w:pStyle w:val="ListParagraph"/>
        <w:numPr>
          <w:ilvl w:val="1"/>
          <w:numId w:val="9"/>
        </w:numPr>
        <w:spacing w:after="0"/>
        <w:rPr>
          <w:b/>
        </w:rPr>
      </w:pPr>
      <w:r>
        <w:rPr>
          <w:u w:val="single"/>
        </w:rPr>
        <w:t>Common Share:</w:t>
      </w:r>
      <w:r>
        <w:t xml:space="preserve"> Get to vote</w:t>
      </w:r>
      <w:r w:rsidR="002B2CDA">
        <w:t xml:space="preserve">, right to dividends, and liquidation rights. </w:t>
      </w:r>
    </w:p>
    <w:p w:rsidR="00B0198D" w:rsidRPr="00B0198D" w:rsidRDefault="00B0198D" w:rsidP="00FF0B61">
      <w:pPr>
        <w:pStyle w:val="ListParagraph"/>
        <w:numPr>
          <w:ilvl w:val="1"/>
          <w:numId w:val="9"/>
        </w:numPr>
        <w:spacing w:after="0"/>
        <w:rPr>
          <w:b/>
        </w:rPr>
      </w:pPr>
      <w:r>
        <w:rPr>
          <w:u w:val="single"/>
        </w:rPr>
        <w:t>Preferred:</w:t>
      </w:r>
      <w:r>
        <w:t xml:space="preserve"> Usually for money partner i.e. venture c</w:t>
      </w:r>
      <w:r w:rsidR="000E7FDF">
        <w:t xml:space="preserve">apitalist // May get better dividend or asset rights than common shares. </w:t>
      </w:r>
    </w:p>
    <w:p w:rsidR="00B0198D" w:rsidRPr="00526AB1" w:rsidRDefault="00B0198D" w:rsidP="00FF0B61">
      <w:pPr>
        <w:pStyle w:val="ListParagraph"/>
        <w:numPr>
          <w:ilvl w:val="1"/>
          <w:numId w:val="9"/>
        </w:numPr>
        <w:spacing w:after="0"/>
        <w:rPr>
          <w:b/>
        </w:rPr>
      </w:pPr>
      <w:r>
        <w:rPr>
          <w:u w:val="single"/>
        </w:rPr>
        <w:t>Restricted:</w:t>
      </w:r>
      <w:r w:rsidR="002B2CDA">
        <w:t xml:space="preserve"> Cannot vote and restrictions on dividend rights. </w:t>
      </w:r>
    </w:p>
    <w:p w:rsidR="003F56F0" w:rsidRPr="003F56F0" w:rsidRDefault="0053516C" w:rsidP="00FF0B61">
      <w:pPr>
        <w:pStyle w:val="ListParagraph"/>
        <w:numPr>
          <w:ilvl w:val="0"/>
          <w:numId w:val="9"/>
        </w:numPr>
        <w:spacing w:after="0"/>
        <w:rPr>
          <w:b/>
        </w:rPr>
      </w:pPr>
      <w:r>
        <w:rPr>
          <w:b/>
        </w:rPr>
        <w:t>Rights of Offering:</w:t>
      </w:r>
      <w:r w:rsidR="00526AB1">
        <w:rPr>
          <w:b/>
        </w:rPr>
        <w:t xml:space="preserve"> </w:t>
      </w:r>
      <w:r w:rsidR="00D06430">
        <w:t xml:space="preserve">A right allows </w:t>
      </w:r>
      <w:r w:rsidR="003545E6">
        <w:t>existing SH’s to buy more shares.</w:t>
      </w:r>
    </w:p>
    <w:p w:rsidR="003F56F0" w:rsidRPr="005F48B2" w:rsidRDefault="003F56F0" w:rsidP="00FF0B61">
      <w:pPr>
        <w:pStyle w:val="ListParagraph"/>
        <w:numPr>
          <w:ilvl w:val="1"/>
          <w:numId w:val="9"/>
        </w:numPr>
        <w:spacing w:after="0"/>
        <w:rPr>
          <w:b/>
        </w:rPr>
      </w:pPr>
      <w:r w:rsidRPr="003F56F0">
        <w:rPr>
          <w:rFonts w:ascii="Calibri" w:eastAsia="Times New Roman" w:hAnsi="Calibri" w:cs="Times New Roman"/>
          <w:color w:val="000000"/>
          <w:lang w:eastAsia="en-CA"/>
        </w:rPr>
        <w:t>Holders of a specified number of rights will have the right to buy a share in the company for a predetermined price within a certain period of time</w:t>
      </w:r>
      <w:r w:rsidR="005F48B2">
        <w:rPr>
          <w:rFonts w:ascii="Calibri" w:eastAsia="Times New Roman" w:hAnsi="Calibri" w:cs="Times New Roman"/>
          <w:color w:val="000000"/>
          <w:lang w:eastAsia="en-CA"/>
        </w:rPr>
        <w:t xml:space="preserve"> </w:t>
      </w:r>
      <w:r w:rsidR="005F48B2">
        <w:rPr>
          <w:rFonts w:ascii="Calibri" w:eastAsia="Times New Roman" w:hAnsi="Calibri" w:cs="Times New Roman"/>
          <w:b/>
          <w:color w:val="000000"/>
          <w:lang w:eastAsia="en-CA"/>
        </w:rPr>
        <w:t xml:space="preserve">// </w:t>
      </w:r>
      <w:r w:rsidRPr="005F48B2">
        <w:rPr>
          <w:rFonts w:ascii="Calibri" w:eastAsia="Times New Roman" w:hAnsi="Calibri" w:cs="Times New Roman"/>
          <w:color w:val="000000"/>
          <w:lang w:eastAsia="en-CA"/>
        </w:rPr>
        <w:t xml:space="preserve">Rights to buy shares are normally tradable </w:t>
      </w:r>
    </w:p>
    <w:p w:rsidR="00BF1828" w:rsidRPr="00BF1828" w:rsidRDefault="00BF1828" w:rsidP="00FF0B61">
      <w:pPr>
        <w:pStyle w:val="ListParagraph"/>
        <w:spacing w:after="0"/>
        <w:ind w:left="1440"/>
        <w:rPr>
          <w:b/>
        </w:rPr>
      </w:pPr>
    </w:p>
    <w:p w:rsidR="005C2F1E" w:rsidRPr="00A7543D" w:rsidRDefault="00041A1D" w:rsidP="00FF0B61">
      <w:pPr>
        <w:spacing w:after="0" w:line="240" w:lineRule="auto"/>
      </w:pPr>
      <w:r>
        <w:rPr>
          <w:b/>
        </w:rPr>
        <w:t xml:space="preserve">[3] DERIVATIVE SECURITIES: </w:t>
      </w:r>
      <w:r>
        <w:t>Can be equity, debt or mixed. Key their value off some reference share (some underlying th</w:t>
      </w:r>
      <w:r w:rsidR="00A7543D">
        <w:t>ing)(</w:t>
      </w:r>
      <w:r w:rsidRPr="00A7543D">
        <w:rPr>
          <w:b/>
        </w:rPr>
        <w:t>Swaps</w:t>
      </w:r>
      <w:r w:rsidR="00174064" w:rsidRPr="00A7543D">
        <w:rPr>
          <w:b/>
        </w:rPr>
        <w:t xml:space="preserve"> + </w:t>
      </w:r>
      <w:r w:rsidRPr="00A7543D">
        <w:rPr>
          <w:b/>
        </w:rPr>
        <w:t>Options</w:t>
      </w:r>
      <w:r w:rsidR="00A7543D">
        <w:rPr>
          <w:b/>
        </w:rPr>
        <w:t>)</w:t>
      </w:r>
    </w:p>
    <w:p w:rsidR="00F043E8" w:rsidRDefault="00BD688C" w:rsidP="00FF0B61">
      <w:pPr>
        <w:spacing w:after="0" w:line="240" w:lineRule="auto"/>
      </w:pPr>
      <w:r>
        <w:rPr>
          <w:b/>
        </w:rPr>
        <w:t>[4] SECURITIZED PRODUCTS</w:t>
      </w:r>
      <w:r w:rsidR="005C2F1E">
        <w:rPr>
          <w:b/>
        </w:rPr>
        <w:t xml:space="preserve">: </w:t>
      </w:r>
      <w:r w:rsidR="005C2F1E">
        <w:t xml:space="preserve">Bundle of debt that gets bundled together and sold again. </w:t>
      </w:r>
    </w:p>
    <w:p w:rsidR="00CF1C99" w:rsidRDefault="00CF1C99" w:rsidP="00FF0B61">
      <w:pPr>
        <w:spacing w:after="0" w:line="240" w:lineRule="auto"/>
      </w:pPr>
    </w:p>
    <w:p w:rsidR="00CF1C99" w:rsidRDefault="00CF1C99" w:rsidP="00FF0B61">
      <w:pPr>
        <w:pStyle w:val="Heading2"/>
        <w:spacing w:line="240" w:lineRule="auto"/>
      </w:pPr>
      <w:bookmarkStart w:id="2" w:name="_Toc468980388"/>
      <w:r>
        <w:t>INVESTORS</w:t>
      </w:r>
      <w:bookmarkEnd w:id="2"/>
    </w:p>
    <w:p w:rsidR="00CF1C99" w:rsidRDefault="00CF1C99" w:rsidP="00FF0B61">
      <w:pPr>
        <w:spacing w:after="0" w:line="240" w:lineRule="auto"/>
      </w:pPr>
      <w:r w:rsidRPr="00CF1C99">
        <w:rPr>
          <w:b/>
        </w:rPr>
        <w:t>[1] RETAIL</w:t>
      </w:r>
      <w:r w:rsidR="00702EED">
        <w:t xml:space="preserve">: Everyday people </w:t>
      </w:r>
      <w:r w:rsidR="00702EED" w:rsidRPr="00B909AE">
        <w:rPr>
          <w:b/>
        </w:rPr>
        <w:t xml:space="preserve">// </w:t>
      </w:r>
      <w:r w:rsidRPr="00CF1C99">
        <w:rPr>
          <w:b/>
        </w:rPr>
        <w:t>[2] INSTITUTIONAL:</w:t>
      </w:r>
      <w:r>
        <w:t xml:space="preserve"> Sophisticated investors with a large staff. </w:t>
      </w:r>
    </w:p>
    <w:p w:rsidR="00702EED" w:rsidRDefault="00702EED" w:rsidP="00FF0B61">
      <w:pPr>
        <w:spacing w:after="0" w:line="240" w:lineRule="auto"/>
      </w:pPr>
    </w:p>
    <w:p w:rsidR="008A0D5C" w:rsidRDefault="008A0D5C" w:rsidP="00FF0B61">
      <w:pPr>
        <w:pStyle w:val="Heading2"/>
        <w:spacing w:line="240" w:lineRule="auto"/>
      </w:pPr>
      <w:bookmarkStart w:id="3" w:name="_Toc468980389"/>
      <w:r>
        <w:t>“Issuer” vs “Reporting Issuer”</w:t>
      </w:r>
      <w:bookmarkEnd w:id="3"/>
    </w:p>
    <w:p w:rsidR="008A0D5C" w:rsidRPr="00C93667" w:rsidRDefault="008A0D5C" w:rsidP="00FF0B61">
      <w:pPr>
        <w:spacing w:line="240" w:lineRule="auto"/>
      </w:pPr>
      <w:r>
        <w:rPr>
          <w:b/>
        </w:rPr>
        <w:t>“Issuer</w:t>
      </w:r>
      <w:r w:rsidRPr="00533B98">
        <w:rPr>
          <w:b/>
          <w:lang w:val="en-CA" w:eastAsia="en-CA"/>
        </w:rPr>
        <w:t xml:space="preserve">” </w:t>
      </w:r>
      <w:r w:rsidRPr="00533B98">
        <w:rPr>
          <w:b/>
          <w:color w:val="C45911" w:themeColor="accent2" w:themeShade="BF"/>
          <w:lang w:val="en-CA" w:eastAsia="en-CA"/>
        </w:rPr>
        <w:t>(BCSA</w:t>
      </w:r>
      <w:r>
        <w:rPr>
          <w:b/>
          <w:color w:val="C45911" w:themeColor="accent2" w:themeShade="BF"/>
          <w:lang w:val="en-CA" w:eastAsia="en-CA"/>
        </w:rPr>
        <w:t xml:space="preserve"> 1(1)</w:t>
      </w:r>
      <w:r>
        <w:rPr>
          <w:b/>
          <w:lang w:val="en-CA" w:eastAsia="en-CA"/>
        </w:rPr>
        <w:t xml:space="preserve">): </w:t>
      </w:r>
      <w:r>
        <w:rPr>
          <w:lang w:val="en-CA" w:eastAsia="en-CA"/>
        </w:rPr>
        <w:t xml:space="preserve">Means a person who </w:t>
      </w:r>
      <w:r>
        <w:rPr>
          <w:b/>
          <w:lang w:val="en-CA" w:eastAsia="en-CA"/>
        </w:rPr>
        <w:t xml:space="preserve">(a) </w:t>
      </w:r>
      <w:r>
        <w:rPr>
          <w:lang w:val="en-CA" w:eastAsia="en-CA"/>
        </w:rPr>
        <w:t xml:space="preserve">has a </w:t>
      </w:r>
      <w:r w:rsidRPr="00C07DD5">
        <w:rPr>
          <w:u w:val="single"/>
          <w:lang w:val="en-CA" w:eastAsia="en-CA"/>
        </w:rPr>
        <w:t xml:space="preserve">security </w:t>
      </w:r>
      <w:r>
        <w:rPr>
          <w:lang w:val="en-CA" w:eastAsia="en-CA"/>
        </w:rPr>
        <w:t xml:space="preserve">outstanding, </w:t>
      </w:r>
      <w:r>
        <w:rPr>
          <w:b/>
          <w:lang w:val="en-CA" w:eastAsia="en-CA"/>
        </w:rPr>
        <w:t xml:space="preserve">(b) </w:t>
      </w:r>
      <w:r>
        <w:rPr>
          <w:lang w:val="en-CA" w:eastAsia="en-CA"/>
        </w:rPr>
        <w:t xml:space="preserve">is issuing a security, or </w:t>
      </w:r>
      <w:r>
        <w:rPr>
          <w:b/>
          <w:lang w:val="en-CA" w:eastAsia="en-CA"/>
        </w:rPr>
        <w:t xml:space="preserve">(b) </w:t>
      </w:r>
      <w:r>
        <w:rPr>
          <w:lang w:val="en-CA" w:eastAsia="en-CA"/>
        </w:rPr>
        <w:t xml:space="preserve">Proposes to issue a security. </w:t>
      </w:r>
    </w:p>
    <w:p w:rsidR="00C07DD5" w:rsidRDefault="008A0D5C" w:rsidP="00FF0B61">
      <w:pPr>
        <w:spacing w:after="0" w:line="240" w:lineRule="auto"/>
        <w:rPr>
          <w:lang w:val="en-CA" w:eastAsia="en-CA"/>
        </w:rPr>
      </w:pPr>
      <w:r w:rsidRPr="00533B98">
        <w:rPr>
          <w:b/>
          <w:lang w:val="en-CA" w:eastAsia="en-CA"/>
        </w:rPr>
        <w:t>“</w:t>
      </w:r>
      <w:r>
        <w:rPr>
          <w:b/>
          <w:lang w:val="en-CA" w:eastAsia="en-CA"/>
        </w:rPr>
        <w:t>R</w:t>
      </w:r>
      <w:r w:rsidRPr="00533B98">
        <w:rPr>
          <w:b/>
          <w:lang w:val="en-CA" w:eastAsia="en-CA"/>
        </w:rPr>
        <w:t xml:space="preserve">eporting issuer” </w:t>
      </w:r>
      <w:r w:rsidRPr="00533B98">
        <w:rPr>
          <w:b/>
          <w:color w:val="C45911" w:themeColor="accent2" w:themeShade="BF"/>
          <w:lang w:val="en-CA" w:eastAsia="en-CA"/>
        </w:rPr>
        <w:t>(BCSA</w:t>
      </w:r>
      <w:r>
        <w:rPr>
          <w:b/>
          <w:color w:val="C45911" w:themeColor="accent2" w:themeShade="BF"/>
          <w:lang w:val="en-CA" w:eastAsia="en-CA"/>
        </w:rPr>
        <w:t xml:space="preserve"> 1(1)</w:t>
      </w:r>
      <w:r>
        <w:rPr>
          <w:b/>
          <w:lang w:val="en-CA" w:eastAsia="en-CA"/>
        </w:rPr>
        <w:t xml:space="preserve">): </w:t>
      </w:r>
      <w:r>
        <w:rPr>
          <w:lang w:val="en-CA" w:eastAsia="en-CA"/>
        </w:rPr>
        <w:t>Means an issuer that:</w:t>
      </w:r>
      <w:r w:rsidR="00F20C80">
        <w:rPr>
          <w:lang w:val="en-CA" w:eastAsia="en-CA"/>
        </w:rPr>
        <w:t xml:space="preserve"> </w:t>
      </w:r>
    </w:p>
    <w:p w:rsidR="008A0D5C" w:rsidRPr="00C07DD5" w:rsidRDefault="00C07DD5" w:rsidP="00FF0B61">
      <w:pPr>
        <w:pStyle w:val="ListParagraph"/>
        <w:numPr>
          <w:ilvl w:val="0"/>
          <w:numId w:val="172"/>
        </w:numPr>
        <w:spacing w:after="0"/>
        <w:rPr>
          <w:lang w:val="en-CA" w:eastAsia="en-CA"/>
        </w:rPr>
      </w:pPr>
      <w:r>
        <w:rPr>
          <w:b/>
          <w:lang w:val="en-CA" w:eastAsia="en-CA"/>
        </w:rPr>
        <w:t xml:space="preserve">(a) </w:t>
      </w:r>
      <w:r w:rsidR="008A0D5C" w:rsidRPr="00C07DD5">
        <w:rPr>
          <w:lang w:val="en-CA" w:eastAsia="en-CA"/>
        </w:rPr>
        <w:t xml:space="preserve">has issued securities in respect of which </w:t>
      </w:r>
      <w:r w:rsidR="008A0D5C" w:rsidRPr="00C07DD5">
        <w:rPr>
          <w:b/>
          <w:lang w:val="en-CA" w:eastAsia="en-CA"/>
        </w:rPr>
        <w:t>(i) a prospectus was filed and a receipt was issued</w:t>
      </w:r>
      <w:r w:rsidR="008A0D5C" w:rsidRPr="00C07DD5">
        <w:rPr>
          <w:lang w:val="en-CA" w:eastAsia="en-CA"/>
        </w:rPr>
        <w:t xml:space="preserve">; </w:t>
      </w:r>
      <w:r w:rsidR="008A0D5C" w:rsidRPr="00C07DD5">
        <w:rPr>
          <w:b/>
          <w:lang w:val="en-CA" w:eastAsia="en-CA"/>
        </w:rPr>
        <w:t xml:space="preserve">(ii) </w:t>
      </w:r>
      <w:r w:rsidR="008A0D5C" w:rsidRPr="00C07DD5">
        <w:rPr>
          <w:lang w:val="en-CA" w:eastAsia="en-CA"/>
        </w:rPr>
        <w:t xml:space="preserve">statement of material facts was filed and accepted; or </w:t>
      </w:r>
      <w:r w:rsidR="008A0D5C" w:rsidRPr="00C07DD5">
        <w:rPr>
          <w:b/>
          <w:lang w:val="en-CA" w:eastAsia="en-CA"/>
        </w:rPr>
        <w:t xml:space="preserve">(iii) </w:t>
      </w:r>
      <w:r w:rsidR="008A0D5C" w:rsidRPr="00C07DD5">
        <w:rPr>
          <w:lang w:val="en-CA" w:eastAsia="en-CA"/>
        </w:rPr>
        <w:t xml:space="preserve">a securities exchange take over bid circular was filed … </w:t>
      </w:r>
    </w:p>
    <w:p w:rsidR="008A0D5C" w:rsidRPr="00F773A8" w:rsidRDefault="008A0D5C" w:rsidP="00FF0B61">
      <w:pPr>
        <w:pStyle w:val="ListParagraph"/>
        <w:numPr>
          <w:ilvl w:val="0"/>
          <w:numId w:val="35"/>
        </w:numPr>
        <w:rPr>
          <w:b/>
          <w:lang w:val="en-CA" w:eastAsia="en-CA"/>
        </w:rPr>
      </w:pPr>
      <w:r w:rsidRPr="00E576BD">
        <w:rPr>
          <w:b/>
          <w:lang w:val="en-CA" w:eastAsia="en-CA"/>
        </w:rPr>
        <w:t>(b)</w:t>
      </w:r>
      <w:r w:rsidRPr="000F3505">
        <w:t xml:space="preserve"> </w:t>
      </w:r>
      <w:r w:rsidRPr="00E2562A">
        <w:rPr>
          <w:b/>
          <w:lang w:val="en-CA" w:eastAsia="en-CA"/>
        </w:rPr>
        <w:t>has filed a prospectus or statement of material facts</w:t>
      </w:r>
      <w:r>
        <w:rPr>
          <w:lang w:val="en-CA" w:eastAsia="en-CA"/>
        </w:rPr>
        <w:t xml:space="preserve"> and the </w:t>
      </w:r>
      <w:r w:rsidRPr="00E2562A">
        <w:rPr>
          <w:b/>
          <w:lang w:val="en-CA" w:eastAsia="en-CA"/>
        </w:rPr>
        <w:t xml:space="preserve">Exe DIR has issued a </w:t>
      </w:r>
      <w:r w:rsidRPr="00BE4C18">
        <w:rPr>
          <w:b/>
          <w:u w:val="single"/>
          <w:lang w:val="en-CA" w:eastAsia="en-CA"/>
        </w:rPr>
        <w:t>receipt for it</w:t>
      </w:r>
      <w:r w:rsidRPr="000F3505">
        <w:rPr>
          <w:lang w:val="en-CA" w:eastAsia="en-CA"/>
        </w:rPr>
        <w:t xml:space="preserve"> under this Ac</w:t>
      </w:r>
      <w:r>
        <w:rPr>
          <w:lang w:val="en-CA" w:eastAsia="en-CA"/>
        </w:rPr>
        <w:t xml:space="preserve">t </w:t>
      </w:r>
      <w:r w:rsidRPr="004F7ED8">
        <w:rPr>
          <w:color w:val="000000"/>
          <w:shd w:val="clear" w:color="auto" w:fill="FFFFFF"/>
        </w:rPr>
        <w:t>(</w:t>
      </w:r>
      <w:r>
        <w:rPr>
          <w:color w:val="000000"/>
          <w:shd w:val="clear" w:color="auto" w:fill="FFFFFF"/>
        </w:rPr>
        <w:t>see</w:t>
      </w:r>
      <w:r w:rsidRPr="004F7ED8">
        <w:rPr>
          <w:color w:val="000000"/>
          <w:shd w:val="clear" w:color="auto" w:fill="FFFFFF"/>
        </w:rPr>
        <w:t xml:space="preserve">: (c)-(f)). </w:t>
      </w:r>
    </w:p>
    <w:p w:rsidR="00F773A8" w:rsidRPr="00C97EFC" w:rsidRDefault="00F773A8" w:rsidP="00FF0B61">
      <w:pPr>
        <w:pStyle w:val="ListParagraph"/>
        <w:spacing w:after="0"/>
        <w:rPr>
          <w:b/>
          <w:lang w:val="en-CA" w:eastAsia="en-CA"/>
        </w:rPr>
      </w:pPr>
    </w:p>
    <w:p w:rsidR="00396C55" w:rsidRDefault="009F6DF3" w:rsidP="00FF0B61">
      <w:pPr>
        <w:pStyle w:val="Heading1"/>
        <w:spacing w:after="0"/>
      </w:pPr>
      <w:bookmarkStart w:id="4" w:name="_Toc468980390"/>
      <w:r>
        <w:t>Scope</w:t>
      </w:r>
      <w:bookmarkEnd w:id="4"/>
    </w:p>
    <w:p w:rsidR="002E3C7F" w:rsidRDefault="00E433DD" w:rsidP="00FF0B61">
      <w:pPr>
        <w:spacing w:after="0" w:line="240" w:lineRule="auto"/>
      </w:pPr>
      <w:r>
        <w:rPr>
          <w:b/>
        </w:rPr>
        <w:t xml:space="preserve">OBSERVATIONS THAT GUIDE INTERPRETATION: 1) </w:t>
      </w:r>
      <w:r>
        <w:t>Securities reg</w:t>
      </w:r>
      <w:r w:rsidR="000C41D6">
        <w:t>ulation</w:t>
      </w:r>
      <w:r>
        <w:t xml:space="preserve"> is protective, not punitive; </w:t>
      </w:r>
      <w:r>
        <w:rPr>
          <w:b/>
        </w:rPr>
        <w:t xml:space="preserve">2) </w:t>
      </w:r>
      <w:r w:rsidR="00A34215">
        <w:t xml:space="preserve">Courts choose substance over form </w:t>
      </w:r>
      <w:r w:rsidR="004F2BDD">
        <w:t>in interpreting the definition (i.e. they focus on the general economic effects of the whole transaction rather than t</w:t>
      </w:r>
      <w:r w:rsidR="00702EED">
        <w:t>he specific technical details).</w:t>
      </w:r>
      <w:r w:rsidR="00C20380">
        <w:t xml:space="preserve"> </w:t>
      </w:r>
    </w:p>
    <w:p w:rsidR="009C462A" w:rsidRDefault="009C462A" w:rsidP="00FF0B61">
      <w:pPr>
        <w:spacing w:after="0" w:line="240" w:lineRule="auto"/>
        <w:rPr>
          <w:b/>
        </w:rPr>
      </w:pPr>
    </w:p>
    <w:p w:rsidR="009F6DF3" w:rsidRDefault="00E02E6E" w:rsidP="00FF0B61">
      <w:pPr>
        <w:pStyle w:val="Heading2"/>
        <w:spacing w:line="240" w:lineRule="auto"/>
      </w:pPr>
      <w:bookmarkStart w:id="5" w:name="_Toc468980391"/>
      <w:r>
        <w:t xml:space="preserve">DEFINITION: </w:t>
      </w:r>
      <w:r w:rsidR="009F6DF3">
        <w:t>“Security”</w:t>
      </w:r>
      <w:bookmarkEnd w:id="5"/>
      <w:r w:rsidR="007849AF">
        <w:t xml:space="preserve"> </w:t>
      </w:r>
    </w:p>
    <w:p w:rsidR="00F37CC7" w:rsidRDefault="004151DD" w:rsidP="00FF0B61">
      <w:pPr>
        <w:spacing w:after="0" w:line="240" w:lineRule="auto"/>
      </w:pPr>
      <w:r w:rsidRPr="004151DD">
        <w:rPr>
          <w:b/>
          <w:color w:val="C45911" w:themeColor="accent2" w:themeShade="BF"/>
        </w:rPr>
        <w:t>BCSA 61</w:t>
      </w:r>
      <w:r>
        <w:rPr>
          <w:b/>
        </w:rPr>
        <w:t xml:space="preserve">: </w:t>
      </w:r>
      <w:r>
        <w:t xml:space="preserve">One may not </w:t>
      </w:r>
      <w:r w:rsidRPr="001659EE">
        <w:rPr>
          <w:b/>
          <w:i/>
          <w:u w:val="single"/>
        </w:rPr>
        <w:t>distribute securities</w:t>
      </w:r>
      <w:r>
        <w:rPr>
          <w:i/>
        </w:rPr>
        <w:t xml:space="preserve"> </w:t>
      </w:r>
      <w:r w:rsidR="0010091A">
        <w:t xml:space="preserve">w/o having filed a prospectus </w:t>
      </w:r>
      <w:r w:rsidR="0010091A" w:rsidRPr="0010091A">
        <w:rPr>
          <w:b/>
        </w:rPr>
        <w:sym w:font="Wingdings" w:char="F0E0"/>
      </w:r>
      <w:r w:rsidR="0010091A">
        <w:rPr>
          <w:b/>
        </w:rPr>
        <w:t xml:space="preserve"> </w:t>
      </w:r>
      <w:r w:rsidR="0010091A">
        <w:t>unless potentially exempt</w:t>
      </w:r>
      <w:r>
        <w:t xml:space="preserve">. </w:t>
      </w:r>
    </w:p>
    <w:p w:rsidR="00806A23" w:rsidRDefault="00806A23" w:rsidP="00FF0B61">
      <w:pPr>
        <w:pStyle w:val="ListParagraph"/>
        <w:numPr>
          <w:ilvl w:val="0"/>
          <w:numId w:val="35"/>
        </w:numPr>
      </w:pPr>
      <w:r>
        <w:rPr>
          <w:b/>
        </w:rPr>
        <w:t xml:space="preserve">SECURITY: </w:t>
      </w:r>
      <w:r>
        <w:t xml:space="preserve">Instrument issued to raise funds to capitalize an entity as a result, generate profits. </w:t>
      </w:r>
    </w:p>
    <w:p w:rsidR="002E396E" w:rsidRPr="004151DD" w:rsidRDefault="002E396E" w:rsidP="00FF0B61">
      <w:pPr>
        <w:pStyle w:val="ListParagraph"/>
        <w:numPr>
          <w:ilvl w:val="0"/>
          <w:numId w:val="35"/>
        </w:numPr>
      </w:pPr>
      <w:r w:rsidRPr="002E396E">
        <w:rPr>
          <w:b/>
          <w:i/>
          <w:color w:val="1006E0"/>
        </w:rPr>
        <w:t>Pacific</w:t>
      </w:r>
      <w:r w:rsidRPr="002E396E">
        <w:t xml:space="preserve"> emphasizes that the legislated definition is not exhaustive and the categories are not exclusive</w:t>
      </w:r>
    </w:p>
    <w:p w:rsidR="00D747E3" w:rsidRPr="008F7BC7" w:rsidRDefault="00F37CC7" w:rsidP="00FF0B61">
      <w:pPr>
        <w:spacing w:after="0" w:line="240" w:lineRule="auto"/>
        <w:rPr>
          <w:b/>
        </w:rPr>
      </w:pPr>
      <w:r w:rsidRPr="008F7BC7">
        <w:rPr>
          <w:b/>
        </w:rPr>
        <w:t>[1] A</w:t>
      </w:r>
      <w:r w:rsidR="00267552">
        <w:rPr>
          <w:b/>
        </w:rPr>
        <w:t>ny</w:t>
      </w:r>
      <w:r w:rsidRPr="008F7BC7">
        <w:rPr>
          <w:b/>
        </w:rPr>
        <w:t xml:space="preserve"> document, instrument, or writing </w:t>
      </w:r>
      <w:r w:rsidRPr="008F7BC7">
        <w:rPr>
          <w:b/>
          <w:u w:val="single"/>
        </w:rPr>
        <w:t xml:space="preserve">commonly known </w:t>
      </w:r>
      <w:r w:rsidRPr="008F7BC7">
        <w:rPr>
          <w:b/>
        </w:rPr>
        <w:t xml:space="preserve">as a security </w:t>
      </w:r>
      <w:r w:rsidRPr="00FB5CDC">
        <w:rPr>
          <w:b/>
          <w:color w:val="C45911" w:themeColor="accent2" w:themeShade="BF"/>
        </w:rPr>
        <w:t>(</w:t>
      </w:r>
      <w:r w:rsidR="00702EED">
        <w:rPr>
          <w:b/>
          <w:color w:val="C45911" w:themeColor="accent2" w:themeShade="BF"/>
        </w:rPr>
        <w:t xml:space="preserve">BCSA </w:t>
      </w:r>
      <w:r w:rsidRPr="00FB5CDC">
        <w:rPr>
          <w:b/>
          <w:color w:val="C45911" w:themeColor="accent2" w:themeShade="BF"/>
        </w:rPr>
        <w:t>s.1</w:t>
      </w:r>
      <w:r w:rsidR="004E060C">
        <w:rPr>
          <w:b/>
          <w:color w:val="C45911" w:themeColor="accent2" w:themeShade="BF"/>
        </w:rPr>
        <w:t>(1</w:t>
      </w:r>
      <w:r w:rsidR="00C65C7F">
        <w:rPr>
          <w:b/>
          <w:color w:val="C45911" w:themeColor="accent2" w:themeShade="BF"/>
        </w:rPr>
        <w:t>)</w:t>
      </w:r>
      <w:r w:rsidR="003879DC">
        <w:rPr>
          <w:b/>
          <w:color w:val="C45911" w:themeColor="accent2" w:themeShade="BF"/>
        </w:rPr>
        <w:t>(a)</w:t>
      </w:r>
      <w:r w:rsidRPr="008F7BC7">
        <w:rPr>
          <w:b/>
        </w:rPr>
        <w:t>)</w:t>
      </w:r>
      <w:r w:rsidR="000351BC" w:rsidRPr="008F7BC7">
        <w:rPr>
          <w:b/>
        </w:rPr>
        <w:t xml:space="preserve"> </w:t>
      </w:r>
    </w:p>
    <w:p w:rsidR="005F36A2" w:rsidRPr="005F36A2" w:rsidRDefault="00101C2C" w:rsidP="00FF0B61">
      <w:pPr>
        <w:pStyle w:val="ListParagraph"/>
        <w:numPr>
          <w:ilvl w:val="0"/>
          <w:numId w:val="10"/>
        </w:numPr>
      </w:pPr>
      <w:r>
        <w:rPr>
          <w:b/>
        </w:rPr>
        <w:t>COMMON KNO</w:t>
      </w:r>
      <w:r w:rsidR="00896761">
        <w:rPr>
          <w:b/>
        </w:rPr>
        <w:t>W</w:t>
      </w:r>
      <w:r>
        <w:rPr>
          <w:b/>
        </w:rPr>
        <w:t xml:space="preserve">LEDGE: </w:t>
      </w:r>
      <w:r w:rsidR="005F36A2" w:rsidRPr="003120AC">
        <w:t xml:space="preserve">Need to determine the common knowledge among </w:t>
      </w:r>
      <w:r w:rsidR="005F36A2" w:rsidRPr="00896761">
        <w:rPr>
          <w:u w:val="single"/>
        </w:rPr>
        <w:t>securities professionals</w:t>
      </w:r>
      <w:r w:rsidR="00976358">
        <w:rPr>
          <w:u w:val="single"/>
        </w:rPr>
        <w:t xml:space="preserve"> (financial and legal community)</w:t>
      </w:r>
      <w:r w:rsidR="005F36A2">
        <w:t>, not lay persons (</w:t>
      </w:r>
      <w:r w:rsidR="002E396E" w:rsidRPr="002E396E">
        <w:rPr>
          <w:b/>
          <w:i/>
          <w:color w:val="1006E0"/>
        </w:rPr>
        <w:t>Gelderman</w:t>
      </w:r>
      <w:r w:rsidR="005F36A2">
        <w:rPr>
          <w:b/>
        </w:rPr>
        <w:t>)</w:t>
      </w:r>
      <w:r w:rsidR="00BC573E">
        <w:t>. It need not be known to the man “in the street”</w:t>
      </w:r>
      <w:r w:rsidR="00E32039">
        <w:t xml:space="preserve"> – just must be knowledge common among members of the community</w:t>
      </w:r>
      <w:r w:rsidR="00C61B27">
        <w:t xml:space="preserve"> (</w:t>
      </w:r>
      <w:r w:rsidR="00C61B27" w:rsidRPr="00544AAB">
        <w:rPr>
          <w:b/>
          <w:i/>
          <w:color w:val="1006E0"/>
        </w:rPr>
        <w:t>SEC v. Glen W Turner Enterprises</w:t>
      </w:r>
      <w:r w:rsidR="00C61B27" w:rsidRPr="003120AC">
        <w:t xml:space="preserve"> (</w:t>
      </w:r>
      <w:r w:rsidR="00C61B27" w:rsidRPr="00EF3EA1">
        <w:rPr>
          <w:i/>
        </w:rPr>
        <w:t>ponzi scheme</w:t>
      </w:r>
      <w:r w:rsidR="00C61B27" w:rsidRPr="003120AC">
        <w:t>)</w:t>
      </w:r>
      <w:r w:rsidR="00C61B27">
        <w:t xml:space="preserve">). </w:t>
      </w:r>
    </w:p>
    <w:p w:rsidR="009F6DF3" w:rsidRDefault="00BC573E" w:rsidP="00FF0B61">
      <w:pPr>
        <w:spacing w:after="0" w:line="240" w:lineRule="auto"/>
        <w:rPr>
          <w:b/>
        </w:rPr>
      </w:pPr>
      <w:r>
        <w:rPr>
          <w:b/>
        </w:rPr>
        <w:t xml:space="preserve">[2] </w:t>
      </w:r>
      <w:r w:rsidR="008C2FA4">
        <w:rPr>
          <w:b/>
        </w:rPr>
        <w:t>A doc</w:t>
      </w:r>
      <w:r w:rsidR="00226FA7" w:rsidRPr="00226FA7">
        <w:rPr>
          <w:b/>
        </w:rPr>
        <w:t xml:space="preserve"> evidencing title to, or an interest in, the capital, assets, </w:t>
      </w:r>
      <w:r w:rsidR="00226FA7" w:rsidRPr="00226FA7">
        <w:rPr>
          <w:b/>
          <w:u w:val="single"/>
        </w:rPr>
        <w:t>property</w:t>
      </w:r>
      <w:r w:rsidR="00226FA7" w:rsidRPr="00226FA7">
        <w:rPr>
          <w:b/>
        </w:rPr>
        <w:t>, profits, earnings or royalties of a person or company</w:t>
      </w:r>
      <w:r w:rsidR="006F47F2">
        <w:rPr>
          <w:b/>
        </w:rPr>
        <w:t xml:space="preserve"> </w:t>
      </w:r>
      <w:r w:rsidR="000B0313">
        <w:rPr>
          <w:b/>
        </w:rPr>
        <w:t>(</w:t>
      </w:r>
      <w:r w:rsidR="004E060C" w:rsidRPr="00FB5CDC">
        <w:rPr>
          <w:b/>
          <w:color w:val="C45911" w:themeColor="accent2" w:themeShade="BF"/>
        </w:rPr>
        <w:t>1</w:t>
      </w:r>
      <w:r w:rsidR="00C65C7F">
        <w:rPr>
          <w:b/>
          <w:color w:val="C45911" w:themeColor="accent2" w:themeShade="BF"/>
        </w:rPr>
        <w:t>(1)</w:t>
      </w:r>
      <w:r w:rsidR="00226FA7" w:rsidRPr="00FB5CDC">
        <w:rPr>
          <w:b/>
          <w:color w:val="C45911" w:themeColor="accent2" w:themeShade="BF"/>
        </w:rPr>
        <w:t>(b)</w:t>
      </w:r>
      <w:r w:rsidR="006F47F2">
        <w:rPr>
          <w:b/>
        </w:rPr>
        <w:t xml:space="preserve">). </w:t>
      </w:r>
    </w:p>
    <w:p w:rsidR="005A6985" w:rsidRPr="00A22BA4" w:rsidRDefault="00DC3FD5" w:rsidP="00FF0B61">
      <w:pPr>
        <w:pStyle w:val="ListParagraph"/>
        <w:numPr>
          <w:ilvl w:val="0"/>
          <w:numId w:val="10"/>
        </w:numPr>
        <w:rPr>
          <w:b/>
        </w:rPr>
      </w:pPr>
      <w:r>
        <w:rPr>
          <w:b/>
        </w:rPr>
        <w:t xml:space="preserve">TEST </w:t>
      </w:r>
      <w:r w:rsidR="00154C6C">
        <w:rPr>
          <w:b/>
        </w:rPr>
        <w:t xml:space="preserve">(look @ the purpose of the transaction) </w:t>
      </w:r>
      <w:r w:rsidRPr="00DC3FD5">
        <w:rPr>
          <w:b/>
        </w:rPr>
        <w:sym w:font="Wingdings" w:char="F0E0"/>
      </w:r>
      <w:r>
        <w:rPr>
          <w:b/>
        </w:rPr>
        <w:t xml:space="preserve"> </w:t>
      </w:r>
      <w:r w:rsidR="00AD7055">
        <w:t>Does a</w:t>
      </w:r>
      <w:r w:rsidR="00486C89">
        <w:t xml:space="preserve"> </w:t>
      </w:r>
      <w:r w:rsidR="00AD7055">
        <w:t>“</w:t>
      </w:r>
      <w:r w:rsidR="00486C89">
        <w:t>document</w:t>
      </w:r>
      <w:r w:rsidR="00AD7055">
        <w:t>”</w:t>
      </w:r>
      <w:r w:rsidR="00486C89">
        <w:t xml:space="preserve"> show </w:t>
      </w:r>
      <w:r w:rsidR="00486C89" w:rsidRPr="00750AC4">
        <w:rPr>
          <w:b/>
          <w:i/>
        </w:rPr>
        <w:t>some form</w:t>
      </w:r>
      <w:r w:rsidR="00536871" w:rsidRPr="00750AC4">
        <w:rPr>
          <w:b/>
          <w:i/>
        </w:rPr>
        <w:t xml:space="preserve"> of</w:t>
      </w:r>
      <w:r w:rsidR="00536871">
        <w:t xml:space="preserve"> </w:t>
      </w:r>
      <w:r w:rsidR="00536871" w:rsidRPr="00750AC4">
        <w:rPr>
          <w:u w:val="single"/>
        </w:rPr>
        <w:t>investment or speculation</w:t>
      </w:r>
      <w:r w:rsidR="00972CEC">
        <w:t xml:space="preserve"> (</w:t>
      </w:r>
      <w:r w:rsidR="00972CEC" w:rsidRPr="002A4C93">
        <w:rPr>
          <w:b/>
        </w:rPr>
        <w:t>e.g.</w:t>
      </w:r>
      <w:r w:rsidR="00972CEC">
        <w:t xml:space="preserve"> looking for profit, business prospect, etc)</w:t>
      </w:r>
      <w:r w:rsidR="00536871">
        <w:t>? (this is how courts have narrowed the broad definition</w:t>
      </w:r>
      <w:r w:rsidR="00E90A8E">
        <w:t xml:space="preserve"> under 1(b)</w:t>
      </w:r>
      <w:r w:rsidR="00536871">
        <w:t xml:space="preserve">). </w:t>
      </w:r>
    </w:p>
    <w:p w:rsidR="00E43D49" w:rsidRPr="00E43D49" w:rsidRDefault="00536C1C" w:rsidP="00FF0B61">
      <w:pPr>
        <w:pStyle w:val="ListParagraph"/>
        <w:numPr>
          <w:ilvl w:val="1"/>
          <w:numId w:val="10"/>
        </w:numPr>
        <w:rPr>
          <w:b/>
        </w:rPr>
      </w:pPr>
      <w:r w:rsidRPr="003A33A6">
        <w:t>T</w:t>
      </w:r>
      <w:r w:rsidR="00A30F11" w:rsidRPr="003A33A6">
        <w:t xml:space="preserve">itle doc to ½ interest in </w:t>
      </w:r>
      <w:r w:rsidR="00A30F11" w:rsidRPr="00B67622">
        <w:rPr>
          <w:b/>
          <w:i/>
        </w:rPr>
        <w:t>breeding chinchillas</w:t>
      </w:r>
      <w:r w:rsidR="00A30F11" w:rsidRPr="003A33A6">
        <w:t xml:space="preserve"> to share in </w:t>
      </w:r>
      <w:r w:rsidR="00A30F11" w:rsidRPr="00B67622">
        <w:rPr>
          <w:u w:val="single"/>
        </w:rPr>
        <w:t>profits = security</w:t>
      </w:r>
      <w:r w:rsidR="00A30F11" w:rsidRPr="003A33A6">
        <w:t xml:space="preserve"> (</w:t>
      </w:r>
      <w:r w:rsidR="00A30F11" w:rsidRPr="003A33A6">
        <w:rPr>
          <w:b/>
          <w:i/>
          <w:color w:val="1006E0"/>
        </w:rPr>
        <w:t>Swain v. Boughner</w:t>
      </w:r>
      <w:r w:rsidR="00E43D49">
        <w:rPr>
          <w:color w:val="1006E0"/>
        </w:rPr>
        <w:t>)</w:t>
      </w:r>
    </w:p>
    <w:p w:rsidR="00B80F87" w:rsidRPr="002A4C93" w:rsidRDefault="00B80F87" w:rsidP="00FF0B61">
      <w:pPr>
        <w:pStyle w:val="ListParagraph"/>
        <w:numPr>
          <w:ilvl w:val="1"/>
          <w:numId w:val="10"/>
        </w:numPr>
        <w:rPr>
          <w:b/>
        </w:rPr>
      </w:pPr>
      <w:r w:rsidRPr="002A4C93">
        <w:rPr>
          <w:b/>
          <w:i/>
        </w:rPr>
        <w:t>S</w:t>
      </w:r>
      <w:r w:rsidR="00A30F11" w:rsidRPr="002A4C93">
        <w:rPr>
          <w:b/>
          <w:i/>
        </w:rPr>
        <w:t>cotch whiskey receipts</w:t>
      </w:r>
      <w:r w:rsidR="003674B1">
        <w:t xml:space="preserve"> are securities when they are bo</w:t>
      </w:r>
      <w:r w:rsidR="002A4C93">
        <w:t xml:space="preserve">ught and sold as an investment </w:t>
      </w:r>
      <w:r w:rsidRPr="003A33A6">
        <w:t>(</w:t>
      </w:r>
      <w:r w:rsidRPr="002A4C93">
        <w:rPr>
          <w:b/>
          <w:i/>
          <w:color w:val="1006E0"/>
        </w:rPr>
        <w:t>Brigadoon</w:t>
      </w:r>
      <w:r w:rsidRPr="003A33A6">
        <w:t>)</w:t>
      </w:r>
    </w:p>
    <w:p w:rsidR="001D3A8A" w:rsidRPr="0054643D" w:rsidRDefault="000D613F" w:rsidP="00FF0B61">
      <w:pPr>
        <w:pStyle w:val="ListParagraph"/>
        <w:numPr>
          <w:ilvl w:val="1"/>
          <w:numId w:val="10"/>
        </w:numPr>
        <w:rPr>
          <w:b/>
        </w:rPr>
      </w:pPr>
      <w:r w:rsidRPr="002A4C93">
        <w:rPr>
          <w:b/>
        </w:rPr>
        <w:t>Control can help determine whether something is a security or not</w:t>
      </w:r>
      <w:r w:rsidR="00FA30C6" w:rsidRPr="0054643D">
        <w:t xml:space="preserve"> (</w:t>
      </w:r>
      <w:r w:rsidR="00FA30C6" w:rsidRPr="0054643D">
        <w:rPr>
          <w:b/>
          <w:i/>
          <w:color w:val="1006E0"/>
        </w:rPr>
        <w:t>Raymond Lee</w:t>
      </w:r>
      <w:r w:rsidR="00C90E0C" w:rsidRPr="0054643D">
        <w:rPr>
          <w:b/>
          <w:i/>
          <w:color w:val="1006E0"/>
        </w:rPr>
        <w:t xml:space="preserve"> </w:t>
      </w:r>
      <w:r w:rsidR="008A464B" w:rsidRPr="0054643D">
        <w:rPr>
          <w:b/>
          <w:i/>
          <w:color w:val="1006E0"/>
        </w:rPr>
        <w:t>–</w:t>
      </w:r>
      <w:r w:rsidR="00C90E0C" w:rsidRPr="0054643D">
        <w:rPr>
          <w:b/>
          <w:i/>
          <w:color w:val="1006E0"/>
        </w:rPr>
        <w:t xml:space="preserve"> </w:t>
      </w:r>
      <w:r w:rsidR="008A464B" w:rsidRPr="0054643D">
        <w:rPr>
          <w:i/>
        </w:rPr>
        <w:t>Co.</w:t>
      </w:r>
      <w:r w:rsidR="00C90E0C" w:rsidRPr="0054643D">
        <w:rPr>
          <w:i/>
        </w:rPr>
        <w:t xml:space="preserve"> got a 20% interest in inventions where they helped with marketin</w:t>
      </w:r>
      <w:r w:rsidR="00E12576" w:rsidRPr="0054643D">
        <w:rPr>
          <w:i/>
        </w:rPr>
        <w:t>g and patents</w:t>
      </w:r>
      <w:r w:rsidR="0070143C" w:rsidRPr="0054643D">
        <w:rPr>
          <w:b/>
        </w:rPr>
        <w:t xml:space="preserve">// Held: </w:t>
      </w:r>
      <w:r w:rsidR="0070143C" w:rsidRPr="0054643D">
        <w:t>This is not a security, is a service</w:t>
      </w:r>
      <w:r w:rsidR="0054643D" w:rsidRPr="0054643D">
        <w:t xml:space="preserve">. Reasons: </w:t>
      </w:r>
      <w:r w:rsidR="0054643D" w:rsidRPr="00471F9F">
        <w:rPr>
          <w:b/>
        </w:rPr>
        <w:t>1)</w:t>
      </w:r>
      <w:r w:rsidR="0054643D" w:rsidRPr="0054643D">
        <w:t xml:space="preserve"> Inventors remained in control of inventions; </w:t>
      </w:r>
      <w:r w:rsidR="0054643D" w:rsidRPr="00471F9F">
        <w:rPr>
          <w:b/>
        </w:rPr>
        <w:t xml:space="preserve">2) </w:t>
      </w:r>
      <w:r w:rsidR="0054643D" w:rsidRPr="0054643D">
        <w:t xml:space="preserve">Inventors testified they did not think this was an investment; and </w:t>
      </w:r>
      <w:r w:rsidR="0054643D" w:rsidRPr="00471F9F">
        <w:rPr>
          <w:b/>
        </w:rPr>
        <w:t>3)</w:t>
      </w:r>
      <w:r w:rsidR="0054643D" w:rsidRPr="0054643D">
        <w:t xml:space="preserve"> Primarily a transaction for patent processing and marketing</w:t>
      </w:r>
      <w:r w:rsidR="00FA30C6" w:rsidRPr="0054643D">
        <w:rPr>
          <w:b/>
          <w:i/>
        </w:rPr>
        <w:t>)</w:t>
      </w:r>
    </w:p>
    <w:p w:rsidR="002145C7" w:rsidRDefault="002145C7" w:rsidP="00FF0B61">
      <w:pPr>
        <w:spacing w:after="0" w:line="240" w:lineRule="auto"/>
        <w:rPr>
          <w:b/>
          <w:color w:val="C45911" w:themeColor="accent2" w:themeShade="BF"/>
        </w:rPr>
      </w:pPr>
      <w:r>
        <w:rPr>
          <w:b/>
        </w:rPr>
        <w:t xml:space="preserve">[3] </w:t>
      </w:r>
      <w:r w:rsidR="00C715AC">
        <w:rPr>
          <w:b/>
        </w:rPr>
        <w:t>A</w:t>
      </w:r>
      <w:r w:rsidR="00797CA5" w:rsidRPr="00797CA5">
        <w:rPr>
          <w:b/>
        </w:rPr>
        <w:t xml:space="preserve"> document evidencing an option, subscription or other interest in or to a security </w:t>
      </w:r>
      <w:r w:rsidR="00CF5332">
        <w:rPr>
          <w:b/>
        </w:rPr>
        <w:t>(</w:t>
      </w:r>
      <w:r w:rsidR="00CF5332" w:rsidRPr="00CF5332">
        <w:rPr>
          <w:b/>
          <w:color w:val="C45911" w:themeColor="accent2" w:themeShade="BF"/>
        </w:rPr>
        <w:t>BCSA</w:t>
      </w:r>
      <w:r w:rsidR="00254059">
        <w:rPr>
          <w:b/>
          <w:color w:val="C45911" w:themeColor="accent2" w:themeShade="BF"/>
        </w:rPr>
        <w:t>,</w:t>
      </w:r>
      <w:r w:rsidR="004E060C">
        <w:rPr>
          <w:b/>
          <w:color w:val="C45911" w:themeColor="accent2" w:themeShade="BF"/>
        </w:rPr>
        <w:t xml:space="preserve"> </w:t>
      </w:r>
      <w:r w:rsidR="004E060C" w:rsidRPr="00FB5CDC">
        <w:rPr>
          <w:b/>
          <w:color w:val="C45911" w:themeColor="accent2" w:themeShade="BF"/>
        </w:rPr>
        <w:t>s.1</w:t>
      </w:r>
      <w:r w:rsidR="004E060C">
        <w:rPr>
          <w:b/>
          <w:color w:val="C45911" w:themeColor="accent2" w:themeShade="BF"/>
        </w:rPr>
        <w:t xml:space="preserve">(1), </w:t>
      </w:r>
      <w:r w:rsidR="004E060C">
        <w:rPr>
          <w:b/>
          <w:i/>
          <w:color w:val="C45911" w:themeColor="accent2" w:themeShade="BF"/>
        </w:rPr>
        <w:t xml:space="preserve">“security” </w:t>
      </w:r>
      <w:r w:rsidR="00CF5332" w:rsidRPr="00CF5332">
        <w:rPr>
          <w:b/>
          <w:color w:val="C45911" w:themeColor="accent2" w:themeShade="BF"/>
        </w:rPr>
        <w:t>(c))</w:t>
      </w:r>
    </w:p>
    <w:p w:rsidR="00C715AC" w:rsidRPr="005156DA" w:rsidRDefault="00C715AC" w:rsidP="00FF0B61">
      <w:pPr>
        <w:pStyle w:val="ListParagraph"/>
        <w:numPr>
          <w:ilvl w:val="0"/>
          <w:numId w:val="10"/>
        </w:numPr>
        <w:rPr>
          <w:b/>
        </w:rPr>
      </w:pPr>
      <w:r w:rsidRPr="005156DA">
        <w:rPr>
          <w:b/>
        </w:rPr>
        <w:t xml:space="preserve">Option: </w:t>
      </w:r>
      <w:r w:rsidRPr="005156DA">
        <w:t>Form of derivative.</w:t>
      </w:r>
      <w:r w:rsidR="005156DA" w:rsidRPr="005156DA">
        <w:t xml:space="preserve"> Is a K that entitles but does not require its holder either to buy</w:t>
      </w:r>
      <w:r w:rsidR="00D72E70">
        <w:t xml:space="preserve"> or sell a particular security on a particular date at a specific price. </w:t>
      </w:r>
    </w:p>
    <w:p w:rsidR="00C715AC" w:rsidRPr="00D72E70" w:rsidRDefault="00C715AC" w:rsidP="00FF0B61">
      <w:pPr>
        <w:pStyle w:val="ListParagraph"/>
        <w:numPr>
          <w:ilvl w:val="0"/>
          <w:numId w:val="10"/>
        </w:numPr>
        <w:rPr>
          <w:b/>
        </w:rPr>
      </w:pPr>
      <w:r w:rsidRPr="00D72E70">
        <w:rPr>
          <w:b/>
        </w:rPr>
        <w:t xml:space="preserve">Subscriptions: </w:t>
      </w:r>
      <w:r w:rsidR="00D72E70" w:rsidRPr="00D72E70">
        <w:t xml:space="preserve">Sign-up forms for purchasing securities. </w:t>
      </w:r>
    </w:p>
    <w:p w:rsidR="002145C7" w:rsidRPr="00D72E70" w:rsidRDefault="00C715AC" w:rsidP="00FF0B61">
      <w:pPr>
        <w:pStyle w:val="ListParagraph"/>
        <w:numPr>
          <w:ilvl w:val="0"/>
          <w:numId w:val="10"/>
        </w:numPr>
        <w:rPr>
          <w:b/>
        </w:rPr>
      </w:pPr>
      <w:r w:rsidRPr="00D72E70">
        <w:rPr>
          <w:b/>
        </w:rPr>
        <w:t xml:space="preserve">Rights: </w:t>
      </w:r>
      <w:r w:rsidR="009943EF">
        <w:t xml:space="preserve">Corps can raise capital quickly and with fewer regulatory requirements by granting existing security holders rights to purchase a specific # of additional securities at a specific price and time. </w:t>
      </w:r>
    </w:p>
    <w:p w:rsidR="00143173" w:rsidRPr="00CF1048" w:rsidRDefault="00143173" w:rsidP="00FF0B61">
      <w:pPr>
        <w:pStyle w:val="ListParagraph"/>
        <w:numPr>
          <w:ilvl w:val="0"/>
          <w:numId w:val="10"/>
        </w:numPr>
        <w:rPr>
          <w:b/>
        </w:rPr>
      </w:pPr>
      <w:r w:rsidRPr="00CF1048">
        <w:rPr>
          <w:b/>
        </w:rPr>
        <w:t xml:space="preserve">Warrants: </w:t>
      </w:r>
      <w:r w:rsidR="00985089" w:rsidRPr="00CF1048">
        <w:t>attached to bonds, give warrant holder right to buy a specific # of corp’s equity sec at specific price &amp; during specific time period (referenced like an option)</w:t>
      </w:r>
      <w:r w:rsidR="00CF1048">
        <w:t xml:space="preserve">. </w:t>
      </w:r>
    </w:p>
    <w:p w:rsidR="002145C7" w:rsidRPr="006146DE" w:rsidRDefault="002145C7" w:rsidP="00FF0B61">
      <w:pPr>
        <w:spacing w:after="0" w:line="240" w:lineRule="auto"/>
        <w:rPr>
          <w:b/>
        </w:rPr>
      </w:pPr>
      <w:r>
        <w:rPr>
          <w:b/>
        </w:rPr>
        <w:t xml:space="preserve">[4] </w:t>
      </w:r>
      <w:r w:rsidR="00A07D5A" w:rsidRPr="00A07D5A">
        <w:rPr>
          <w:b/>
        </w:rPr>
        <w:t xml:space="preserve">Debt Security: a </w:t>
      </w:r>
      <w:r w:rsidR="00A07D5A" w:rsidRPr="00390E1C">
        <w:rPr>
          <w:b/>
          <w:u w:val="single"/>
        </w:rPr>
        <w:t>bond, debenture, note or other evidence of indebtedness</w:t>
      </w:r>
      <w:r w:rsidR="00A07D5A" w:rsidRPr="00A07D5A">
        <w:rPr>
          <w:b/>
        </w:rPr>
        <w:t xml:space="preserve">, share, stock, unit, unit certificate, </w:t>
      </w:r>
      <w:r w:rsidR="007F0659" w:rsidRPr="00A07D5A">
        <w:rPr>
          <w:b/>
        </w:rPr>
        <w:t>etc.</w:t>
      </w:r>
      <w:r w:rsidR="00A07D5A" w:rsidRPr="00A07D5A">
        <w:rPr>
          <w:b/>
        </w:rPr>
        <w:t xml:space="preserve"> </w:t>
      </w:r>
      <w:r w:rsidR="000320FA" w:rsidRPr="000320FA">
        <w:rPr>
          <w:b/>
        </w:rPr>
        <w:t xml:space="preserve">Other than: (i) </w:t>
      </w:r>
      <w:r w:rsidR="00EE3DA9">
        <w:rPr>
          <w:b/>
        </w:rPr>
        <w:t>K</w:t>
      </w:r>
      <w:r w:rsidR="000320FA" w:rsidRPr="000320FA">
        <w:rPr>
          <w:b/>
        </w:rPr>
        <w:t xml:space="preserve"> of insurance and ii)</w:t>
      </w:r>
      <w:r w:rsidR="00390E1C">
        <w:rPr>
          <w:b/>
        </w:rPr>
        <w:t xml:space="preserve"> E</w:t>
      </w:r>
      <w:r w:rsidR="005637D6">
        <w:rPr>
          <w:b/>
        </w:rPr>
        <w:t xml:space="preserve"> of deposit </w:t>
      </w:r>
      <w:r w:rsidR="00A07F71">
        <w:rPr>
          <w:b/>
        </w:rPr>
        <w:t xml:space="preserve">issued </w:t>
      </w:r>
      <w:r w:rsidR="000320FA" w:rsidRPr="000320FA">
        <w:rPr>
          <w:b/>
        </w:rPr>
        <w:t>by savings institution</w:t>
      </w:r>
      <w:r w:rsidR="000320FA" w:rsidRPr="000320FA">
        <w:t xml:space="preserve"> (</w:t>
      </w:r>
      <w:r w:rsidR="008710A7">
        <w:t>these are excluded as they</w:t>
      </w:r>
      <w:r w:rsidR="000320FA" w:rsidRPr="000320FA">
        <w:t xml:space="preserve"> are </w:t>
      </w:r>
      <w:r w:rsidR="007D7822">
        <w:t>governed by insurance and banking</w:t>
      </w:r>
      <w:r w:rsidR="000320FA" w:rsidRPr="006146DE">
        <w:t xml:space="preserve">) </w:t>
      </w:r>
      <w:r w:rsidR="008C2FA4">
        <w:rPr>
          <w:b/>
          <w:color w:val="C45911" w:themeColor="accent2" w:themeShade="BF"/>
        </w:rPr>
        <w:t>(</w:t>
      </w:r>
      <w:r w:rsidR="004E060C" w:rsidRPr="00FB5CDC">
        <w:rPr>
          <w:b/>
          <w:color w:val="C45911" w:themeColor="accent2" w:themeShade="BF"/>
        </w:rPr>
        <w:t>1</w:t>
      </w:r>
      <w:r w:rsidR="00C65C7F">
        <w:rPr>
          <w:b/>
          <w:color w:val="C45911" w:themeColor="accent2" w:themeShade="BF"/>
        </w:rPr>
        <w:t>(1)</w:t>
      </w:r>
      <w:r w:rsidR="00A07D5A" w:rsidRPr="006146DE">
        <w:rPr>
          <w:b/>
          <w:color w:val="C45911" w:themeColor="accent2" w:themeShade="BF"/>
        </w:rPr>
        <w:t>(d))</w:t>
      </w:r>
    </w:p>
    <w:p w:rsidR="00103CB1" w:rsidRPr="006146DE" w:rsidRDefault="00103CB1" w:rsidP="00FF0B61">
      <w:pPr>
        <w:pStyle w:val="ListParagraph"/>
        <w:numPr>
          <w:ilvl w:val="0"/>
          <w:numId w:val="11"/>
        </w:numPr>
        <w:rPr>
          <w:b/>
        </w:rPr>
      </w:pPr>
      <w:r w:rsidRPr="006146DE">
        <w:rPr>
          <w:b/>
        </w:rPr>
        <w:t>ISSUE:</w:t>
      </w:r>
      <w:r w:rsidRPr="006146DE">
        <w:t xml:space="preserve"> Distinguishing a debt s</w:t>
      </w:r>
      <w:r w:rsidR="00F20440">
        <w:t>ecurity from a doc</w:t>
      </w:r>
      <w:r w:rsidR="0016777C">
        <w:t xml:space="preserve"> evidencing</w:t>
      </w:r>
      <w:r w:rsidRPr="006146DE">
        <w:t xml:space="preserve"> indebtedness that is not a security. </w:t>
      </w:r>
    </w:p>
    <w:p w:rsidR="0085763A" w:rsidRPr="006146DE" w:rsidRDefault="00F85945" w:rsidP="00FF0B61">
      <w:pPr>
        <w:pStyle w:val="ListParagraph"/>
        <w:numPr>
          <w:ilvl w:val="0"/>
          <w:numId w:val="11"/>
        </w:numPr>
        <w:rPr>
          <w:b/>
        </w:rPr>
      </w:pPr>
      <w:r w:rsidRPr="00510C49">
        <w:rPr>
          <w:b/>
        </w:rPr>
        <w:t xml:space="preserve">FAMILY RESEMBLANCE </w:t>
      </w:r>
      <w:r w:rsidR="006146DE" w:rsidRPr="00510C49">
        <w:rPr>
          <w:b/>
        </w:rPr>
        <w:t xml:space="preserve">TEST </w:t>
      </w:r>
      <w:r w:rsidR="006146DE" w:rsidRPr="006146DE">
        <w:rPr>
          <w:b/>
          <w:color w:val="1006E0"/>
        </w:rPr>
        <w:t>(</w:t>
      </w:r>
      <w:r w:rsidR="00672A79" w:rsidRPr="006146DE">
        <w:rPr>
          <w:b/>
          <w:i/>
          <w:color w:val="1006E0"/>
        </w:rPr>
        <w:t>BC Sec Com v Gill</w:t>
      </w:r>
      <w:r w:rsidR="006146DE">
        <w:rPr>
          <w:b/>
          <w:i/>
          <w:color w:val="1006E0"/>
        </w:rPr>
        <w:t xml:space="preserve">, </w:t>
      </w:r>
      <w:r w:rsidR="006146DE">
        <w:rPr>
          <w:b/>
          <w:color w:val="1006E0"/>
        </w:rPr>
        <w:t>BCCA</w:t>
      </w:r>
      <w:r w:rsidR="007C2928">
        <w:rPr>
          <w:b/>
          <w:color w:val="1006E0"/>
        </w:rPr>
        <w:t xml:space="preserve"> </w:t>
      </w:r>
      <w:r w:rsidR="007C2928" w:rsidRPr="00202DDC">
        <w:rPr>
          <w:b/>
          <w:color w:val="002060"/>
        </w:rPr>
        <w:t xml:space="preserve">citing </w:t>
      </w:r>
      <w:r w:rsidR="007C2928">
        <w:rPr>
          <w:b/>
          <w:i/>
          <w:color w:val="1006E0"/>
        </w:rPr>
        <w:t>Reves</w:t>
      </w:r>
      <w:r w:rsidR="006146DE" w:rsidRPr="006146DE">
        <w:rPr>
          <w:b/>
          <w:color w:val="1006E0"/>
        </w:rPr>
        <w:t>)</w:t>
      </w:r>
      <w:r w:rsidR="00672A79" w:rsidRPr="006146DE">
        <w:rPr>
          <w:b/>
          <w:i/>
          <w:color w:val="1006E0"/>
        </w:rPr>
        <w:t xml:space="preserve"> </w:t>
      </w:r>
      <w:r w:rsidR="006F1191" w:rsidRPr="006146DE">
        <w:rPr>
          <w:b/>
          <w:i/>
        </w:rPr>
        <w:t>–</w:t>
      </w:r>
      <w:r w:rsidR="00672A79" w:rsidRPr="006146DE">
        <w:rPr>
          <w:b/>
          <w:i/>
        </w:rPr>
        <w:t xml:space="preserve"> </w:t>
      </w:r>
      <w:r w:rsidR="006F1191" w:rsidRPr="006146DE">
        <w:t xml:space="preserve">Rebuttable presumption that certain types of debt instruments are securities, not banking products. </w:t>
      </w:r>
      <w:r>
        <w:t xml:space="preserve">Factors relevant whether </w:t>
      </w:r>
      <w:r w:rsidRPr="00C52DEE">
        <w:rPr>
          <w:u w:val="single"/>
        </w:rPr>
        <w:t>presumption is rebutted</w:t>
      </w:r>
      <w:r>
        <w:t>:</w:t>
      </w:r>
    </w:p>
    <w:p w:rsidR="005B4D11" w:rsidRPr="003120AC" w:rsidRDefault="005B4D11" w:rsidP="00FF0B61">
      <w:pPr>
        <w:pStyle w:val="ListParagraph"/>
        <w:numPr>
          <w:ilvl w:val="1"/>
          <w:numId w:val="15"/>
        </w:numPr>
        <w:spacing w:after="0"/>
      </w:pPr>
      <w:r w:rsidRPr="003728E6">
        <w:rPr>
          <w:b/>
          <w:i/>
        </w:rPr>
        <w:t>The Motivations</w:t>
      </w:r>
      <w:r w:rsidRPr="003120AC">
        <w:t xml:space="preserve"> that would prompt a reasonable seller and buyer to enter into the transaction: If the seller’s purpose is to raise money and the buyer’s purpose is to profit from returns, it’s a security</w:t>
      </w:r>
      <w:r w:rsidR="003728E6">
        <w:t>;</w:t>
      </w:r>
    </w:p>
    <w:p w:rsidR="005B4D11" w:rsidRPr="003120AC" w:rsidRDefault="005B4D11" w:rsidP="00FF0B61">
      <w:pPr>
        <w:pStyle w:val="ListParagraph"/>
        <w:numPr>
          <w:ilvl w:val="1"/>
          <w:numId w:val="15"/>
        </w:numPr>
        <w:spacing w:after="0"/>
      </w:pPr>
      <w:r w:rsidRPr="003728E6">
        <w:rPr>
          <w:b/>
          <w:i/>
        </w:rPr>
        <w:t>The intended distribution</w:t>
      </w:r>
      <w:r w:rsidRPr="003120AC">
        <w:t xml:space="preserve"> of the instrument: if it is one in which there will be ‘common trading for speculation </w:t>
      </w:r>
      <w:r w:rsidR="003728E6">
        <w:t>or investment’, it’s a security;</w:t>
      </w:r>
    </w:p>
    <w:p w:rsidR="005B4D11" w:rsidRPr="003120AC" w:rsidRDefault="005B4D11" w:rsidP="00FF0B61">
      <w:pPr>
        <w:pStyle w:val="ListParagraph"/>
        <w:numPr>
          <w:ilvl w:val="1"/>
          <w:numId w:val="15"/>
        </w:numPr>
        <w:spacing w:after="0"/>
      </w:pPr>
      <w:r w:rsidRPr="003728E6">
        <w:rPr>
          <w:b/>
          <w:i/>
        </w:rPr>
        <w:t>Reasonable expectations of the investing public</w:t>
      </w:r>
      <w:r w:rsidRPr="003120AC">
        <w:t>: The more the public expects a security, the more like</w:t>
      </w:r>
      <w:r w:rsidR="003728E6">
        <w:t>ly it’s a security;</w:t>
      </w:r>
    </w:p>
    <w:p w:rsidR="005B4D11" w:rsidRDefault="005B4D11" w:rsidP="00FF0B61">
      <w:pPr>
        <w:pStyle w:val="ListParagraph"/>
        <w:numPr>
          <w:ilvl w:val="1"/>
          <w:numId w:val="15"/>
        </w:numPr>
        <w:spacing w:after="0"/>
      </w:pPr>
      <w:r w:rsidRPr="003728E6">
        <w:rPr>
          <w:b/>
          <w:i/>
        </w:rPr>
        <w:t>The existence of another regulatory scheme</w:t>
      </w:r>
      <w:r w:rsidRPr="003120AC">
        <w:t>: If there is no other regulatory scheme that reduces the risk of the instrument, it’s likely a security.</w:t>
      </w:r>
    </w:p>
    <w:p w:rsidR="00DE6FDE" w:rsidRPr="009E0B1A" w:rsidRDefault="000F7C8B" w:rsidP="00FF0B61">
      <w:pPr>
        <w:spacing w:line="240" w:lineRule="auto"/>
        <w:rPr>
          <w:i/>
        </w:rPr>
      </w:pPr>
      <w:r>
        <w:rPr>
          <w:b/>
          <w:i/>
          <w:color w:val="1006E0"/>
        </w:rPr>
        <w:t xml:space="preserve">BC Sec Com </w:t>
      </w:r>
      <w:r w:rsidR="00DE6FDE" w:rsidRPr="009E0B1A">
        <w:rPr>
          <w:b/>
        </w:rPr>
        <w:t>-</w:t>
      </w:r>
      <w:r w:rsidR="00DE6FDE" w:rsidRPr="009E0B1A">
        <w:rPr>
          <w:b/>
          <w:i/>
        </w:rPr>
        <w:t xml:space="preserve"> </w:t>
      </w:r>
      <w:r w:rsidR="009E0B1A" w:rsidRPr="009E0B1A">
        <w:rPr>
          <w:i/>
        </w:rPr>
        <w:t>2 individuals gave large amounts of $ to Gill for his investment co., he then gave them receipts</w:t>
      </w:r>
      <w:r w:rsidR="009E0B1A">
        <w:rPr>
          <w:i/>
        </w:rPr>
        <w:t xml:space="preserve"> </w:t>
      </w:r>
      <w:r w:rsidR="009E0B1A">
        <w:rPr>
          <w:b/>
        </w:rPr>
        <w:t>//</w:t>
      </w:r>
      <w:r w:rsidR="009E0B1A" w:rsidRPr="009E0B1A">
        <w:rPr>
          <w:i/>
        </w:rPr>
        <w:t xml:space="preserve"> </w:t>
      </w:r>
      <w:r w:rsidR="009E0B1A">
        <w:rPr>
          <w:b/>
        </w:rPr>
        <w:t xml:space="preserve">Held: </w:t>
      </w:r>
      <w:r w:rsidR="009E0B1A">
        <w:t xml:space="preserve">These were Securities </w:t>
      </w:r>
    </w:p>
    <w:p w:rsidR="007603AA" w:rsidRPr="00EB1B55" w:rsidRDefault="002145C7" w:rsidP="00FF0B61">
      <w:pPr>
        <w:spacing w:after="0" w:line="240" w:lineRule="auto"/>
        <w:rPr>
          <w:b/>
          <w:color w:val="C45911" w:themeColor="accent2" w:themeShade="BF"/>
        </w:rPr>
      </w:pPr>
      <w:r w:rsidRPr="006146DE">
        <w:rPr>
          <w:b/>
        </w:rPr>
        <w:lastRenderedPageBreak/>
        <w:t xml:space="preserve">[5] </w:t>
      </w:r>
      <w:r w:rsidR="005C5ED8">
        <w:rPr>
          <w:b/>
        </w:rPr>
        <w:t>*</w:t>
      </w:r>
      <w:r w:rsidR="00C66F56" w:rsidRPr="00E90FC8">
        <w:rPr>
          <w:b/>
          <w:u w:val="single"/>
        </w:rPr>
        <w:t>Investment Contract</w:t>
      </w:r>
      <w:r w:rsidR="00C66F56">
        <w:rPr>
          <w:b/>
        </w:rPr>
        <w:t xml:space="preserve"> </w:t>
      </w:r>
      <w:r w:rsidR="007603AA">
        <w:rPr>
          <w:b/>
        </w:rPr>
        <w:t>(</w:t>
      </w:r>
      <w:r w:rsidR="007603AA" w:rsidRPr="007603AA">
        <w:rPr>
          <w:b/>
          <w:color w:val="C45911" w:themeColor="accent2" w:themeShade="BF"/>
        </w:rPr>
        <w:t>BCSA</w:t>
      </w:r>
      <w:r w:rsidR="00E207BB">
        <w:rPr>
          <w:b/>
          <w:color w:val="C45911" w:themeColor="accent2" w:themeShade="BF"/>
        </w:rPr>
        <w:t xml:space="preserve">, </w:t>
      </w:r>
      <w:r w:rsidR="004E060C" w:rsidRPr="00FB5CDC">
        <w:rPr>
          <w:b/>
          <w:color w:val="C45911" w:themeColor="accent2" w:themeShade="BF"/>
        </w:rPr>
        <w:t>s.1</w:t>
      </w:r>
      <w:r w:rsidR="00C65C7F">
        <w:rPr>
          <w:b/>
          <w:color w:val="C45911" w:themeColor="accent2" w:themeShade="BF"/>
        </w:rPr>
        <w:t>(1)</w:t>
      </w:r>
      <w:r w:rsidR="007603AA" w:rsidRPr="007603AA">
        <w:rPr>
          <w:b/>
          <w:color w:val="C45911" w:themeColor="accent2" w:themeShade="BF"/>
        </w:rPr>
        <w:t>(l))</w:t>
      </w:r>
      <w:r w:rsidR="00332D43">
        <w:rPr>
          <w:b/>
          <w:color w:val="C45911" w:themeColor="accent2" w:themeShade="BF"/>
        </w:rPr>
        <w:t xml:space="preserve"> </w:t>
      </w:r>
      <w:r w:rsidR="00332D43" w:rsidRPr="00CB00FB">
        <w:rPr>
          <w:b/>
        </w:rPr>
        <w:sym w:font="Wingdings" w:char="F0E0"/>
      </w:r>
      <w:r w:rsidR="00332D43">
        <w:rPr>
          <w:b/>
          <w:color w:val="C45911" w:themeColor="accent2" w:themeShade="BF"/>
        </w:rPr>
        <w:t xml:space="preserve"> </w:t>
      </w:r>
      <w:r w:rsidR="00EB1B55">
        <w:rPr>
          <w:b/>
        </w:rPr>
        <w:t xml:space="preserve">Catch-all Provision (e.g. </w:t>
      </w:r>
      <w:r w:rsidR="00EB1B55" w:rsidRPr="00EB1B55">
        <w:rPr>
          <w:b/>
          <w:i/>
          <w:color w:val="1006E0"/>
        </w:rPr>
        <w:t xml:space="preserve">Joiner Leasing </w:t>
      </w:r>
      <w:r w:rsidR="00EB1B55" w:rsidRPr="00EB1B55">
        <w:rPr>
          <w:b/>
          <w:color w:val="1006E0"/>
        </w:rPr>
        <w:t>(USSC)</w:t>
      </w:r>
      <w:r w:rsidR="00EB1B55">
        <w:rPr>
          <w:b/>
        </w:rPr>
        <w:t xml:space="preserve"> </w:t>
      </w:r>
      <w:r w:rsidR="00EB1B55">
        <w:rPr>
          <w:b/>
          <w:i/>
        </w:rPr>
        <w:t xml:space="preserve">– </w:t>
      </w:r>
      <w:r w:rsidR="00CC10E6">
        <w:rPr>
          <w:i/>
        </w:rPr>
        <w:t>Pp</w:t>
      </w:r>
      <w:r w:rsidR="00EB1B55">
        <w:rPr>
          <w:i/>
        </w:rPr>
        <w:t xml:space="preserve">l bought potential oil-boom land expecting an investment return </w:t>
      </w:r>
      <w:r w:rsidR="00EB1B55">
        <w:rPr>
          <w:b/>
        </w:rPr>
        <w:t xml:space="preserve">// Held: </w:t>
      </w:r>
      <w:r w:rsidR="00EB1B55">
        <w:t>This is a security</w:t>
      </w:r>
      <w:r w:rsidR="00EB1B55">
        <w:rPr>
          <w:b/>
        </w:rPr>
        <w:t xml:space="preserve">). </w:t>
      </w:r>
    </w:p>
    <w:p w:rsidR="00A21C63" w:rsidRDefault="00A21C63" w:rsidP="00FF0B61">
      <w:pPr>
        <w:spacing w:after="0" w:line="240" w:lineRule="auto"/>
        <w:rPr>
          <w:b/>
          <w:szCs w:val="18"/>
          <w:u w:val="single"/>
        </w:rPr>
      </w:pPr>
    </w:p>
    <w:p w:rsidR="002536E8" w:rsidRPr="002536E8" w:rsidRDefault="007D7DE7" w:rsidP="00FF0B61">
      <w:pPr>
        <w:spacing w:after="0" w:line="240" w:lineRule="auto"/>
        <w:rPr>
          <w:szCs w:val="18"/>
        </w:rPr>
      </w:pPr>
      <w:r w:rsidRPr="00921847">
        <w:rPr>
          <w:b/>
          <w:szCs w:val="18"/>
          <w:u w:val="single"/>
        </w:rPr>
        <w:t>TEST</w:t>
      </w:r>
      <w:r w:rsidRPr="00921847">
        <w:rPr>
          <w:b/>
          <w:szCs w:val="18"/>
        </w:rPr>
        <w:t xml:space="preserve"> (</w:t>
      </w:r>
      <w:r w:rsidRPr="00921847">
        <w:rPr>
          <w:b/>
          <w:i/>
          <w:color w:val="1006E0"/>
          <w:szCs w:val="18"/>
        </w:rPr>
        <w:t>Pacific Coast</w:t>
      </w:r>
      <w:r w:rsidR="00663805" w:rsidRPr="00921847">
        <w:rPr>
          <w:b/>
          <w:i/>
          <w:color w:val="1006E0"/>
          <w:szCs w:val="18"/>
        </w:rPr>
        <w:t xml:space="preserve">, </w:t>
      </w:r>
      <w:r w:rsidR="00873B53" w:rsidRPr="00921847">
        <w:rPr>
          <w:b/>
          <w:color w:val="1006E0"/>
          <w:szCs w:val="18"/>
        </w:rPr>
        <w:t>1978 SCC</w:t>
      </w:r>
      <w:r w:rsidR="00473E87" w:rsidRPr="00921847">
        <w:rPr>
          <w:b/>
          <w:color w:val="1006E0"/>
          <w:szCs w:val="18"/>
        </w:rPr>
        <w:t xml:space="preserve"> </w:t>
      </w:r>
      <w:r w:rsidR="00F006B1" w:rsidRPr="00921847">
        <w:rPr>
          <w:b/>
          <w:color w:val="1006E0"/>
          <w:szCs w:val="18"/>
        </w:rPr>
        <w:t>–</w:t>
      </w:r>
      <w:r w:rsidR="00473E87" w:rsidRPr="00921847">
        <w:rPr>
          <w:b/>
          <w:color w:val="1006E0"/>
          <w:szCs w:val="18"/>
        </w:rPr>
        <w:t xml:space="preserve"> </w:t>
      </w:r>
      <w:r w:rsidR="00F006B1" w:rsidRPr="00921847">
        <w:rPr>
          <w:i/>
          <w:szCs w:val="18"/>
        </w:rPr>
        <w:t>Bags of coins “on margin” = Investment K</w:t>
      </w:r>
      <w:r w:rsidRPr="00921847">
        <w:rPr>
          <w:b/>
          <w:szCs w:val="18"/>
        </w:rPr>
        <w:t>):</w:t>
      </w:r>
      <w:r w:rsidR="00873B53" w:rsidRPr="00921847">
        <w:rPr>
          <w:b/>
          <w:szCs w:val="18"/>
        </w:rPr>
        <w:t xml:space="preserve"> </w:t>
      </w:r>
      <w:r w:rsidR="00D3441B">
        <w:rPr>
          <w:szCs w:val="18"/>
        </w:rPr>
        <w:t xml:space="preserve"> </w:t>
      </w:r>
      <w:r w:rsidR="00623551" w:rsidRPr="00D3441B">
        <w:rPr>
          <w:szCs w:val="18"/>
        </w:rPr>
        <w:t xml:space="preserve">While the </w:t>
      </w:r>
      <w:r w:rsidR="00623551" w:rsidRPr="00D3441B">
        <w:rPr>
          <w:b/>
          <w:i/>
          <w:color w:val="1006E0"/>
          <w:szCs w:val="18"/>
        </w:rPr>
        <w:t>Howey</w:t>
      </w:r>
      <w:r w:rsidR="00623551" w:rsidRPr="00D3441B">
        <w:rPr>
          <w:szCs w:val="18"/>
        </w:rPr>
        <w:t xml:space="preserve"> and </w:t>
      </w:r>
      <w:r w:rsidR="00623551" w:rsidRPr="00D3441B">
        <w:rPr>
          <w:b/>
          <w:i/>
          <w:color w:val="1006E0"/>
          <w:szCs w:val="18"/>
        </w:rPr>
        <w:t>Risk Capital</w:t>
      </w:r>
      <w:r w:rsidR="00623551" w:rsidRPr="00D3441B">
        <w:rPr>
          <w:color w:val="1006E0"/>
          <w:szCs w:val="18"/>
        </w:rPr>
        <w:t xml:space="preserve"> </w:t>
      </w:r>
      <w:r w:rsidR="00292EC3">
        <w:rPr>
          <w:szCs w:val="18"/>
        </w:rPr>
        <w:t>tests are helpful</w:t>
      </w:r>
      <w:r w:rsidR="00623551" w:rsidRPr="00D3441B">
        <w:rPr>
          <w:szCs w:val="18"/>
        </w:rPr>
        <w:t xml:space="preserve">, they </w:t>
      </w:r>
      <w:r w:rsidR="00623551" w:rsidRPr="00EB28F2">
        <w:rPr>
          <w:b/>
          <w:i/>
          <w:szCs w:val="18"/>
        </w:rPr>
        <w:t>are not necessary</w:t>
      </w:r>
      <w:r w:rsidR="00623551" w:rsidRPr="00EB28F2">
        <w:rPr>
          <w:i/>
          <w:szCs w:val="18"/>
        </w:rPr>
        <w:t xml:space="preserve"> </w:t>
      </w:r>
      <w:r w:rsidR="00623551" w:rsidRPr="00D3441B">
        <w:rPr>
          <w:szCs w:val="18"/>
        </w:rPr>
        <w:t xml:space="preserve">to determine whether an </w:t>
      </w:r>
      <w:r w:rsidR="00623551" w:rsidRPr="00FE4283">
        <w:rPr>
          <w:szCs w:val="18"/>
          <w:u w:val="single"/>
        </w:rPr>
        <w:t>Investment</w:t>
      </w:r>
      <w:r w:rsidR="0016777C">
        <w:rPr>
          <w:szCs w:val="18"/>
          <w:u w:val="single"/>
        </w:rPr>
        <w:t xml:space="preserve"> K</w:t>
      </w:r>
      <w:r w:rsidR="00623551" w:rsidRPr="00FE4283">
        <w:rPr>
          <w:szCs w:val="18"/>
          <w:u w:val="single"/>
        </w:rPr>
        <w:t xml:space="preserve"> is a Security</w:t>
      </w:r>
      <w:r w:rsidR="00623551" w:rsidRPr="00D3441B">
        <w:rPr>
          <w:szCs w:val="18"/>
        </w:rPr>
        <w:t xml:space="preserve">. </w:t>
      </w:r>
      <w:r w:rsidR="00623551" w:rsidRPr="00A21C63">
        <w:rPr>
          <w:b/>
          <w:szCs w:val="18"/>
        </w:rPr>
        <w:t>What is necessary is that</w:t>
      </w:r>
      <w:r w:rsidR="00A21C63">
        <w:rPr>
          <w:szCs w:val="18"/>
        </w:rPr>
        <w:t xml:space="preserve">: </w:t>
      </w:r>
      <w:r w:rsidR="00623551" w:rsidRPr="00D3441B">
        <w:rPr>
          <w:szCs w:val="18"/>
        </w:rPr>
        <w:t xml:space="preserve">‘finding the </w:t>
      </w:r>
      <w:r w:rsidR="0016777C">
        <w:rPr>
          <w:szCs w:val="18"/>
        </w:rPr>
        <w:t>K</w:t>
      </w:r>
      <w:r w:rsidR="00623551" w:rsidRPr="00D3441B">
        <w:rPr>
          <w:szCs w:val="18"/>
        </w:rPr>
        <w:t xml:space="preserve"> in question to be an investment </w:t>
      </w:r>
      <w:r w:rsidR="00FF1673">
        <w:rPr>
          <w:szCs w:val="18"/>
        </w:rPr>
        <w:t>K</w:t>
      </w:r>
      <w:r w:rsidR="00623551" w:rsidRPr="00D3441B">
        <w:rPr>
          <w:szCs w:val="18"/>
        </w:rPr>
        <w:t xml:space="preserve"> (and therefore a security) would </w:t>
      </w:r>
      <w:r w:rsidR="00623551" w:rsidRPr="00A37340">
        <w:rPr>
          <w:b/>
          <w:i/>
          <w:szCs w:val="18"/>
        </w:rPr>
        <w:t>support and advance the policy goals of securities regulation generally</w:t>
      </w:r>
      <w:r w:rsidR="00623551" w:rsidRPr="00D3441B">
        <w:rPr>
          <w:szCs w:val="18"/>
        </w:rPr>
        <w:t>.’</w:t>
      </w:r>
    </w:p>
    <w:p w:rsidR="00F713A8" w:rsidRPr="001A45FF" w:rsidRDefault="00F713A8" w:rsidP="00FF0B61">
      <w:pPr>
        <w:pStyle w:val="ListParagraph"/>
        <w:numPr>
          <w:ilvl w:val="0"/>
          <w:numId w:val="18"/>
        </w:numPr>
        <w:spacing w:after="0"/>
        <w:rPr>
          <w:szCs w:val="18"/>
        </w:rPr>
      </w:pPr>
      <w:r>
        <w:rPr>
          <w:b/>
        </w:rPr>
        <w:t xml:space="preserve">Policy of Securities Regulation: </w:t>
      </w:r>
      <w:r>
        <w:t>It</w:t>
      </w:r>
      <w:r w:rsidR="00553432">
        <w:t xml:space="preserve"> is about protecting the public and</w:t>
      </w:r>
      <w:r w:rsidR="00BC522A">
        <w:t xml:space="preserve"> “full and fair disclosure.”</w:t>
      </w:r>
      <w:r w:rsidRPr="00D3441B">
        <w:t xml:space="preserve"> </w:t>
      </w:r>
      <w:r w:rsidR="009B031A">
        <w:t>Substance, not form, governs the interpretation of what is a security. Look at</w:t>
      </w:r>
      <w:r w:rsidR="00072665">
        <w:t xml:space="preserve"> whether people</w:t>
      </w:r>
      <w:r w:rsidR="00204DDD">
        <w:t xml:space="preserve"> are at risk (</w:t>
      </w:r>
      <w:r w:rsidR="00204DDD" w:rsidRPr="00204DDD">
        <w:rPr>
          <w:b/>
          <w:i/>
          <w:color w:val="1006E0"/>
        </w:rPr>
        <w:t>Pacific</w:t>
      </w:r>
      <w:r w:rsidR="00204DDD">
        <w:rPr>
          <w:b/>
          <w:i/>
        </w:rPr>
        <w:t xml:space="preserve"> - </w:t>
      </w:r>
      <w:r w:rsidR="00204DDD">
        <w:rPr>
          <w:i/>
          <w:szCs w:val="18"/>
        </w:rPr>
        <w:t>risk b/c investors dependent on PC on how to function in futures mrkt</w:t>
      </w:r>
      <w:r w:rsidR="00204DDD">
        <w:rPr>
          <w:b/>
          <w:szCs w:val="18"/>
        </w:rPr>
        <w:t>)</w:t>
      </w:r>
    </w:p>
    <w:p w:rsidR="005B2083" w:rsidRDefault="005B2083" w:rsidP="00FF0B61">
      <w:pPr>
        <w:pStyle w:val="ListParagraph"/>
        <w:numPr>
          <w:ilvl w:val="0"/>
          <w:numId w:val="18"/>
        </w:numPr>
        <w:spacing w:before="60" w:after="0"/>
        <w:ind w:right="-108"/>
      </w:pPr>
      <w:r w:rsidRPr="00BE7706">
        <w:rPr>
          <w:b/>
          <w:i/>
          <w:color w:val="1006E0"/>
        </w:rPr>
        <w:t xml:space="preserve">Re Kustom Designs </w:t>
      </w:r>
      <w:r w:rsidRPr="00BE7706">
        <w:rPr>
          <w:b/>
          <w:i/>
        </w:rPr>
        <w:t xml:space="preserve">– </w:t>
      </w:r>
      <w:r w:rsidR="00AD1ED2">
        <w:t>Investments expecting negative earnings, but resulting in a</w:t>
      </w:r>
      <w:r w:rsidR="00C16755" w:rsidRPr="00AD1ED2">
        <w:t xml:space="preserve"> tax refund or lower tax bill, achieved through the efforts of others, was a financial benefit – which constitutes a profit for the purpose</w:t>
      </w:r>
      <w:r w:rsidR="00AD1ED2" w:rsidRPr="00AD1ED2">
        <w:t xml:space="preserve"> of investment K.</w:t>
      </w:r>
      <w:r w:rsidR="00597CB8">
        <w:t xml:space="preserve"> </w:t>
      </w:r>
    </w:p>
    <w:p w:rsidR="00CF6432" w:rsidRDefault="00CF6432" w:rsidP="00FF0B61">
      <w:pPr>
        <w:pStyle w:val="ListParagraph"/>
        <w:spacing w:before="60" w:after="0"/>
        <w:ind w:right="-108"/>
      </w:pPr>
    </w:p>
    <w:tbl>
      <w:tblPr>
        <w:tblStyle w:val="TableGrid"/>
        <w:tblW w:w="0" w:type="auto"/>
        <w:tblLook w:val="04A0" w:firstRow="1" w:lastRow="0" w:firstColumn="1" w:lastColumn="0" w:noHBand="0" w:noVBand="1"/>
      </w:tblPr>
      <w:tblGrid>
        <w:gridCol w:w="10528"/>
      </w:tblGrid>
      <w:tr w:rsidR="00CF6432" w:rsidTr="008A3343">
        <w:tc>
          <w:tcPr>
            <w:tcW w:w="10528" w:type="dxa"/>
            <w:shd w:val="clear" w:color="auto" w:fill="F2F2F2" w:themeFill="background1" w:themeFillShade="F2"/>
          </w:tcPr>
          <w:p w:rsidR="00CF6432" w:rsidRPr="00763ED3" w:rsidRDefault="00CF6432" w:rsidP="00FF0B61">
            <w:pPr>
              <w:ind w:right="-108"/>
            </w:pPr>
            <w:r>
              <w:rPr>
                <w:b/>
              </w:rPr>
              <w:t>What has been found to be a</w:t>
            </w:r>
            <w:r w:rsidR="00E418C8">
              <w:rPr>
                <w:b/>
              </w:rPr>
              <w:t>n</w:t>
            </w:r>
            <w:r>
              <w:rPr>
                <w:b/>
              </w:rPr>
              <w:t xml:space="preserve"> Investment K: </w:t>
            </w:r>
            <w:r>
              <w:t>Units in a citrus Grove Development</w:t>
            </w:r>
            <w:r w:rsidR="004A4690">
              <w:t>, where investors were not from the area, not farms, stayed in guesthouse</w:t>
            </w:r>
            <w:r>
              <w:t xml:space="preserve"> (</w:t>
            </w:r>
            <w:r w:rsidRPr="00E418C8">
              <w:rPr>
                <w:b/>
                <w:i/>
                <w:color w:val="1006E0"/>
              </w:rPr>
              <w:t>Howey</w:t>
            </w:r>
            <w:r>
              <w:t xml:space="preserve">) </w:t>
            </w:r>
            <w:r>
              <w:rPr>
                <w:b/>
              </w:rPr>
              <w:t xml:space="preserve">// </w:t>
            </w:r>
            <w:r>
              <w:t>Retail store membership program (</w:t>
            </w:r>
            <w:r w:rsidRPr="00E418C8">
              <w:rPr>
                <w:b/>
                <w:i/>
                <w:color w:val="1006E0"/>
              </w:rPr>
              <w:t>Hawaii</w:t>
            </w:r>
            <w:r w:rsidRPr="00E418C8">
              <w:rPr>
                <w:b/>
                <w:color w:val="1006E0"/>
              </w:rPr>
              <w:t xml:space="preserve">) </w:t>
            </w:r>
            <w:r>
              <w:rPr>
                <w:b/>
              </w:rPr>
              <w:t xml:space="preserve">// </w:t>
            </w:r>
            <w:r w:rsidR="00763ED3">
              <w:t>Purchase of Silver Coins on Margin (</w:t>
            </w:r>
            <w:r w:rsidR="00763ED3" w:rsidRPr="00E418C8">
              <w:rPr>
                <w:b/>
                <w:i/>
                <w:color w:val="1006E0"/>
              </w:rPr>
              <w:t>Pacific</w:t>
            </w:r>
            <w:r w:rsidR="00763ED3">
              <w:rPr>
                <w:b/>
              </w:rPr>
              <w:t xml:space="preserve">) // </w:t>
            </w:r>
            <w:r w:rsidR="00763ED3">
              <w:t xml:space="preserve">Real Estate Ventures </w:t>
            </w:r>
            <w:r w:rsidR="00763ED3">
              <w:rPr>
                <w:b/>
              </w:rPr>
              <w:t xml:space="preserve">// </w:t>
            </w:r>
            <w:r w:rsidR="00763ED3">
              <w:t xml:space="preserve">Some franchise where the franchisor retains a huge degree of control relative to the franchisee. </w:t>
            </w:r>
          </w:p>
        </w:tc>
      </w:tr>
    </w:tbl>
    <w:p w:rsidR="00FE4283" w:rsidRDefault="00FE4283" w:rsidP="00FF0B61">
      <w:pPr>
        <w:spacing w:after="0" w:line="240" w:lineRule="auto"/>
        <w:rPr>
          <w:b/>
          <w:szCs w:val="18"/>
        </w:rPr>
      </w:pPr>
    </w:p>
    <w:p w:rsidR="00FE4283" w:rsidRPr="00A31A7D" w:rsidRDefault="00FE4283" w:rsidP="00FF0B61">
      <w:pPr>
        <w:spacing w:after="0" w:line="240" w:lineRule="auto"/>
      </w:pPr>
      <w:r w:rsidRPr="00490921">
        <w:rPr>
          <w:b/>
        </w:rPr>
        <w:t>COMMON ENTERPRISE TEST (</w:t>
      </w:r>
      <w:r w:rsidRPr="00490921">
        <w:rPr>
          <w:b/>
          <w:i/>
          <w:color w:val="1006E0"/>
        </w:rPr>
        <w:t>Howey</w:t>
      </w:r>
      <w:r w:rsidR="00731ECC">
        <w:rPr>
          <w:b/>
          <w:i/>
          <w:color w:val="1006E0"/>
        </w:rPr>
        <w:t xml:space="preserve"> </w:t>
      </w:r>
      <w:r w:rsidR="00CC10E6">
        <w:rPr>
          <w:i/>
        </w:rPr>
        <w:t>(citrus</w:t>
      </w:r>
      <w:r w:rsidR="00731ECC">
        <w:rPr>
          <w:i/>
        </w:rPr>
        <w:t xml:space="preserve"> grove in Florida)</w:t>
      </w:r>
      <w:r w:rsidR="00AF6321">
        <w:rPr>
          <w:b/>
          <w:i/>
          <w:color w:val="1006E0"/>
        </w:rPr>
        <w:t xml:space="preserve">, </w:t>
      </w:r>
      <w:r w:rsidR="00AF6321" w:rsidRPr="00AF6321">
        <w:t>cited in</w:t>
      </w:r>
      <w:r w:rsidR="00AF6321" w:rsidRPr="00AF6321">
        <w:rPr>
          <w:b/>
        </w:rPr>
        <w:t xml:space="preserve"> </w:t>
      </w:r>
      <w:r w:rsidR="00AF6321" w:rsidRPr="00AF6321">
        <w:rPr>
          <w:b/>
          <w:i/>
          <w:color w:val="1006E0"/>
        </w:rPr>
        <w:t>Pacific</w:t>
      </w:r>
      <w:r w:rsidR="00AF6321" w:rsidRPr="00AF6321">
        <w:rPr>
          <w:i/>
        </w:rPr>
        <w:t xml:space="preserve"> </w:t>
      </w:r>
      <w:r w:rsidR="00AF6321">
        <w:t xml:space="preserve">– </w:t>
      </w:r>
      <w:r w:rsidR="00AF6321">
        <w:rPr>
          <w:i/>
        </w:rPr>
        <w:t>criterion was met</w:t>
      </w:r>
      <w:r w:rsidRPr="00AF6321">
        <w:rPr>
          <w:b/>
        </w:rPr>
        <w:t>):</w:t>
      </w:r>
      <w:r w:rsidR="00A31A7D" w:rsidRPr="00AF6321">
        <w:rPr>
          <w:b/>
        </w:rPr>
        <w:t xml:space="preserve"> </w:t>
      </w:r>
    </w:p>
    <w:p w:rsidR="00FE4283" w:rsidRPr="004168E8" w:rsidRDefault="00FE4283" w:rsidP="00FF0B61">
      <w:pPr>
        <w:pStyle w:val="ListParagraph"/>
        <w:numPr>
          <w:ilvl w:val="0"/>
          <w:numId w:val="12"/>
        </w:numPr>
        <w:spacing w:after="0"/>
        <w:rPr>
          <w:b/>
        </w:rPr>
      </w:pPr>
      <w:r w:rsidRPr="004168E8">
        <w:t>There must be a “common enterprise”</w:t>
      </w:r>
      <w:r w:rsidR="00FE5D5F">
        <w:t xml:space="preserve"> </w:t>
      </w:r>
      <w:r w:rsidR="00422F1E">
        <w:t>(</w:t>
      </w:r>
      <w:r w:rsidR="00422F1E" w:rsidRPr="00FE5D5F">
        <w:rPr>
          <w:b/>
          <w:i/>
          <w:color w:val="1006E0"/>
        </w:rPr>
        <w:t>Pacific</w:t>
      </w:r>
      <w:r w:rsidR="00422F1E">
        <w:rPr>
          <w:b/>
          <w:i/>
        </w:rPr>
        <w:t xml:space="preserve"> – </w:t>
      </w:r>
      <w:r w:rsidR="00A07D3A">
        <w:rPr>
          <w:b/>
          <w:i/>
        </w:rPr>
        <w:t xml:space="preserve">Common enterprise found - </w:t>
      </w:r>
      <w:r w:rsidR="00422F1E">
        <w:rPr>
          <w:i/>
        </w:rPr>
        <w:t xml:space="preserve">must be commonality b/w investor and the promotor (vertical), need not be commonality b/w investors </w:t>
      </w:r>
      <w:r w:rsidR="00422F1E" w:rsidRPr="001E4B3B">
        <w:rPr>
          <w:i/>
        </w:rPr>
        <w:t>themselves</w:t>
      </w:r>
      <w:r w:rsidR="001E4B3B">
        <w:t xml:space="preserve"> </w:t>
      </w:r>
      <w:r w:rsidR="001E4B3B">
        <w:rPr>
          <w:i/>
        </w:rPr>
        <w:t>(horizontal)</w:t>
      </w:r>
      <w:r w:rsidR="00643503">
        <w:t>), in which</w:t>
      </w:r>
    </w:p>
    <w:p w:rsidR="00FE4283" w:rsidRPr="004168E8" w:rsidRDefault="00FE4283" w:rsidP="00FF0B61">
      <w:pPr>
        <w:pStyle w:val="ListParagraph"/>
        <w:numPr>
          <w:ilvl w:val="0"/>
          <w:numId w:val="12"/>
        </w:numPr>
        <w:spacing w:after="0"/>
        <w:rPr>
          <w:b/>
        </w:rPr>
      </w:pPr>
      <w:r w:rsidRPr="004168E8">
        <w:t xml:space="preserve">Profits will come solely from the efforts of people </w:t>
      </w:r>
      <w:r w:rsidRPr="00095F77">
        <w:rPr>
          <w:u w:val="single"/>
        </w:rPr>
        <w:t>other than the investors</w:t>
      </w:r>
      <w:r w:rsidRPr="004168E8">
        <w:t xml:space="preserve">. </w:t>
      </w:r>
    </w:p>
    <w:p w:rsidR="004168E8" w:rsidRPr="004168E8" w:rsidRDefault="004168E8" w:rsidP="00FF0B61">
      <w:pPr>
        <w:pStyle w:val="ListParagraph"/>
        <w:numPr>
          <w:ilvl w:val="1"/>
          <w:numId w:val="12"/>
        </w:numPr>
        <w:spacing w:after="0"/>
        <w:rPr>
          <w:b/>
        </w:rPr>
      </w:pPr>
      <w:r w:rsidRPr="004168E8">
        <w:rPr>
          <w:b/>
          <w:i/>
          <w:color w:val="1006E0"/>
        </w:rPr>
        <w:t>Pacific</w:t>
      </w:r>
      <w:r>
        <w:rPr>
          <w:b/>
          <w:i/>
        </w:rPr>
        <w:t xml:space="preserve"> </w:t>
      </w:r>
      <w:r>
        <w:t>adopted a “more realistic” formulation of the second part</w:t>
      </w:r>
      <w:r w:rsidR="00D6154A">
        <w:t xml:space="preserve">: Holding that it was necessary only that “the efforts made by those other than the investor are </w:t>
      </w:r>
      <w:r w:rsidR="00640A9C">
        <w:t xml:space="preserve">the undeniably </w:t>
      </w:r>
      <w:r w:rsidR="001A45FF">
        <w:t xml:space="preserve">significant ones” (read out the word “solely”). </w:t>
      </w:r>
      <w:r w:rsidR="00A31A7D">
        <w:t xml:space="preserve"> </w:t>
      </w:r>
    </w:p>
    <w:p w:rsidR="000C064A" w:rsidRPr="00386FF9" w:rsidRDefault="000C064A" w:rsidP="00FF0B61">
      <w:pPr>
        <w:pStyle w:val="ListParagraph"/>
        <w:spacing w:after="0"/>
        <w:rPr>
          <w:szCs w:val="18"/>
          <w:highlight w:val="yellow"/>
        </w:rPr>
      </w:pPr>
    </w:p>
    <w:p w:rsidR="00FE4283" w:rsidRPr="00EB28F2" w:rsidRDefault="00FE4283" w:rsidP="00FF0B61">
      <w:pPr>
        <w:spacing w:after="0" w:line="240" w:lineRule="auto"/>
      </w:pPr>
      <w:r w:rsidRPr="00EB28F2">
        <w:rPr>
          <w:b/>
        </w:rPr>
        <w:t xml:space="preserve">RISK CAPITAL TEST: </w:t>
      </w:r>
      <w:r w:rsidR="005B2083">
        <w:rPr>
          <w:b/>
          <w:i/>
          <w:color w:val="1006E0"/>
        </w:rPr>
        <w:t>Hawaii</w:t>
      </w:r>
      <w:r w:rsidR="005B2083">
        <w:t xml:space="preserve"> </w:t>
      </w:r>
      <w:r w:rsidR="005B2083" w:rsidRPr="0013767A">
        <w:rPr>
          <w:b/>
        </w:rPr>
        <w:t>e</w:t>
      </w:r>
      <w:r w:rsidRPr="0013767A">
        <w:rPr>
          <w:b/>
        </w:rPr>
        <w:t xml:space="preserve">xpands the </w:t>
      </w:r>
      <w:r w:rsidRPr="0013767A">
        <w:rPr>
          <w:b/>
          <w:i/>
          <w:color w:val="1006E0"/>
        </w:rPr>
        <w:t>Howey</w:t>
      </w:r>
      <w:r w:rsidRPr="0013767A">
        <w:rPr>
          <w:b/>
          <w:i/>
        </w:rPr>
        <w:t xml:space="preserve"> </w:t>
      </w:r>
      <w:r w:rsidRPr="0013767A">
        <w:rPr>
          <w:b/>
        </w:rPr>
        <w:t>test</w:t>
      </w:r>
      <w:r w:rsidRPr="00EB28F2">
        <w:t xml:space="preserve"> for the Existence of an investment K (</w:t>
      </w:r>
      <w:r w:rsidR="001F49C5">
        <w:rPr>
          <w:b/>
          <w:i/>
          <w:color w:val="1006E0"/>
        </w:rPr>
        <w:t>Hawaii</w:t>
      </w:r>
      <w:r w:rsidR="00436478" w:rsidRPr="00EB28F2">
        <w:rPr>
          <w:b/>
          <w:i/>
          <w:color w:val="1006E0"/>
        </w:rPr>
        <w:t xml:space="preserve">, </w:t>
      </w:r>
      <w:r w:rsidR="00436478" w:rsidRPr="00EB28F2">
        <w:t>discussed in</w:t>
      </w:r>
      <w:r w:rsidR="00436478" w:rsidRPr="00EB28F2">
        <w:rPr>
          <w:b/>
        </w:rPr>
        <w:t xml:space="preserve"> </w:t>
      </w:r>
      <w:r w:rsidR="00436478" w:rsidRPr="00EB28F2">
        <w:rPr>
          <w:b/>
          <w:i/>
          <w:color w:val="1006E0"/>
        </w:rPr>
        <w:t>Pacific</w:t>
      </w:r>
      <w:r w:rsidR="005B2083">
        <w:rPr>
          <w:b/>
          <w:i/>
          <w:color w:val="1006E0"/>
        </w:rPr>
        <w:t xml:space="preserve"> – </w:t>
      </w:r>
      <w:r w:rsidR="005B2083" w:rsidRPr="005B2083">
        <w:rPr>
          <w:i/>
        </w:rPr>
        <w:t>criterion met</w:t>
      </w:r>
      <w:r w:rsidRPr="00EB28F2">
        <w:rPr>
          <w:i/>
        </w:rPr>
        <w:t>)</w:t>
      </w:r>
      <w:r w:rsidRPr="00EB28F2">
        <w:t>:</w:t>
      </w:r>
    </w:p>
    <w:p w:rsidR="00FE4283" w:rsidRPr="00EB28F2" w:rsidRDefault="00FE4283" w:rsidP="00FF0B61">
      <w:pPr>
        <w:pStyle w:val="ListParagraph"/>
        <w:numPr>
          <w:ilvl w:val="0"/>
          <w:numId w:val="14"/>
        </w:numPr>
        <w:spacing w:after="0"/>
        <w:ind w:right="-108"/>
      </w:pPr>
      <w:r w:rsidRPr="00EB28F2">
        <w:rPr>
          <w:b/>
        </w:rPr>
        <w:t xml:space="preserve">An offeree furnishes </w:t>
      </w:r>
      <w:r w:rsidRPr="00EB28F2">
        <w:rPr>
          <w:b/>
          <w:u w:val="single"/>
        </w:rPr>
        <w:t>initial value</w:t>
      </w:r>
      <w:r w:rsidRPr="00EB28F2">
        <w:rPr>
          <w:b/>
        </w:rPr>
        <w:t xml:space="preserve"> to the offeror</w:t>
      </w:r>
      <w:r w:rsidRPr="00EB28F2">
        <w:t xml:space="preserve"> [</w:t>
      </w:r>
      <w:r w:rsidR="00865391" w:rsidRPr="00EB28F2">
        <w:rPr>
          <w:b/>
          <w:i/>
          <w:color w:val="1006E0"/>
        </w:rPr>
        <w:t xml:space="preserve">Hawaii </w:t>
      </w:r>
      <w:r w:rsidR="00865391" w:rsidRPr="00EB28F2">
        <w:rPr>
          <w:b/>
          <w:i/>
        </w:rPr>
        <w:t xml:space="preserve">- </w:t>
      </w:r>
      <w:r w:rsidRPr="00EB28F2">
        <w:rPr>
          <w:i/>
        </w:rPr>
        <w:t>members required to contribute $320 or $820 &gt; not simply a purchase of sewing machine, cookware, b/c these amounts far exceeded their wholesale value</w:t>
      </w:r>
      <w:r w:rsidRPr="00EB28F2">
        <w:t>];</w:t>
      </w:r>
    </w:p>
    <w:p w:rsidR="00FE4283" w:rsidRPr="00EB28F2" w:rsidRDefault="00FE4283" w:rsidP="00FF0B61">
      <w:pPr>
        <w:pStyle w:val="ListParagraph"/>
        <w:numPr>
          <w:ilvl w:val="0"/>
          <w:numId w:val="14"/>
        </w:numPr>
        <w:spacing w:before="60" w:after="0"/>
        <w:ind w:right="-108"/>
      </w:pPr>
      <w:r w:rsidRPr="00EB28F2">
        <w:rPr>
          <w:b/>
        </w:rPr>
        <w:t xml:space="preserve">A portion of this initial value is subject to the </w:t>
      </w:r>
      <w:r w:rsidRPr="00EB28F2">
        <w:rPr>
          <w:b/>
          <w:u w:val="single"/>
        </w:rPr>
        <w:t>risks of the enterprise</w:t>
      </w:r>
      <w:r w:rsidRPr="00EB28F2">
        <w:t xml:space="preserve"> [</w:t>
      </w:r>
      <w:r w:rsidR="00865391" w:rsidRPr="00EB28F2">
        <w:rPr>
          <w:b/>
          <w:i/>
          <w:color w:val="1006E0"/>
        </w:rPr>
        <w:t>Hawaii</w:t>
      </w:r>
      <w:r w:rsidR="00865391" w:rsidRPr="00EB28F2">
        <w:rPr>
          <w:i/>
        </w:rPr>
        <w:t xml:space="preserve"> - </w:t>
      </w:r>
      <w:r w:rsidRPr="00EB28F2">
        <w:rPr>
          <w:i/>
        </w:rPr>
        <w:t>members’ ability to recoup initial investment and earn income inextricably bound to success of the enterprise</w:t>
      </w:r>
      <w:r w:rsidR="00C93BAC" w:rsidRPr="00EB28F2">
        <w:rPr>
          <w:i/>
        </w:rPr>
        <w:t xml:space="preserve"> </w:t>
      </w:r>
      <w:r w:rsidR="00C93BAC" w:rsidRPr="00EB28F2">
        <w:rPr>
          <w:b/>
        </w:rPr>
        <w:t xml:space="preserve">// </w:t>
      </w:r>
      <w:r w:rsidR="00C93BAC" w:rsidRPr="00EB28F2">
        <w:rPr>
          <w:b/>
          <w:i/>
          <w:color w:val="1006E0"/>
        </w:rPr>
        <w:t>Pacific</w:t>
      </w:r>
      <w:r w:rsidR="00C93BAC" w:rsidRPr="00EB28F2">
        <w:rPr>
          <w:b/>
          <w:i/>
        </w:rPr>
        <w:t xml:space="preserve"> -</w:t>
      </w:r>
      <w:r w:rsidR="002E16E7" w:rsidRPr="00EB28F2">
        <w:rPr>
          <w:b/>
          <w:i/>
        </w:rPr>
        <w:t xml:space="preserve"> </w:t>
      </w:r>
      <w:r w:rsidR="002E16E7" w:rsidRPr="00EB28F2">
        <w:rPr>
          <w:i/>
        </w:rPr>
        <w:t>Investors are subject to the risk that PC goes insolvent. Insolvency risk is that PC is incompetent or cannot buy futures K’s at a rate that makes the business work</w:t>
      </w:r>
      <w:r w:rsidRPr="00EB28F2">
        <w:t>];</w:t>
      </w:r>
    </w:p>
    <w:p w:rsidR="00FE4283" w:rsidRPr="00EB28F2" w:rsidRDefault="00FE4283" w:rsidP="00FF0B61">
      <w:pPr>
        <w:pStyle w:val="ListParagraph"/>
        <w:numPr>
          <w:ilvl w:val="0"/>
          <w:numId w:val="14"/>
        </w:numPr>
        <w:spacing w:before="60" w:after="0"/>
        <w:ind w:right="-108"/>
      </w:pPr>
      <w:r w:rsidRPr="00EB28F2">
        <w:rPr>
          <w:b/>
        </w:rPr>
        <w:t xml:space="preserve">The furnishing of the initial value is induced by the offeror’s </w:t>
      </w:r>
      <w:r w:rsidRPr="00EB28F2">
        <w:rPr>
          <w:b/>
          <w:u w:val="single"/>
        </w:rPr>
        <w:t>promises or representations that the offeree will gain some benefit, over and above the initial value</w:t>
      </w:r>
      <w:r w:rsidRPr="00EB28F2">
        <w:rPr>
          <w:b/>
        </w:rPr>
        <w:t>, as a result of the enterprise’s operation</w:t>
      </w:r>
      <w:r w:rsidRPr="00EB28F2">
        <w:t xml:space="preserve"> [</w:t>
      </w:r>
      <w:r w:rsidR="00865391" w:rsidRPr="00EB28F2">
        <w:rPr>
          <w:b/>
          <w:i/>
          <w:color w:val="1006E0"/>
        </w:rPr>
        <w:t>Hawaii</w:t>
      </w:r>
      <w:r w:rsidR="00865391" w:rsidRPr="00EB28F2">
        <w:rPr>
          <w:i/>
        </w:rPr>
        <w:t xml:space="preserve"> - </w:t>
      </w:r>
      <w:r w:rsidRPr="00EB28F2">
        <w:rPr>
          <w:i/>
        </w:rPr>
        <w:t>members were promised “commissions”/fixed returns</w:t>
      </w:r>
      <w:r w:rsidRPr="00EB28F2">
        <w:t>]; and,</w:t>
      </w:r>
    </w:p>
    <w:p w:rsidR="00FE4283" w:rsidRPr="00EB28F2" w:rsidRDefault="00FE4283" w:rsidP="00FF0B61">
      <w:pPr>
        <w:pStyle w:val="ListParagraph"/>
        <w:numPr>
          <w:ilvl w:val="0"/>
          <w:numId w:val="14"/>
        </w:numPr>
        <w:spacing w:after="0"/>
        <w:ind w:right="-108"/>
      </w:pPr>
      <w:r w:rsidRPr="00EB28F2">
        <w:rPr>
          <w:b/>
        </w:rPr>
        <w:t>The offeree does not receive the right to exercise practical or actual control over the managerial decisions of the enterprise</w:t>
      </w:r>
      <w:r w:rsidRPr="00EB28F2">
        <w:t xml:space="preserve"> [</w:t>
      </w:r>
      <w:r w:rsidR="00865391" w:rsidRPr="00EB28F2">
        <w:rPr>
          <w:b/>
          <w:i/>
          <w:color w:val="1006E0"/>
        </w:rPr>
        <w:t>Hawaii</w:t>
      </w:r>
      <w:r w:rsidR="00865391" w:rsidRPr="00EB28F2">
        <w:rPr>
          <w:i/>
        </w:rPr>
        <w:t xml:space="preserve"> - </w:t>
      </w:r>
      <w:r w:rsidRPr="00EB28F2">
        <w:rPr>
          <w:i/>
        </w:rPr>
        <w:t>members arguably participated in a minor way in operating the enterprise, but Court focused on the “quality” of participation, not the “quantity</w:t>
      </w:r>
      <w:r w:rsidRPr="00EB28F2">
        <w:t xml:space="preserve">]. </w:t>
      </w:r>
    </w:p>
    <w:p w:rsidR="00873B53" w:rsidRDefault="00873B53" w:rsidP="00FF0B61">
      <w:pPr>
        <w:spacing w:after="0" w:line="240" w:lineRule="auto"/>
        <w:rPr>
          <w:b/>
          <w:szCs w:val="18"/>
        </w:rPr>
      </w:pPr>
    </w:p>
    <w:p w:rsidR="00711D47" w:rsidRPr="006E587B" w:rsidRDefault="003B0812" w:rsidP="00FF0B61">
      <w:pPr>
        <w:spacing w:after="0" w:line="240" w:lineRule="auto"/>
        <w:rPr>
          <w:szCs w:val="18"/>
        </w:rPr>
      </w:pPr>
      <w:r w:rsidRPr="00952ED9">
        <w:rPr>
          <w:b/>
          <w:szCs w:val="18"/>
        </w:rPr>
        <w:t>Distinguish</w:t>
      </w:r>
      <w:r w:rsidR="00991226" w:rsidRPr="00952ED9">
        <w:rPr>
          <w:b/>
          <w:szCs w:val="18"/>
        </w:rPr>
        <w:t>:</w:t>
      </w:r>
      <w:r w:rsidR="00711D47" w:rsidRPr="00952ED9">
        <w:rPr>
          <w:szCs w:val="18"/>
        </w:rPr>
        <w:t xml:space="preserve"> </w:t>
      </w:r>
      <w:r w:rsidR="00A21C63">
        <w:rPr>
          <w:b/>
          <w:i/>
          <w:color w:val="1006E0"/>
          <w:szCs w:val="18"/>
        </w:rPr>
        <w:t>Pacific</w:t>
      </w:r>
      <w:r w:rsidR="00711D47" w:rsidRPr="00952ED9">
        <w:rPr>
          <w:b/>
          <w:i/>
          <w:color w:val="1006E0"/>
          <w:szCs w:val="18"/>
        </w:rPr>
        <w:t xml:space="preserve"> </w:t>
      </w:r>
      <w:r w:rsidR="00711D47" w:rsidRPr="00952ED9">
        <w:rPr>
          <w:szCs w:val="18"/>
        </w:rPr>
        <w:t xml:space="preserve">with </w:t>
      </w:r>
      <w:r w:rsidR="006E587B" w:rsidRPr="00952ED9">
        <w:rPr>
          <w:b/>
          <w:i/>
          <w:color w:val="1006E0"/>
          <w:szCs w:val="18"/>
        </w:rPr>
        <w:t xml:space="preserve">Lazerman </w:t>
      </w:r>
      <w:r w:rsidR="006E587B" w:rsidRPr="00952ED9">
        <w:rPr>
          <w:szCs w:val="18"/>
        </w:rPr>
        <w:t>(this</w:t>
      </w:r>
      <w:r w:rsidR="006E587B" w:rsidRPr="00DE644F">
        <w:rPr>
          <w:szCs w:val="18"/>
        </w:rPr>
        <w:t xml:space="preserve"> decision seems to “back-peddle” from </w:t>
      </w:r>
      <w:r w:rsidR="006E587B" w:rsidRPr="006E587B">
        <w:rPr>
          <w:b/>
          <w:i/>
          <w:color w:val="1006E0"/>
          <w:szCs w:val="18"/>
        </w:rPr>
        <w:t>Pacific</w:t>
      </w:r>
      <w:r w:rsidR="00964A1C">
        <w:rPr>
          <w:b/>
          <w:i/>
          <w:color w:val="1006E0"/>
          <w:szCs w:val="18"/>
        </w:rPr>
        <w:t xml:space="preserve"> </w:t>
      </w:r>
      <w:r w:rsidR="00964A1C" w:rsidRPr="00964A1C">
        <w:rPr>
          <w:szCs w:val="18"/>
        </w:rPr>
        <w:t>and is likely a “better” decisio</w:t>
      </w:r>
      <w:r w:rsidR="00964A1C" w:rsidRPr="00CF5AAC">
        <w:rPr>
          <w:szCs w:val="18"/>
        </w:rPr>
        <w:t>n</w:t>
      </w:r>
      <w:r w:rsidR="006E587B" w:rsidRPr="00CF5AAC">
        <w:rPr>
          <w:b/>
          <w:szCs w:val="18"/>
        </w:rPr>
        <w:t>).</w:t>
      </w:r>
    </w:p>
    <w:p w:rsidR="008C1A04" w:rsidRDefault="008C1A04" w:rsidP="00FF0B61">
      <w:pPr>
        <w:pStyle w:val="ListParagraph"/>
        <w:numPr>
          <w:ilvl w:val="0"/>
          <w:numId w:val="16"/>
        </w:numPr>
        <w:spacing w:after="60"/>
        <w:ind w:right="-108"/>
      </w:pPr>
      <w:r>
        <w:t>I</w:t>
      </w:r>
      <w:r w:rsidRPr="003120AC">
        <w:t xml:space="preserve">n </w:t>
      </w:r>
      <w:r w:rsidRPr="00F3691C">
        <w:rPr>
          <w:b/>
          <w:i/>
          <w:color w:val="1006E0"/>
        </w:rPr>
        <w:t>Lazerman,</w:t>
      </w:r>
      <w:r w:rsidRPr="00F3691C">
        <w:rPr>
          <w:color w:val="1006E0"/>
        </w:rPr>
        <w:t xml:space="preserve"> </w:t>
      </w:r>
      <w:r w:rsidR="00991ACA">
        <w:t>the BCCA found that the K’</w:t>
      </w:r>
      <w:r w:rsidRPr="003120AC">
        <w:t xml:space="preserve">s </w:t>
      </w:r>
      <w:r w:rsidRPr="004B5FED">
        <w:rPr>
          <w:b/>
          <w:i/>
          <w:u w:val="single"/>
        </w:rPr>
        <w:t>were not investment contracts</w:t>
      </w:r>
      <w:r w:rsidRPr="003120AC">
        <w:t xml:space="preserve"> (factual distinctions from Pacific: silver bars instead of silver coins</w:t>
      </w:r>
      <w:r>
        <w:t xml:space="preserve"> (there is a mrkt for bars not coins)</w:t>
      </w:r>
      <w:r w:rsidRPr="003120AC">
        <w:t xml:space="preserve"> and Lazerman segregated purchasers’ funds instead of </w:t>
      </w:r>
      <w:r w:rsidRPr="004B5FED">
        <w:rPr>
          <w:b/>
        </w:rPr>
        <w:t>commingling with its own</w:t>
      </w:r>
      <w:r w:rsidRPr="003120AC">
        <w:t xml:space="preserve">). The purchasers’ profits did not depend on Lazerman’s actions; they depended </w:t>
      </w:r>
      <w:r w:rsidRPr="004B5FED">
        <w:rPr>
          <w:u w:val="single"/>
        </w:rPr>
        <w:t>on the market price of silver</w:t>
      </w:r>
      <w:r w:rsidRPr="003120AC">
        <w:t xml:space="preserve">. </w:t>
      </w:r>
      <w:r w:rsidRPr="004B5FED">
        <w:rPr>
          <w:b/>
        </w:rPr>
        <w:t>Segregating the funds meant that there was no sharing of each other’s profits or losses and were not engaged in a common enterprise.</w:t>
      </w:r>
      <w:r w:rsidRPr="003120AC">
        <w:t xml:space="preserve"> </w:t>
      </w:r>
    </w:p>
    <w:p w:rsidR="00905769" w:rsidRPr="00614B43" w:rsidRDefault="00071496" w:rsidP="00FF0B61">
      <w:pPr>
        <w:spacing w:line="240" w:lineRule="auto"/>
        <w:rPr>
          <w:b/>
        </w:rPr>
      </w:pPr>
      <w:r>
        <w:rPr>
          <w:b/>
        </w:rPr>
        <w:t>[</w:t>
      </w:r>
      <w:r w:rsidR="00905769" w:rsidRPr="00614B43">
        <w:rPr>
          <w:b/>
        </w:rPr>
        <w:t>6] Others (not important for us): (e), (h-k, m</w:t>
      </w:r>
      <w:r w:rsidR="007603AA" w:rsidRPr="00614B43">
        <w:rPr>
          <w:b/>
        </w:rPr>
        <w:t xml:space="preserve">-o), </w:t>
      </w:r>
    </w:p>
    <w:p w:rsidR="007849AF" w:rsidRDefault="00AA6ADE" w:rsidP="00FF0B61">
      <w:pPr>
        <w:pStyle w:val="Heading2"/>
        <w:spacing w:line="240" w:lineRule="auto"/>
      </w:pPr>
      <w:bookmarkStart w:id="6" w:name="_Toc468980392"/>
      <w:r>
        <w:t>DEFINITION: “Trade”</w:t>
      </w:r>
      <w:r w:rsidR="00657907">
        <w:t xml:space="preserve"> </w:t>
      </w:r>
      <w:r w:rsidR="00657907" w:rsidRPr="00D434CB">
        <w:rPr>
          <w:szCs w:val="20"/>
        </w:rPr>
        <w:t>(</w:t>
      </w:r>
      <w:r w:rsidR="00657907" w:rsidRPr="00D434CB">
        <w:rPr>
          <w:color w:val="C45911"/>
          <w:szCs w:val="20"/>
        </w:rPr>
        <w:t>BCSA,</w:t>
      </w:r>
      <w:r w:rsidR="00657907" w:rsidRPr="00D434CB">
        <w:rPr>
          <w:i/>
          <w:color w:val="C45911"/>
          <w:szCs w:val="20"/>
        </w:rPr>
        <w:t xml:space="preserve"> </w:t>
      </w:r>
      <w:r w:rsidR="00657907" w:rsidRPr="00D434CB">
        <w:rPr>
          <w:color w:val="C45911"/>
          <w:szCs w:val="20"/>
        </w:rPr>
        <w:t>s.1</w:t>
      </w:r>
      <w:r w:rsidR="00657907">
        <w:rPr>
          <w:color w:val="C45911"/>
          <w:szCs w:val="20"/>
        </w:rPr>
        <w:t>(1)</w:t>
      </w:r>
      <w:r w:rsidR="00657907" w:rsidRPr="00D434CB">
        <w:rPr>
          <w:szCs w:val="20"/>
        </w:rPr>
        <w:t>):</w:t>
      </w:r>
      <w:bookmarkEnd w:id="6"/>
    </w:p>
    <w:p w:rsidR="001F6165" w:rsidRPr="001F6165" w:rsidRDefault="001F6165" w:rsidP="00FF0B61">
      <w:pPr>
        <w:spacing w:after="0" w:line="240" w:lineRule="auto"/>
        <w:rPr>
          <w:szCs w:val="20"/>
        </w:rPr>
      </w:pPr>
      <w:bookmarkStart w:id="7" w:name="d2e1900"/>
      <w:bookmarkEnd w:id="7"/>
      <w:r w:rsidRPr="00133ED7">
        <w:rPr>
          <w:b/>
          <w:szCs w:val="20"/>
        </w:rPr>
        <w:t>Whether or not transaction qualifies as a “trade” determines whether that transaction is subject to securities reg.</w:t>
      </w:r>
      <w:r w:rsidRPr="001F6165">
        <w:rPr>
          <w:szCs w:val="20"/>
        </w:rPr>
        <w:t xml:space="preserve"> </w:t>
      </w:r>
      <w:r w:rsidRPr="001F6165">
        <w:rPr>
          <w:b/>
          <w:szCs w:val="20"/>
        </w:rPr>
        <w:t xml:space="preserve">Under </w:t>
      </w:r>
      <w:r w:rsidRPr="00C83FB0">
        <w:rPr>
          <w:b/>
          <w:color w:val="C45911" w:themeColor="accent2" w:themeShade="BF"/>
          <w:szCs w:val="20"/>
        </w:rPr>
        <w:t xml:space="preserve">s. 34 </w:t>
      </w:r>
      <w:r w:rsidRPr="001F6165">
        <w:rPr>
          <w:b/>
          <w:szCs w:val="20"/>
        </w:rPr>
        <w:t xml:space="preserve">of the BCSA and </w:t>
      </w:r>
      <w:r w:rsidRPr="00C83FB0">
        <w:rPr>
          <w:b/>
          <w:color w:val="7030A0"/>
          <w:szCs w:val="20"/>
        </w:rPr>
        <w:t>NI 31-103</w:t>
      </w:r>
      <w:r w:rsidRPr="001F6165">
        <w:rPr>
          <w:b/>
          <w:szCs w:val="20"/>
        </w:rPr>
        <w:t>, a “trade” triggers the requirement that a registered dealer be involved in the transaction, unless an exemption applies.</w:t>
      </w:r>
      <w:r w:rsidRPr="001F6165">
        <w:rPr>
          <w:szCs w:val="20"/>
        </w:rPr>
        <w:t xml:space="preserve">  </w:t>
      </w:r>
    </w:p>
    <w:p w:rsidR="00E03CE4" w:rsidRPr="00C83FB0" w:rsidRDefault="00AB588A" w:rsidP="00FF0B61">
      <w:pPr>
        <w:pStyle w:val="NoSpacing"/>
        <w:numPr>
          <w:ilvl w:val="0"/>
          <w:numId w:val="171"/>
        </w:numPr>
        <w:rPr>
          <w:rFonts w:asciiTheme="minorHAnsi" w:hAnsiTheme="minorHAnsi" w:cs="Arial"/>
          <w:sz w:val="18"/>
          <w:szCs w:val="18"/>
        </w:rPr>
      </w:pPr>
      <w:r>
        <w:rPr>
          <w:rFonts w:asciiTheme="minorHAnsi" w:hAnsiTheme="minorHAnsi"/>
          <w:b/>
          <w:sz w:val="18"/>
          <w:szCs w:val="18"/>
        </w:rPr>
        <w:t xml:space="preserve">NB: </w:t>
      </w:r>
      <w:r w:rsidRPr="00AB588A">
        <w:rPr>
          <w:rFonts w:asciiTheme="minorHAnsi" w:hAnsiTheme="minorHAnsi"/>
          <w:b/>
          <w:color w:val="C45911" w:themeColor="accent2" w:themeShade="BF"/>
          <w:sz w:val="18"/>
          <w:szCs w:val="18"/>
        </w:rPr>
        <w:t xml:space="preserve">BCSA </w:t>
      </w:r>
      <w:r w:rsidRPr="00AB588A">
        <w:rPr>
          <w:rFonts w:asciiTheme="minorHAnsi" w:hAnsiTheme="minorHAnsi" w:cs="Arial"/>
          <w:b/>
          <w:color w:val="C45911" w:themeColor="accent2" w:themeShade="BF"/>
          <w:sz w:val="18"/>
          <w:szCs w:val="18"/>
        </w:rPr>
        <w:t>34:</w:t>
      </w:r>
      <w:r w:rsidRPr="00AB588A">
        <w:rPr>
          <w:rFonts w:asciiTheme="minorHAnsi" w:hAnsiTheme="minorHAnsi" w:cs="Arial"/>
          <w:color w:val="C45911" w:themeColor="accent2" w:themeShade="BF"/>
          <w:sz w:val="18"/>
          <w:szCs w:val="18"/>
        </w:rPr>
        <w:t xml:space="preserve"> </w:t>
      </w:r>
      <w:r w:rsidRPr="00AB588A">
        <w:rPr>
          <w:rFonts w:asciiTheme="minorHAnsi" w:hAnsiTheme="minorHAnsi" w:cs="Arial"/>
          <w:sz w:val="18"/>
          <w:szCs w:val="18"/>
        </w:rPr>
        <w:t xml:space="preserve">A person must not </w:t>
      </w:r>
      <w:r w:rsidRPr="00AB588A">
        <w:rPr>
          <w:rFonts w:asciiTheme="minorHAnsi" w:hAnsiTheme="minorHAnsi" w:cs="Arial"/>
          <w:b/>
          <w:sz w:val="18"/>
          <w:szCs w:val="18"/>
        </w:rPr>
        <w:t>(a)</w:t>
      </w:r>
      <w:r w:rsidRPr="00AB588A">
        <w:rPr>
          <w:rFonts w:asciiTheme="minorHAnsi" w:hAnsiTheme="minorHAnsi" w:cs="Arial"/>
          <w:sz w:val="18"/>
          <w:szCs w:val="18"/>
        </w:rPr>
        <w:t xml:space="preserve"> trade in</w:t>
      </w:r>
      <w:r w:rsidR="001659EE">
        <w:rPr>
          <w:rFonts w:asciiTheme="minorHAnsi" w:hAnsiTheme="minorHAnsi" w:cs="Arial"/>
          <w:sz w:val="18"/>
          <w:szCs w:val="18"/>
        </w:rPr>
        <w:t xml:space="preserve"> a security or exchange K</w:t>
      </w:r>
      <w:r w:rsidRPr="00AB588A">
        <w:rPr>
          <w:rFonts w:asciiTheme="minorHAnsi" w:hAnsiTheme="minorHAnsi" w:cs="Arial"/>
          <w:sz w:val="18"/>
          <w:szCs w:val="18"/>
        </w:rPr>
        <w:t xml:space="preserve">, </w:t>
      </w:r>
      <w:r w:rsidRPr="00AB588A">
        <w:rPr>
          <w:rFonts w:asciiTheme="minorHAnsi" w:hAnsiTheme="minorHAnsi" w:cs="Arial"/>
          <w:b/>
          <w:sz w:val="18"/>
          <w:szCs w:val="18"/>
        </w:rPr>
        <w:t>(b)</w:t>
      </w:r>
      <w:r w:rsidRPr="00AB588A">
        <w:rPr>
          <w:rFonts w:asciiTheme="minorHAnsi" w:hAnsiTheme="minorHAnsi" w:cs="Arial"/>
          <w:sz w:val="18"/>
          <w:szCs w:val="18"/>
        </w:rPr>
        <w:t xml:space="preserve"> act as an adviser, </w:t>
      </w:r>
      <w:r w:rsidRPr="00AB588A">
        <w:rPr>
          <w:rFonts w:asciiTheme="minorHAnsi" w:hAnsiTheme="minorHAnsi" w:cs="Arial"/>
          <w:b/>
          <w:sz w:val="18"/>
          <w:szCs w:val="18"/>
        </w:rPr>
        <w:t>(c)</w:t>
      </w:r>
      <w:r w:rsidRPr="00AB588A">
        <w:rPr>
          <w:rFonts w:asciiTheme="minorHAnsi" w:hAnsiTheme="minorHAnsi" w:cs="Arial"/>
          <w:sz w:val="18"/>
          <w:szCs w:val="18"/>
        </w:rPr>
        <w:t xml:space="preserve"> act as an investment fund manager, or </w:t>
      </w:r>
      <w:r w:rsidRPr="00AB588A">
        <w:rPr>
          <w:rFonts w:asciiTheme="minorHAnsi" w:hAnsiTheme="minorHAnsi" w:cs="Arial"/>
          <w:b/>
          <w:sz w:val="18"/>
          <w:szCs w:val="18"/>
        </w:rPr>
        <w:t>(d)</w:t>
      </w:r>
      <w:r w:rsidR="005F351D">
        <w:rPr>
          <w:rFonts w:asciiTheme="minorHAnsi" w:hAnsiTheme="minorHAnsi" w:cs="Arial"/>
          <w:sz w:val="18"/>
          <w:szCs w:val="18"/>
        </w:rPr>
        <w:t xml:space="preserve"> act as an UW</w:t>
      </w:r>
      <w:r w:rsidRPr="00AB588A">
        <w:rPr>
          <w:rFonts w:asciiTheme="minorHAnsi" w:hAnsiTheme="minorHAnsi" w:cs="Arial"/>
          <w:sz w:val="18"/>
          <w:szCs w:val="18"/>
        </w:rPr>
        <w:t>, unless the person is registered in accordance with the regulations and in the category prescribed for the purpose of the activity.</w:t>
      </w:r>
      <w:r w:rsidR="00E03CE4" w:rsidRPr="00C83FB0">
        <w:rPr>
          <w:rFonts w:asciiTheme="minorHAnsi" w:hAnsiTheme="minorHAnsi" w:cs="Arial"/>
          <w:sz w:val="18"/>
          <w:szCs w:val="21"/>
        </w:rPr>
        <w:t xml:space="preserve"> </w:t>
      </w:r>
    </w:p>
    <w:p w:rsidR="00AB588A" w:rsidRPr="00AB588A" w:rsidRDefault="00AB588A" w:rsidP="00FF0B61">
      <w:pPr>
        <w:pStyle w:val="para"/>
        <w:spacing w:before="0" w:beforeAutospacing="0" w:after="0" w:afterAutospacing="0"/>
        <w:rPr>
          <w:rFonts w:asciiTheme="minorHAnsi" w:hAnsiTheme="minorHAnsi"/>
          <w:b/>
          <w:sz w:val="18"/>
          <w:szCs w:val="20"/>
        </w:rPr>
      </w:pPr>
    </w:p>
    <w:p w:rsidR="007C5EBF" w:rsidRDefault="007C5EBF" w:rsidP="00FF0B61">
      <w:pPr>
        <w:pStyle w:val="para"/>
        <w:spacing w:before="0" w:beforeAutospacing="0" w:after="0" w:afterAutospacing="0"/>
        <w:rPr>
          <w:rFonts w:asciiTheme="minorHAnsi" w:hAnsiTheme="minorHAnsi"/>
          <w:b/>
          <w:color w:val="C45911"/>
          <w:sz w:val="18"/>
          <w:szCs w:val="20"/>
        </w:rPr>
      </w:pPr>
      <w:r w:rsidRPr="00BE469B">
        <w:rPr>
          <w:rFonts w:asciiTheme="minorHAnsi" w:hAnsiTheme="minorHAnsi"/>
          <w:b/>
          <w:sz w:val="18"/>
          <w:szCs w:val="20"/>
        </w:rPr>
        <w:t>[a]</w:t>
      </w:r>
      <w:r w:rsidRPr="00BE469B">
        <w:rPr>
          <w:rFonts w:asciiTheme="minorHAnsi" w:hAnsiTheme="minorHAnsi"/>
          <w:sz w:val="18"/>
          <w:szCs w:val="20"/>
        </w:rPr>
        <w:t xml:space="preserve"> a </w:t>
      </w:r>
      <w:r w:rsidRPr="00B51E54">
        <w:rPr>
          <w:rFonts w:asciiTheme="minorHAnsi" w:hAnsiTheme="minorHAnsi"/>
          <w:b/>
          <w:sz w:val="18"/>
          <w:szCs w:val="20"/>
        </w:rPr>
        <w:t>disposition</w:t>
      </w:r>
      <w:r w:rsidRPr="00B51E54">
        <w:rPr>
          <w:rFonts w:asciiTheme="minorHAnsi" w:hAnsiTheme="minorHAnsi"/>
          <w:sz w:val="18"/>
          <w:szCs w:val="20"/>
        </w:rPr>
        <w:t xml:space="preserve"> </w:t>
      </w:r>
      <w:r w:rsidRPr="00BE469B">
        <w:rPr>
          <w:rFonts w:asciiTheme="minorHAnsi" w:hAnsiTheme="minorHAnsi"/>
          <w:sz w:val="18"/>
          <w:szCs w:val="20"/>
        </w:rPr>
        <w:t>(i.</w:t>
      </w:r>
      <w:r w:rsidRPr="00BE469B">
        <w:rPr>
          <w:rFonts w:asciiTheme="minorHAnsi" w:hAnsiTheme="minorHAnsi"/>
          <w:i/>
          <w:sz w:val="18"/>
          <w:szCs w:val="20"/>
        </w:rPr>
        <w:t>e. sell – a trade does not include a purchase</w:t>
      </w:r>
      <w:r w:rsidRPr="00BE469B">
        <w:rPr>
          <w:rFonts w:asciiTheme="minorHAnsi" w:hAnsiTheme="minorHAnsi"/>
          <w:sz w:val="18"/>
          <w:szCs w:val="20"/>
        </w:rPr>
        <w:t>;</w:t>
      </w:r>
      <w:r w:rsidRPr="00BE469B">
        <w:rPr>
          <w:rFonts w:asciiTheme="minorHAnsi" w:hAnsiTheme="minorHAnsi"/>
          <w:b/>
          <w:sz w:val="18"/>
          <w:szCs w:val="20"/>
        </w:rPr>
        <w:t xml:space="preserve"> </w:t>
      </w:r>
      <w:r w:rsidRPr="00BE469B">
        <w:rPr>
          <w:rFonts w:asciiTheme="minorHAnsi" w:hAnsiTheme="minorHAnsi"/>
          <w:i/>
          <w:sz w:val="18"/>
          <w:szCs w:val="20"/>
        </w:rPr>
        <w:t>Focus on the seller (e.g. Pacific Coast</w:t>
      </w:r>
      <w:r w:rsidR="002F1D3B">
        <w:rPr>
          <w:rFonts w:asciiTheme="minorHAnsi" w:hAnsiTheme="minorHAnsi"/>
          <w:i/>
          <w:sz w:val="18"/>
          <w:szCs w:val="20"/>
        </w:rPr>
        <w:t xml:space="preserve"> co.</w:t>
      </w:r>
      <w:r w:rsidRPr="00BE469B">
        <w:rPr>
          <w:rFonts w:asciiTheme="minorHAnsi" w:hAnsiTheme="minorHAnsi"/>
          <w:i/>
          <w:sz w:val="18"/>
          <w:szCs w:val="20"/>
        </w:rPr>
        <w:t>))</w:t>
      </w:r>
      <w:r w:rsidRPr="00BE469B">
        <w:rPr>
          <w:rFonts w:asciiTheme="minorHAnsi" w:hAnsiTheme="minorHAnsi"/>
          <w:sz w:val="18"/>
          <w:szCs w:val="20"/>
        </w:rPr>
        <w:t xml:space="preserve"> </w:t>
      </w:r>
      <w:r w:rsidRPr="00632C81">
        <w:rPr>
          <w:rFonts w:asciiTheme="minorHAnsi" w:hAnsiTheme="minorHAnsi"/>
          <w:b/>
          <w:sz w:val="18"/>
          <w:szCs w:val="20"/>
        </w:rPr>
        <w:t>of a security for valuable consideration</w:t>
      </w:r>
      <w:r w:rsidRPr="00BE469B">
        <w:rPr>
          <w:rFonts w:asciiTheme="minorHAnsi" w:hAnsiTheme="minorHAnsi"/>
          <w:sz w:val="18"/>
          <w:szCs w:val="20"/>
        </w:rPr>
        <w:t xml:space="preserve"> (</w:t>
      </w:r>
      <w:r w:rsidRPr="00BE469B">
        <w:rPr>
          <w:rFonts w:asciiTheme="minorHAnsi" w:hAnsiTheme="minorHAnsi"/>
          <w:i/>
          <w:sz w:val="18"/>
          <w:szCs w:val="20"/>
        </w:rPr>
        <w:t xml:space="preserve">no </w:t>
      </w:r>
      <w:r w:rsidR="008061EE">
        <w:rPr>
          <w:rFonts w:asciiTheme="minorHAnsi" w:hAnsiTheme="minorHAnsi"/>
          <w:i/>
          <w:sz w:val="18"/>
          <w:szCs w:val="20"/>
        </w:rPr>
        <w:t>“</w:t>
      </w:r>
      <w:r w:rsidRPr="00BE469B">
        <w:rPr>
          <w:rFonts w:asciiTheme="minorHAnsi" w:hAnsiTheme="minorHAnsi"/>
          <w:i/>
          <w:sz w:val="18"/>
          <w:szCs w:val="20"/>
        </w:rPr>
        <w:t>other ppls money</w:t>
      </w:r>
      <w:r w:rsidR="008061EE">
        <w:rPr>
          <w:rFonts w:asciiTheme="minorHAnsi" w:hAnsiTheme="minorHAnsi"/>
          <w:i/>
          <w:sz w:val="18"/>
          <w:szCs w:val="20"/>
        </w:rPr>
        <w:t>”</w:t>
      </w:r>
      <w:r w:rsidRPr="00BE469B">
        <w:rPr>
          <w:rFonts w:asciiTheme="minorHAnsi" w:hAnsiTheme="minorHAnsi"/>
          <w:i/>
          <w:sz w:val="18"/>
          <w:szCs w:val="20"/>
        </w:rPr>
        <w:t xml:space="preserve"> issue if not</w:t>
      </w:r>
      <w:r w:rsidRPr="00BE469B">
        <w:rPr>
          <w:rFonts w:asciiTheme="minorHAnsi" w:hAnsiTheme="minorHAnsi"/>
          <w:sz w:val="18"/>
          <w:szCs w:val="20"/>
        </w:rPr>
        <w:t xml:space="preserve">) whether the terms of payment be on margin, installment or otherwise, </w:t>
      </w:r>
      <w:r w:rsidRPr="00430705">
        <w:rPr>
          <w:rFonts w:asciiTheme="minorHAnsi" w:hAnsiTheme="minorHAnsi"/>
          <w:sz w:val="18"/>
          <w:szCs w:val="20"/>
          <w:u w:val="single"/>
        </w:rPr>
        <w:t>but does not include</w:t>
      </w:r>
      <w:r w:rsidRPr="00BE469B">
        <w:rPr>
          <w:rFonts w:asciiTheme="minorHAnsi" w:hAnsiTheme="minorHAnsi"/>
          <w:sz w:val="18"/>
          <w:szCs w:val="20"/>
        </w:rPr>
        <w:t xml:space="preserve"> a purchase of a security or a transfer, pledge, mortgage or other encumbrance of a security for the purpose o</w:t>
      </w:r>
      <w:r w:rsidR="008F2B4B" w:rsidRPr="00BE469B">
        <w:rPr>
          <w:rFonts w:asciiTheme="minorHAnsi" w:hAnsiTheme="minorHAnsi"/>
          <w:sz w:val="18"/>
          <w:szCs w:val="20"/>
        </w:rPr>
        <w:t>f giving collateral for a debt (</w:t>
      </w:r>
      <w:r w:rsidR="008F2B4B" w:rsidRPr="00BE469B">
        <w:rPr>
          <w:rFonts w:asciiTheme="minorHAnsi" w:hAnsiTheme="minorHAnsi"/>
          <w:b/>
          <w:color w:val="C45911"/>
          <w:sz w:val="18"/>
          <w:szCs w:val="20"/>
        </w:rPr>
        <w:t xml:space="preserve">(a)). </w:t>
      </w:r>
    </w:p>
    <w:p w:rsidR="00904C90" w:rsidRPr="003120AC" w:rsidRDefault="00D709F7" w:rsidP="00FF0B61">
      <w:pPr>
        <w:pStyle w:val="ListParagraph"/>
        <w:numPr>
          <w:ilvl w:val="0"/>
          <w:numId w:val="13"/>
        </w:numPr>
      </w:pPr>
      <w:r w:rsidRPr="00D709F7">
        <w:rPr>
          <w:b/>
        </w:rPr>
        <w:t>Focus is on SELLING</w:t>
      </w:r>
      <w:r w:rsidRPr="003120AC">
        <w:t xml:space="preserve">, </w:t>
      </w:r>
      <w:r w:rsidR="00105B55">
        <w:t>it is a trade to sell a security but not a trade to buy a security</w:t>
      </w:r>
      <w:r>
        <w:t xml:space="preserve"> (</w:t>
      </w:r>
      <w:r w:rsidR="00CB319F">
        <w:rPr>
          <w:b/>
          <w:i/>
          <w:color w:val="1006E0"/>
        </w:rPr>
        <w:t xml:space="preserve">Hennig – </w:t>
      </w:r>
      <w:r w:rsidR="00CB319F">
        <w:rPr>
          <w:i/>
        </w:rPr>
        <w:t xml:space="preserve">Option exercise, from Hennig’s viewpoint, was effectively a purchase and, therefore, not a </w:t>
      </w:r>
      <w:r w:rsidR="00CB319F" w:rsidRPr="004206D6">
        <w:rPr>
          <w:i/>
        </w:rPr>
        <w:t>trade</w:t>
      </w:r>
      <w:r w:rsidR="00904C90" w:rsidRPr="004206D6">
        <w:t>)</w:t>
      </w:r>
    </w:p>
    <w:p w:rsidR="005470A4" w:rsidRPr="00D709F7" w:rsidRDefault="00D709F7" w:rsidP="00FF0B61">
      <w:pPr>
        <w:pStyle w:val="ListParagraph"/>
        <w:numPr>
          <w:ilvl w:val="0"/>
          <w:numId w:val="13"/>
        </w:numPr>
      </w:pPr>
      <w:r w:rsidRPr="003120AC">
        <w:t xml:space="preserve">Must be a disposition for </w:t>
      </w:r>
      <w:r>
        <w:rPr>
          <w:b/>
          <w:i/>
        </w:rPr>
        <w:t xml:space="preserve">valuable consideration </w:t>
      </w:r>
      <w:r>
        <w:rPr>
          <w:b/>
        </w:rPr>
        <w:t>(</w:t>
      </w:r>
      <w:r w:rsidR="004140DF">
        <w:rPr>
          <w:b/>
          <w:i/>
          <w:color w:val="1006E0"/>
        </w:rPr>
        <w:t>Re Anchor</w:t>
      </w:r>
      <w:r w:rsidR="003D563A">
        <w:rPr>
          <w:b/>
          <w:i/>
          <w:color w:val="1006E0"/>
        </w:rPr>
        <w:t xml:space="preserve"> – </w:t>
      </w:r>
      <w:r w:rsidR="003D563A">
        <w:rPr>
          <w:i/>
        </w:rPr>
        <w:t>Gift of common shares to EE’s is not a trade if no valuable consideration</w:t>
      </w:r>
      <w:r>
        <w:t xml:space="preserve">). </w:t>
      </w:r>
    </w:p>
    <w:p w:rsidR="007C5EBF" w:rsidRPr="00E8721E" w:rsidRDefault="007C5EBF" w:rsidP="00FF0B61">
      <w:pPr>
        <w:pStyle w:val="para"/>
        <w:spacing w:before="0" w:beforeAutospacing="0" w:after="0" w:afterAutospacing="0"/>
        <w:rPr>
          <w:rFonts w:asciiTheme="minorHAnsi" w:hAnsiTheme="minorHAnsi"/>
          <w:sz w:val="18"/>
          <w:szCs w:val="20"/>
        </w:rPr>
      </w:pPr>
      <w:bookmarkStart w:id="8" w:name="d2e1909"/>
      <w:bookmarkEnd w:id="8"/>
      <w:r w:rsidRPr="00BE469B">
        <w:rPr>
          <w:rFonts w:asciiTheme="minorHAnsi" w:hAnsiTheme="minorHAnsi"/>
          <w:b/>
          <w:sz w:val="18"/>
          <w:szCs w:val="20"/>
        </w:rPr>
        <w:t>[a.1]</w:t>
      </w:r>
      <w:r w:rsidRPr="00BE469B">
        <w:rPr>
          <w:rFonts w:asciiTheme="minorHAnsi" w:hAnsiTheme="minorHAnsi"/>
          <w:sz w:val="18"/>
          <w:szCs w:val="20"/>
        </w:rPr>
        <w:t xml:space="preserve"> </w:t>
      </w:r>
      <w:r w:rsidRPr="007F4115">
        <w:rPr>
          <w:rFonts w:asciiTheme="minorHAnsi" w:hAnsiTheme="minorHAnsi"/>
          <w:b/>
          <w:sz w:val="18"/>
          <w:szCs w:val="20"/>
        </w:rPr>
        <w:t>e</w:t>
      </w:r>
      <w:r w:rsidR="008F2B4B" w:rsidRPr="007F4115">
        <w:rPr>
          <w:rFonts w:asciiTheme="minorHAnsi" w:hAnsiTheme="minorHAnsi"/>
          <w:b/>
          <w:sz w:val="18"/>
          <w:szCs w:val="20"/>
        </w:rPr>
        <w:t xml:space="preserve">ntering into a futures contract </w:t>
      </w:r>
      <w:r w:rsidR="008F2B4B" w:rsidRPr="00BE469B">
        <w:rPr>
          <w:rFonts w:asciiTheme="minorHAnsi" w:hAnsiTheme="minorHAnsi"/>
          <w:sz w:val="18"/>
          <w:szCs w:val="20"/>
        </w:rPr>
        <w:t>(</w:t>
      </w:r>
      <w:r w:rsidR="008F2B4B" w:rsidRPr="00BE469B">
        <w:rPr>
          <w:rFonts w:asciiTheme="minorHAnsi" w:hAnsiTheme="minorHAnsi"/>
          <w:b/>
          <w:color w:val="C45911"/>
          <w:sz w:val="18"/>
          <w:szCs w:val="20"/>
        </w:rPr>
        <w:t>(a.1))</w:t>
      </w:r>
      <w:bookmarkStart w:id="9" w:name="d2e1918"/>
      <w:bookmarkEnd w:id="9"/>
      <w:r w:rsidR="00FE7C55">
        <w:rPr>
          <w:rFonts w:asciiTheme="minorHAnsi" w:hAnsiTheme="minorHAnsi"/>
          <w:sz w:val="18"/>
          <w:szCs w:val="20"/>
        </w:rPr>
        <w:t xml:space="preserve"> </w:t>
      </w:r>
      <w:r w:rsidR="00FE7C55" w:rsidRPr="00C24769">
        <w:rPr>
          <w:rFonts w:asciiTheme="minorHAnsi" w:hAnsiTheme="minorHAnsi"/>
          <w:b/>
          <w:sz w:val="18"/>
          <w:szCs w:val="20"/>
        </w:rPr>
        <w:t xml:space="preserve">+ </w:t>
      </w:r>
      <w:r w:rsidRPr="00E8721E">
        <w:rPr>
          <w:rFonts w:asciiTheme="minorHAnsi" w:hAnsiTheme="minorHAnsi"/>
          <w:b/>
          <w:sz w:val="18"/>
          <w:szCs w:val="20"/>
        </w:rPr>
        <w:t>[b]</w:t>
      </w:r>
      <w:r w:rsidRPr="00E8721E">
        <w:rPr>
          <w:rFonts w:asciiTheme="minorHAnsi" w:hAnsiTheme="minorHAnsi"/>
          <w:sz w:val="18"/>
          <w:szCs w:val="20"/>
        </w:rPr>
        <w:t xml:space="preserve"> </w:t>
      </w:r>
      <w:r w:rsidRPr="007F4115">
        <w:rPr>
          <w:rFonts w:asciiTheme="minorHAnsi" w:hAnsiTheme="minorHAnsi"/>
          <w:b/>
          <w:sz w:val="18"/>
          <w:szCs w:val="20"/>
        </w:rPr>
        <w:t>entering into an option that is an ex</w:t>
      </w:r>
      <w:r w:rsidR="008F2B4B" w:rsidRPr="007F4115">
        <w:rPr>
          <w:rFonts w:asciiTheme="minorHAnsi" w:hAnsiTheme="minorHAnsi"/>
          <w:b/>
          <w:sz w:val="18"/>
          <w:szCs w:val="20"/>
        </w:rPr>
        <w:t>change contract</w:t>
      </w:r>
      <w:r w:rsidR="008F2B4B" w:rsidRPr="00E8721E">
        <w:rPr>
          <w:rFonts w:asciiTheme="minorHAnsi" w:hAnsiTheme="minorHAnsi"/>
          <w:sz w:val="18"/>
          <w:szCs w:val="20"/>
        </w:rPr>
        <w:t xml:space="preserve"> (</w:t>
      </w:r>
      <w:r w:rsidR="008F2B4B" w:rsidRPr="00E8721E">
        <w:rPr>
          <w:rFonts w:asciiTheme="minorHAnsi" w:hAnsiTheme="minorHAnsi"/>
          <w:b/>
          <w:color w:val="C45911"/>
          <w:sz w:val="18"/>
          <w:szCs w:val="20"/>
        </w:rPr>
        <w:t>(b))</w:t>
      </w:r>
    </w:p>
    <w:p w:rsidR="0019159C" w:rsidRPr="003120AC" w:rsidRDefault="0019159C" w:rsidP="00FF0B61">
      <w:pPr>
        <w:pStyle w:val="ListParagraph"/>
        <w:numPr>
          <w:ilvl w:val="0"/>
          <w:numId w:val="17"/>
        </w:numPr>
        <w:spacing w:after="0"/>
      </w:pPr>
      <w:r w:rsidRPr="003120AC">
        <w:t xml:space="preserve">Any ‘entering into a derivative or making a material amendment to, terminating, assigning, selling or otherwise acquiring or disposing of a derivative is also a trade. </w:t>
      </w:r>
      <w:r w:rsidRPr="0019159C">
        <w:rPr>
          <w:b/>
        </w:rPr>
        <w:t>This INCLUDES acquiring derivatives</w:t>
      </w:r>
      <w:r w:rsidRPr="003120AC">
        <w:t>.</w:t>
      </w:r>
    </w:p>
    <w:p w:rsidR="0019159C" w:rsidRPr="007C5EBF" w:rsidRDefault="0019159C" w:rsidP="00FF0B61">
      <w:pPr>
        <w:pStyle w:val="para"/>
        <w:spacing w:before="0" w:beforeAutospacing="0" w:after="0" w:afterAutospacing="0"/>
        <w:rPr>
          <w:rFonts w:asciiTheme="minorHAnsi" w:hAnsiTheme="minorHAnsi"/>
          <w:sz w:val="18"/>
          <w:szCs w:val="20"/>
          <w:highlight w:val="yellow"/>
        </w:rPr>
      </w:pPr>
    </w:p>
    <w:p w:rsidR="007C5EBF" w:rsidRPr="00E8721E" w:rsidRDefault="007C5EBF" w:rsidP="00FF0B61">
      <w:pPr>
        <w:pStyle w:val="para"/>
        <w:spacing w:before="0" w:beforeAutospacing="0" w:after="0" w:afterAutospacing="0"/>
        <w:rPr>
          <w:rFonts w:asciiTheme="minorHAnsi" w:hAnsiTheme="minorHAnsi"/>
          <w:sz w:val="18"/>
          <w:szCs w:val="20"/>
        </w:rPr>
      </w:pPr>
      <w:bookmarkStart w:id="10" w:name="d2e1928"/>
      <w:bookmarkEnd w:id="10"/>
      <w:r w:rsidRPr="00E8721E">
        <w:rPr>
          <w:rFonts w:asciiTheme="minorHAnsi" w:hAnsiTheme="minorHAnsi"/>
          <w:b/>
          <w:sz w:val="18"/>
          <w:szCs w:val="20"/>
        </w:rPr>
        <w:lastRenderedPageBreak/>
        <w:t>[c]</w:t>
      </w:r>
      <w:r w:rsidRPr="00E8721E">
        <w:rPr>
          <w:rFonts w:asciiTheme="minorHAnsi" w:hAnsiTheme="minorHAnsi"/>
          <w:sz w:val="18"/>
          <w:szCs w:val="20"/>
        </w:rPr>
        <w:t xml:space="preserve"> </w:t>
      </w:r>
      <w:r w:rsidRPr="00C924D1">
        <w:rPr>
          <w:rFonts w:asciiTheme="minorHAnsi" w:hAnsiTheme="minorHAnsi"/>
          <w:b/>
          <w:sz w:val="18"/>
          <w:szCs w:val="20"/>
        </w:rPr>
        <w:t xml:space="preserve">participation as a trader in a transaction in a security or exchange </w:t>
      </w:r>
      <w:r w:rsidR="00817800">
        <w:rPr>
          <w:rFonts w:asciiTheme="minorHAnsi" w:hAnsiTheme="minorHAnsi"/>
          <w:b/>
          <w:sz w:val="18"/>
          <w:szCs w:val="20"/>
        </w:rPr>
        <w:t xml:space="preserve">K </w:t>
      </w:r>
      <w:r w:rsidRPr="00E8721E">
        <w:rPr>
          <w:rFonts w:asciiTheme="minorHAnsi" w:hAnsiTheme="minorHAnsi"/>
          <w:sz w:val="18"/>
          <w:szCs w:val="20"/>
        </w:rPr>
        <w:t>made on or through the facilities of an exchange or reported through the facilities of a quota</w:t>
      </w:r>
      <w:r w:rsidR="008F2B4B" w:rsidRPr="00E8721E">
        <w:rPr>
          <w:rFonts w:asciiTheme="minorHAnsi" w:hAnsiTheme="minorHAnsi"/>
          <w:sz w:val="18"/>
          <w:szCs w:val="20"/>
        </w:rPr>
        <w:t>tion and trade reporting system (</w:t>
      </w:r>
      <w:r w:rsidR="00721DCA" w:rsidRPr="00E8721E">
        <w:rPr>
          <w:rFonts w:asciiTheme="minorHAnsi" w:hAnsiTheme="minorHAnsi"/>
          <w:b/>
          <w:color w:val="C45911"/>
          <w:sz w:val="18"/>
          <w:szCs w:val="20"/>
        </w:rPr>
        <w:t>(</w:t>
      </w:r>
      <w:r w:rsidR="00721DCA">
        <w:rPr>
          <w:rFonts w:asciiTheme="minorHAnsi" w:hAnsiTheme="minorHAnsi"/>
          <w:b/>
          <w:color w:val="C45911"/>
          <w:sz w:val="18"/>
          <w:szCs w:val="20"/>
        </w:rPr>
        <w:t>c)</w:t>
      </w:r>
      <w:r w:rsidR="008F2B4B" w:rsidRPr="00E8721E">
        <w:rPr>
          <w:rFonts w:asciiTheme="minorHAnsi" w:hAnsiTheme="minorHAnsi"/>
          <w:b/>
          <w:color w:val="C45911"/>
          <w:sz w:val="18"/>
          <w:szCs w:val="20"/>
        </w:rPr>
        <w:t>)</w:t>
      </w:r>
    </w:p>
    <w:p w:rsidR="007C5EBF" w:rsidRDefault="00FB2127" w:rsidP="00FF0B61">
      <w:pPr>
        <w:pStyle w:val="para"/>
        <w:numPr>
          <w:ilvl w:val="0"/>
          <w:numId w:val="13"/>
        </w:numPr>
        <w:spacing w:before="0" w:beforeAutospacing="0" w:after="0" w:afterAutospacing="0"/>
        <w:rPr>
          <w:rFonts w:asciiTheme="minorHAnsi" w:hAnsiTheme="minorHAnsi"/>
          <w:sz w:val="18"/>
          <w:szCs w:val="20"/>
        </w:rPr>
      </w:pPr>
      <w:r>
        <w:rPr>
          <w:rFonts w:asciiTheme="minorHAnsi" w:hAnsiTheme="minorHAnsi"/>
          <w:b/>
          <w:sz w:val="18"/>
          <w:szCs w:val="20"/>
        </w:rPr>
        <w:t xml:space="preserve">Captures: </w:t>
      </w:r>
      <w:r>
        <w:rPr>
          <w:rFonts w:asciiTheme="minorHAnsi" w:hAnsiTheme="minorHAnsi"/>
          <w:sz w:val="18"/>
          <w:szCs w:val="20"/>
        </w:rPr>
        <w:t xml:space="preserve">Activates of an agent of a broker executing securities traders through any stock exchange, quoting and trade reporting system or alternative trading system. </w:t>
      </w:r>
    </w:p>
    <w:p w:rsidR="007C5EBF" w:rsidRPr="007C5EBF" w:rsidRDefault="007C5EBF" w:rsidP="00FF0B61">
      <w:pPr>
        <w:pStyle w:val="para"/>
        <w:spacing w:before="0" w:beforeAutospacing="0" w:after="0" w:afterAutospacing="0"/>
        <w:ind w:left="720"/>
        <w:rPr>
          <w:rFonts w:asciiTheme="minorHAnsi" w:hAnsiTheme="minorHAnsi"/>
          <w:sz w:val="18"/>
          <w:szCs w:val="20"/>
        </w:rPr>
      </w:pPr>
    </w:p>
    <w:p w:rsidR="007C5EBF" w:rsidRPr="007C5EBF" w:rsidRDefault="007C5EBF" w:rsidP="00FF0B61">
      <w:pPr>
        <w:pStyle w:val="para"/>
        <w:spacing w:before="0" w:beforeAutospacing="0" w:after="0" w:afterAutospacing="0"/>
        <w:rPr>
          <w:rFonts w:asciiTheme="minorHAnsi" w:hAnsiTheme="minorHAnsi"/>
          <w:sz w:val="18"/>
          <w:szCs w:val="20"/>
          <w:highlight w:val="yellow"/>
        </w:rPr>
      </w:pPr>
      <w:bookmarkStart w:id="11" w:name="d2e1937"/>
      <w:bookmarkEnd w:id="11"/>
      <w:r w:rsidRPr="00E8721E">
        <w:rPr>
          <w:rFonts w:asciiTheme="minorHAnsi" w:hAnsiTheme="minorHAnsi"/>
          <w:b/>
          <w:sz w:val="18"/>
          <w:szCs w:val="20"/>
        </w:rPr>
        <w:t>[d]</w:t>
      </w:r>
      <w:r w:rsidRPr="00E8721E">
        <w:rPr>
          <w:rFonts w:asciiTheme="minorHAnsi" w:hAnsiTheme="minorHAnsi"/>
          <w:sz w:val="18"/>
          <w:szCs w:val="20"/>
        </w:rPr>
        <w:t xml:space="preserve"> the </w:t>
      </w:r>
      <w:r w:rsidRPr="00FF3DF4">
        <w:rPr>
          <w:rFonts w:asciiTheme="minorHAnsi" w:hAnsiTheme="minorHAnsi"/>
          <w:b/>
          <w:sz w:val="18"/>
          <w:szCs w:val="20"/>
        </w:rPr>
        <w:t xml:space="preserve">receipt by </w:t>
      </w:r>
      <w:r w:rsidRPr="00FF3DF4">
        <w:rPr>
          <w:rFonts w:asciiTheme="minorHAnsi" w:hAnsiTheme="minorHAnsi"/>
          <w:b/>
          <w:sz w:val="18"/>
          <w:szCs w:val="20"/>
          <w:u w:val="single"/>
        </w:rPr>
        <w:t>a registrant</w:t>
      </w:r>
      <w:r w:rsidR="00F639CD">
        <w:rPr>
          <w:rFonts w:asciiTheme="minorHAnsi" w:hAnsiTheme="minorHAnsi"/>
          <w:b/>
          <w:sz w:val="18"/>
          <w:szCs w:val="20"/>
          <w:u w:val="single"/>
        </w:rPr>
        <w:t xml:space="preserve"> </w:t>
      </w:r>
      <w:r w:rsidR="00F639CD">
        <w:rPr>
          <w:rFonts w:asciiTheme="minorHAnsi" w:hAnsiTheme="minorHAnsi"/>
          <w:b/>
          <w:sz w:val="18"/>
          <w:szCs w:val="20"/>
        </w:rPr>
        <w:t>(i.e. dealer)</w:t>
      </w:r>
      <w:r w:rsidRPr="00FF3DF4">
        <w:rPr>
          <w:rFonts w:asciiTheme="minorHAnsi" w:hAnsiTheme="minorHAnsi"/>
          <w:b/>
          <w:sz w:val="18"/>
          <w:szCs w:val="20"/>
        </w:rPr>
        <w:t xml:space="preserve"> of an order</w:t>
      </w:r>
      <w:r w:rsidRPr="00E8721E">
        <w:rPr>
          <w:rFonts w:asciiTheme="minorHAnsi" w:hAnsiTheme="minorHAnsi"/>
          <w:sz w:val="18"/>
          <w:szCs w:val="20"/>
        </w:rPr>
        <w:t xml:space="preserve"> to buy or sell </w:t>
      </w:r>
      <w:r w:rsidR="008F2B4B" w:rsidRPr="00E8721E">
        <w:rPr>
          <w:rFonts w:asciiTheme="minorHAnsi" w:hAnsiTheme="minorHAnsi"/>
          <w:sz w:val="18"/>
          <w:szCs w:val="20"/>
        </w:rPr>
        <w:t>a security or exchange contract (</w:t>
      </w:r>
      <w:r w:rsidR="00721DCA">
        <w:rPr>
          <w:rFonts w:asciiTheme="minorHAnsi" w:hAnsiTheme="minorHAnsi"/>
          <w:b/>
          <w:color w:val="C45911"/>
          <w:sz w:val="18"/>
          <w:szCs w:val="20"/>
        </w:rPr>
        <w:t>(d)</w:t>
      </w:r>
      <w:r w:rsidR="008F2B4B">
        <w:rPr>
          <w:rFonts w:asciiTheme="minorHAnsi" w:hAnsiTheme="minorHAnsi"/>
          <w:b/>
          <w:color w:val="C45911"/>
          <w:sz w:val="18"/>
          <w:szCs w:val="20"/>
        </w:rPr>
        <w:t>)</w:t>
      </w:r>
    </w:p>
    <w:p w:rsidR="00311E77" w:rsidRDefault="007C5EBF" w:rsidP="00FF0B61">
      <w:pPr>
        <w:pStyle w:val="para"/>
        <w:numPr>
          <w:ilvl w:val="0"/>
          <w:numId w:val="13"/>
        </w:numPr>
        <w:spacing w:before="0" w:beforeAutospacing="0" w:after="0" w:afterAutospacing="0"/>
        <w:rPr>
          <w:rFonts w:asciiTheme="minorHAnsi" w:hAnsiTheme="minorHAnsi"/>
          <w:sz w:val="18"/>
          <w:szCs w:val="20"/>
        </w:rPr>
      </w:pPr>
      <w:r w:rsidRPr="007C5EBF">
        <w:rPr>
          <w:rFonts w:asciiTheme="minorHAnsi" w:hAnsiTheme="minorHAnsi"/>
          <w:sz w:val="18"/>
          <w:szCs w:val="20"/>
        </w:rPr>
        <w:t>A registrant includes traders but also anyone else engaged in the securities industries.</w:t>
      </w:r>
      <w:r w:rsidR="00E10BA1">
        <w:rPr>
          <w:rFonts w:asciiTheme="minorHAnsi" w:hAnsiTheme="minorHAnsi"/>
          <w:sz w:val="18"/>
          <w:szCs w:val="20"/>
        </w:rPr>
        <w:t xml:space="preserve"> </w:t>
      </w:r>
    </w:p>
    <w:p w:rsidR="007C5EBF" w:rsidRDefault="00E10BA1" w:rsidP="00FF0B61">
      <w:pPr>
        <w:pStyle w:val="para"/>
        <w:numPr>
          <w:ilvl w:val="0"/>
          <w:numId w:val="13"/>
        </w:numPr>
        <w:spacing w:before="0" w:beforeAutospacing="0" w:after="0" w:afterAutospacing="0"/>
        <w:rPr>
          <w:rFonts w:asciiTheme="minorHAnsi" w:hAnsiTheme="minorHAnsi"/>
          <w:sz w:val="18"/>
          <w:szCs w:val="20"/>
        </w:rPr>
      </w:pPr>
      <w:r>
        <w:rPr>
          <w:rFonts w:asciiTheme="minorHAnsi" w:hAnsiTheme="minorHAnsi"/>
          <w:sz w:val="18"/>
          <w:szCs w:val="20"/>
        </w:rPr>
        <w:t xml:space="preserve">Trade occurs when the broker </w:t>
      </w:r>
      <w:r w:rsidR="00311E77">
        <w:rPr>
          <w:rFonts w:asciiTheme="minorHAnsi" w:hAnsiTheme="minorHAnsi"/>
          <w:b/>
          <w:i/>
          <w:sz w:val="18"/>
          <w:szCs w:val="20"/>
        </w:rPr>
        <w:t>receives</w:t>
      </w:r>
      <w:r>
        <w:rPr>
          <w:rFonts w:asciiTheme="minorHAnsi" w:hAnsiTheme="minorHAnsi"/>
          <w:b/>
          <w:i/>
          <w:sz w:val="18"/>
          <w:szCs w:val="20"/>
        </w:rPr>
        <w:t xml:space="preserve"> the order, </w:t>
      </w:r>
      <w:r w:rsidRPr="006329EC">
        <w:rPr>
          <w:rFonts w:asciiTheme="minorHAnsi" w:hAnsiTheme="minorHAnsi"/>
          <w:b/>
          <w:i/>
          <w:sz w:val="18"/>
          <w:szCs w:val="20"/>
          <w:u w:val="single"/>
        </w:rPr>
        <w:t>not when it is completed</w:t>
      </w:r>
      <w:r>
        <w:rPr>
          <w:rFonts w:asciiTheme="minorHAnsi" w:hAnsiTheme="minorHAnsi"/>
          <w:b/>
          <w:i/>
          <w:sz w:val="18"/>
          <w:szCs w:val="20"/>
        </w:rPr>
        <w:t>.</w:t>
      </w:r>
      <w:r w:rsidR="007C5EBF" w:rsidRPr="007C5EBF">
        <w:rPr>
          <w:rFonts w:asciiTheme="minorHAnsi" w:hAnsiTheme="minorHAnsi"/>
          <w:sz w:val="18"/>
          <w:szCs w:val="20"/>
        </w:rPr>
        <w:t xml:space="preserve"> </w:t>
      </w:r>
    </w:p>
    <w:p w:rsidR="007C5EBF" w:rsidRPr="007C5EBF" w:rsidRDefault="007C5EBF" w:rsidP="00FF0B61">
      <w:pPr>
        <w:pStyle w:val="para"/>
        <w:spacing w:before="0" w:beforeAutospacing="0" w:after="0" w:afterAutospacing="0"/>
        <w:ind w:left="720"/>
        <w:rPr>
          <w:rFonts w:asciiTheme="minorHAnsi" w:hAnsiTheme="minorHAnsi"/>
          <w:sz w:val="18"/>
          <w:szCs w:val="20"/>
        </w:rPr>
      </w:pPr>
    </w:p>
    <w:p w:rsidR="007C5EBF" w:rsidRPr="00AB75BC" w:rsidRDefault="007C5EBF" w:rsidP="00FF0B61">
      <w:pPr>
        <w:pStyle w:val="para"/>
        <w:spacing w:before="0" w:beforeAutospacing="0" w:after="0" w:afterAutospacing="0"/>
        <w:rPr>
          <w:rFonts w:asciiTheme="minorHAnsi" w:hAnsiTheme="minorHAnsi"/>
          <w:sz w:val="18"/>
          <w:szCs w:val="20"/>
        </w:rPr>
      </w:pPr>
      <w:bookmarkStart w:id="12" w:name="d2e1946"/>
      <w:bookmarkEnd w:id="12"/>
      <w:r w:rsidRPr="00AB75BC">
        <w:rPr>
          <w:rFonts w:asciiTheme="minorHAnsi" w:hAnsiTheme="minorHAnsi"/>
          <w:b/>
          <w:sz w:val="18"/>
          <w:szCs w:val="20"/>
        </w:rPr>
        <w:t>[e]</w:t>
      </w:r>
      <w:r w:rsidRPr="00AB75BC">
        <w:rPr>
          <w:rFonts w:asciiTheme="minorHAnsi" w:hAnsiTheme="minorHAnsi"/>
          <w:sz w:val="18"/>
          <w:szCs w:val="20"/>
        </w:rPr>
        <w:t xml:space="preserve"> </w:t>
      </w:r>
      <w:r w:rsidRPr="00AB75BC">
        <w:rPr>
          <w:rFonts w:asciiTheme="minorHAnsi" w:hAnsiTheme="minorHAnsi"/>
          <w:b/>
          <w:sz w:val="18"/>
          <w:szCs w:val="20"/>
        </w:rPr>
        <w:t xml:space="preserve">a transfer of </w:t>
      </w:r>
      <w:r w:rsidRPr="00AB75BC">
        <w:rPr>
          <w:rFonts w:asciiTheme="minorHAnsi" w:hAnsiTheme="minorHAnsi"/>
          <w:b/>
          <w:sz w:val="18"/>
          <w:szCs w:val="20"/>
          <w:u w:val="single"/>
        </w:rPr>
        <w:t>beneficial ownership of a security</w:t>
      </w:r>
      <w:r w:rsidRPr="00AB75BC">
        <w:rPr>
          <w:rFonts w:asciiTheme="minorHAnsi" w:hAnsiTheme="minorHAnsi"/>
          <w:b/>
          <w:sz w:val="18"/>
          <w:szCs w:val="20"/>
        </w:rPr>
        <w:t xml:space="preserve"> to a transferee, pledgee, mortgagee or other encumbrancer under a realization on collateral given for a debt</w:t>
      </w:r>
      <w:r w:rsidR="008F2B4B" w:rsidRPr="00AB75BC">
        <w:rPr>
          <w:rFonts w:asciiTheme="minorHAnsi" w:hAnsiTheme="minorHAnsi"/>
          <w:sz w:val="18"/>
          <w:szCs w:val="20"/>
        </w:rPr>
        <w:t xml:space="preserve"> (</w:t>
      </w:r>
      <w:r w:rsidR="008F2B4B" w:rsidRPr="00AB75BC">
        <w:rPr>
          <w:rFonts w:asciiTheme="minorHAnsi" w:hAnsiTheme="minorHAnsi"/>
          <w:b/>
          <w:color w:val="C45911"/>
          <w:sz w:val="18"/>
          <w:szCs w:val="20"/>
        </w:rPr>
        <w:t>(e))</w:t>
      </w:r>
    </w:p>
    <w:p w:rsidR="007C5EBF" w:rsidRPr="007C5EBF" w:rsidRDefault="007C5EBF" w:rsidP="00FF0B61">
      <w:pPr>
        <w:pStyle w:val="para"/>
        <w:spacing w:before="0" w:beforeAutospacing="0" w:after="0" w:afterAutospacing="0"/>
        <w:rPr>
          <w:rFonts w:asciiTheme="minorHAnsi" w:hAnsiTheme="minorHAnsi"/>
          <w:sz w:val="18"/>
          <w:szCs w:val="20"/>
        </w:rPr>
      </w:pPr>
    </w:p>
    <w:p w:rsidR="007C5EBF" w:rsidRPr="007C5EBF" w:rsidRDefault="007C5EBF" w:rsidP="00FF0B61">
      <w:pPr>
        <w:pStyle w:val="para"/>
        <w:spacing w:before="0" w:beforeAutospacing="0" w:after="0" w:afterAutospacing="0"/>
        <w:rPr>
          <w:rFonts w:asciiTheme="minorHAnsi" w:hAnsiTheme="minorHAnsi"/>
          <w:sz w:val="18"/>
          <w:szCs w:val="18"/>
        </w:rPr>
      </w:pPr>
      <w:bookmarkStart w:id="13" w:name="d2e1955"/>
      <w:bookmarkEnd w:id="13"/>
      <w:r w:rsidRPr="00E8721E">
        <w:rPr>
          <w:rFonts w:asciiTheme="minorHAnsi" w:hAnsiTheme="minorHAnsi"/>
          <w:b/>
          <w:sz w:val="18"/>
          <w:szCs w:val="20"/>
        </w:rPr>
        <w:t xml:space="preserve">[f] </w:t>
      </w:r>
      <w:r w:rsidRPr="00271E63">
        <w:rPr>
          <w:rFonts w:asciiTheme="minorHAnsi" w:hAnsiTheme="minorHAnsi"/>
          <w:b/>
          <w:sz w:val="18"/>
          <w:szCs w:val="20"/>
        </w:rPr>
        <w:t xml:space="preserve">any act, advertisement, solicitation, conduct or negotiation </w:t>
      </w:r>
      <w:r w:rsidRPr="00A02B17">
        <w:rPr>
          <w:rFonts w:asciiTheme="minorHAnsi" w:hAnsiTheme="minorHAnsi"/>
          <w:b/>
          <w:sz w:val="18"/>
          <w:szCs w:val="20"/>
          <w:u w:val="single"/>
        </w:rPr>
        <w:t xml:space="preserve">directly or indirectly in furtherance of </w:t>
      </w:r>
      <w:r w:rsidR="00123E05" w:rsidRPr="00A02B17">
        <w:rPr>
          <w:rFonts w:asciiTheme="minorHAnsi" w:hAnsiTheme="minorHAnsi"/>
          <w:b/>
          <w:sz w:val="18"/>
          <w:szCs w:val="20"/>
          <w:u w:val="single"/>
        </w:rPr>
        <w:t>any of the other branches</w:t>
      </w:r>
      <w:r w:rsidR="00D132BF" w:rsidRPr="00271E63">
        <w:rPr>
          <w:rFonts w:asciiTheme="minorHAnsi" w:hAnsiTheme="minorHAnsi"/>
          <w:b/>
          <w:sz w:val="18"/>
          <w:szCs w:val="20"/>
        </w:rPr>
        <w:t xml:space="preserve"> (</w:t>
      </w:r>
      <w:r w:rsidR="002627A9">
        <w:rPr>
          <w:rFonts w:asciiTheme="minorHAnsi" w:hAnsiTheme="minorHAnsi"/>
          <w:b/>
          <w:color w:val="C45911"/>
          <w:sz w:val="18"/>
          <w:szCs w:val="20"/>
        </w:rPr>
        <w:t>(</w:t>
      </w:r>
      <w:r w:rsidR="00D132BF" w:rsidRPr="00E8721E">
        <w:rPr>
          <w:rFonts w:asciiTheme="minorHAnsi" w:hAnsiTheme="minorHAnsi"/>
          <w:b/>
          <w:color w:val="C45911"/>
          <w:sz w:val="18"/>
          <w:szCs w:val="20"/>
        </w:rPr>
        <w:t>f))</w:t>
      </w:r>
    </w:p>
    <w:p w:rsidR="00154AB9" w:rsidRDefault="00154AB9" w:rsidP="00FF0B61">
      <w:pPr>
        <w:pStyle w:val="ListParagraph"/>
        <w:numPr>
          <w:ilvl w:val="0"/>
          <w:numId w:val="13"/>
        </w:numPr>
        <w:rPr>
          <w:szCs w:val="18"/>
        </w:rPr>
      </w:pPr>
      <w:r>
        <w:rPr>
          <w:b/>
          <w:szCs w:val="18"/>
        </w:rPr>
        <w:t xml:space="preserve">LIMITS </w:t>
      </w:r>
      <w:r>
        <w:rPr>
          <w:szCs w:val="18"/>
        </w:rPr>
        <w:t xml:space="preserve">of this </w:t>
      </w:r>
      <w:r w:rsidRPr="00ED30EA">
        <w:rPr>
          <w:szCs w:val="18"/>
          <w:u w:val="single"/>
        </w:rPr>
        <w:t>broad branch</w:t>
      </w:r>
      <w:r>
        <w:rPr>
          <w:szCs w:val="18"/>
        </w:rPr>
        <w:t xml:space="preserve"> are difficult to establish. </w:t>
      </w:r>
      <w:r w:rsidR="007C3BA6">
        <w:rPr>
          <w:szCs w:val="18"/>
        </w:rPr>
        <w:t>Takes a “</w:t>
      </w:r>
      <w:r w:rsidR="00AC5655">
        <w:rPr>
          <w:szCs w:val="18"/>
        </w:rPr>
        <w:t>contextual approach</w:t>
      </w:r>
      <w:r w:rsidR="007C3BA6">
        <w:rPr>
          <w:szCs w:val="18"/>
        </w:rPr>
        <w:t>”</w:t>
      </w:r>
      <w:r w:rsidR="00E53F13">
        <w:rPr>
          <w:szCs w:val="18"/>
        </w:rPr>
        <w:t xml:space="preserve"> in determining whether acts were acts in furtherance of trade </w:t>
      </w:r>
      <w:r w:rsidR="00E53F13" w:rsidRPr="00E53F13">
        <w:rPr>
          <w:b/>
          <w:szCs w:val="18"/>
          <w:u w:val="single"/>
        </w:rPr>
        <w:t>OR</w:t>
      </w:r>
      <w:r w:rsidR="00AC5655">
        <w:rPr>
          <w:szCs w:val="18"/>
        </w:rPr>
        <w:t xml:space="preserve"> “sufficient proximate connection” as described in</w:t>
      </w:r>
      <w:r w:rsidR="00AC5655">
        <w:rPr>
          <w:b/>
          <w:i/>
          <w:szCs w:val="18"/>
        </w:rPr>
        <w:t xml:space="preserve"> </w:t>
      </w:r>
      <w:r w:rsidR="00AC5655" w:rsidRPr="00AA7BF1">
        <w:rPr>
          <w:b/>
          <w:i/>
          <w:color w:val="1006E0"/>
          <w:szCs w:val="18"/>
        </w:rPr>
        <w:t xml:space="preserve">Re Costello. </w:t>
      </w:r>
    </w:p>
    <w:p w:rsidR="00FD3D67" w:rsidRDefault="0068791C" w:rsidP="00FF0B61">
      <w:pPr>
        <w:pStyle w:val="ListParagraph"/>
        <w:numPr>
          <w:ilvl w:val="0"/>
          <w:numId w:val="13"/>
        </w:numPr>
        <w:rPr>
          <w:szCs w:val="18"/>
        </w:rPr>
      </w:pPr>
      <w:r>
        <w:rPr>
          <w:b/>
          <w:szCs w:val="18"/>
        </w:rPr>
        <w:t xml:space="preserve">NO ACTUAL TRADE NEED EVER BE COMPLETED </w:t>
      </w:r>
      <w:r>
        <w:rPr>
          <w:szCs w:val="18"/>
        </w:rPr>
        <w:t>for there to be a “trade”</w:t>
      </w:r>
      <w:r w:rsidR="006E4DF8">
        <w:rPr>
          <w:szCs w:val="18"/>
        </w:rPr>
        <w:t xml:space="preserve"> under this branch (</w:t>
      </w:r>
      <w:r w:rsidR="006E4DF8">
        <w:rPr>
          <w:b/>
          <w:szCs w:val="18"/>
        </w:rPr>
        <w:t xml:space="preserve">E.g. </w:t>
      </w:r>
      <w:r w:rsidR="006E4DF8" w:rsidRPr="007C5EBF">
        <w:rPr>
          <w:szCs w:val="18"/>
        </w:rPr>
        <w:t>if there is an ad for a trade it is deemed to be a trade. Tryi</w:t>
      </w:r>
      <w:r w:rsidR="006E4DF8">
        <w:rPr>
          <w:szCs w:val="18"/>
        </w:rPr>
        <w:t xml:space="preserve">ng to protect ppl early on). </w:t>
      </w:r>
    </w:p>
    <w:p w:rsidR="007C5EBF" w:rsidRPr="003C424C" w:rsidRDefault="002F10DA" w:rsidP="00FF0B61">
      <w:pPr>
        <w:pStyle w:val="ListParagraph"/>
        <w:numPr>
          <w:ilvl w:val="1"/>
          <w:numId w:val="13"/>
        </w:numPr>
        <w:rPr>
          <w:szCs w:val="18"/>
        </w:rPr>
      </w:pPr>
      <w:r w:rsidRPr="00FD3D67">
        <w:rPr>
          <w:b/>
          <w:szCs w:val="18"/>
        </w:rPr>
        <w:t xml:space="preserve">E.g.: </w:t>
      </w:r>
      <w:r w:rsidRPr="00FD3D67">
        <w:rPr>
          <w:szCs w:val="18"/>
        </w:rPr>
        <w:t xml:space="preserve">Meetings are trades, unless they are informational and not promotional </w:t>
      </w:r>
      <w:r w:rsidRPr="00FD3D67">
        <w:rPr>
          <w:b/>
          <w:szCs w:val="18"/>
        </w:rPr>
        <w:t xml:space="preserve">// </w:t>
      </w:r>
      <w:r w:rsidR="007C5EBF" w:rsidRPr="00FD3D67">
        <w:rPr>
          <w:szCs w:val="18"/>
        </w:rPr>
        <w:t>Advertising a security, I intend to issue later (as an issuer), is a trade. It is a solicitation in furth</w:t>
      </w:r>
      <w:r w:rsidR="00FD3D67" w:rsidRPr="00FD3D67">
        <w:rPr>
          <w:szCs w:val="18"/>
        </w:rPr>
        <w:t xml:space="preserve">erance of a trade (very broad) </w:t>
      </w:r>
      <w:r w:rsidR="00FD3D67" w:rsidRPr="00FD3D67">
        <w:rPr>
          <w:b/>
          <w:szCs w:val="18"/>
        </w:rPr>
        <w:t xml:space="preserve">// </w:t>
      </w:r>
      <w:r w:rsidR="00FD3D67" w:rsidRPr="00FD3D67">
        <w:t>Bookkeepings and administrative functions performed by a trust company for mut</w:t>
      </w:r>
      <w:r w:rsidR="00FD3D67">
        <w:t>ual fund dealers are not trades</w:t>
      </w:r>
      <w:r w:rsidR="00FD3D67" w:rsidRPr="00FD3D67">
        <w:t xml:space="preserve"> (</w:t>
      </w:r>
      <w:r w:rsidR="00FD3D67" w:rsidRPr="00F10C2F">
        <w:rPr>
          <w:b/>
          <w:i/>
          <w:color w:val="1006E0"/>
        </w:rPr>
        <w:t>Re: OSC and CAP ltd</w:t>
      </w:r>
      <w:r w:rsidR="00FD3D67" w:rsidRPr="00FD3D67">
        <w:rPr>
          <w:b/>
          <w:i/>
        </w:rPr>
        <w:t>.)</w:t>
      </w:r>
    </w:p>
    <w:p w:rsidR="003C424C" w:rsidRPr="00F978EC" w:rsidRDefault="003C424C" w:rsidP="00FF0B61">
      <w:pPr>
        <w:pStyle w:val="ListParagraph"/>
        <w:numPr>
          <w:ilvl w:val="0"/>
          <w:numId w:val="13"/>
        </w:numPr>
        <w:rPr>
          <w:szCs w:val="18"/>
        </w:rPr>
      </w:pPr>
      <w:r>
        <w:rPr>
          <w:b/>
          <w:szCs w:val="18"/>
        </w:rPr>
        <w:t>ACTIVITIES FOUND TO CONSTITUTE ACTS IN FURTHERANCE OF TRADES</w:t>
      </w:r>
      <w:r w:rsidR="002A3553">
        <w:rPr>
          <w:b/>
          <w:szCs w:val="18"/>
        </w:rPr>
        <w:t xml:space="preserve"> (</w:t>
      </w:r>
      <w:r w:rsidR="002A3553" w:rsidRPr="002A3553">
        <w:rPr>
          <w:b/>
          <w:i/>
          <w:color w:val="1006E0"/>
          <w:szCs w:val="18"/>
        </w:rPr>
        <w:t xml:space="preserve">Re </w:t>
      </w:r>
      <w:r w:rsidR="002A3553" w:rsidRPr="00AA7BF1">
        <w:rPr>
          <w:b/>
          <w:i/>
          <w:color w:val="1006E0"/>
          <w:szCs w:val="18"/>
        </w:rPr>
        <w:t>MP</w:t>
      </w:r>
      <w:r w:rsidR="002A3553" w:rsidRPr="002A3553">
        <w:rPr>
          <w:b/>
          <w:i/>
          <w:color w:val="1006E0"/>
          <w:szCs w:val="18"/>
        </w:rPr>
        <w:t xml:space="preserve"> </w:t>
      </w:r>
      <w:r w:rsidR="002A3553" w:rsidRPr="00B00A17">
        <w:rPr>
          <w:b/>
          <w:i/>
          <w:color w:val="1006E0"/>
          <w:szCs w:val="18"/>
        </w:rPr>
        <w:t>Global</w:t>
      </w:r>
      <w:r w:rsidR="002A3553">
        <w:rPr>
          <w:b/>
          <w:szCs w:val="18"/>
        </w:rPr>
        <w:t>)</w:t>
      </w:r>
      <w:r>
        <w:rPr>
          <w:b/>
          <w:szCs w:val="18"/>
        </w:rPr>
        <w:t xml:space="preserve">: </w:t>
      </w:r>
      <w:r w:rsidR="00423096">
        <w:rPr>
          <w:b/>
          <w:szCs w:val="18"/>
        </w:rPr>
        <w:t xml:space="preserve">(1) </w:t>
      </w:r>
      <w:r w:rsidRPr="003120AC">
        <w:t>Accepting money from investors</w:t>
      </w:r>
      <w:r w:rsidR="00423096">
        <w:t xml:space="preserve">; </w:t>
      </w:r>
      <w:r w:rsidR="00423096">
        <w:rPr>
          <w:b/>
        </w:rPr>
        <w:t>(2)</w:t>
      </w:r>
      <w:r>
        <w:rPr>
          <w:b/>
        </w:rPr>
        <w:t xml:space="preserve"> </w:t>
      </w:r>
      <w:r w:rsidRPr="003120AC">
        <w:t>Depositing Cheques for Share Purchases</w:t>
      </w:r>
      <w:r w:rsidR="00423096">
        <w:t xml:space="preserve">; </w:t>
      </w:r>
      <w:r w:rsidR="00423096">
        <w:rPr>
          <w:b/>
        </w:rPr>
        <w:t>(3)</w:t>
      </w:r>
      <w:r>
        <w:rPr>
          <w:b/>
        </w:rPr>
        <w:t xml:space="preserve"> </w:t>
      </w:r>
      <w:r w:rsidRPr="003120AC">
        <w:t>Providing investors with subscription agreements</w:t>
      </w:r>
      <w:r w:rsidR="00423096">
        <w:t xml:space="preserve">; </w:t>
      </w:r>
      <w:r w:rsidR="00423096" w:rsidRPr="00423096">
        <w:rPr>
          <w:b/>
        </w:rPr>
        <w:t>(4)</w:t>
      </w:r>
      <w:r w:rsidR="00423096">
        <w:t xml:space="preserve"> </w:t>
      </w:r>
      <w:r w:rsidRPr="003120AC">
        <w:t>Distributing promotional materials</w:t>
      </w:r>
      <w:r w:rsidR="00423096">
        <w:t xml:space="preserve">; </w:t>
      </w:r>
      <w:r w:rsidR="00423096">
        <w:rPr>
          <w:b/>
        </w:rPr>
        <w:t>(5)</w:t>
      </w:r>
      <w:r>
        <w:rPr>
          <w:b/>
        </w:rPr>
        <w:t xml:space="preserve"> </w:t>
      </w:r>
      <w:r w:rsidRPr="003120AC">
        <w:t>Issuing share certificates</w:t>
      </w:r>
      <w:r w:rsidR="00423096">
        <w:t xml:space="preserve">; </w:t>
      </w:r>
      <w:r w:rsidR="00423096">
        <w:rPr>
          <w:b/>
        </w:rPr>
        <w:t>(6)</w:t>
      </w:r>
      <w:r>
        <w:rPr>
          <w:b/>
        </w:rPr>
        <w:t xml:space="preserve"> </w:t>
      </w:r>
      <w:r w:rsidRPr="003120AC">
        <w:t>Organizing meetings with investors to organize the purchasing of securities</w:t>
      </w:r>
    </w:p>
    <w:tbl>
      <w:tblPr>
        <w:tblStyle w:val="TableGrid"/>
        <w:tblW w:w="0" w:type="auto"/>
        <w:tblLook w:val="04A0" w:firstRow="1" w:lastRow="0" w:firstColumn="1" w:lastColumn="0" w:noHBand="0" w:noVBand="1"/>
      </w:tblPr>
      <w:tblGrid>
        <w:gridCol w:w="5319"/>
        <w:gridCol w:w="5323"/>
      </w:tblGrid>
      <w:tr w:rsidR="00F978EC" w:rsidRPr="001520FA" w:rsidTr="003136A9">
        <w:tc>
          <w:tcPr>
            <w:tcW w:w="5463" w:type="dxa"/>
            <w:shd w:val="clear" w:color="auto" w:fill="F2F2F2" w:themeFill="background1" w:themeFillShade="F2"/>
          </w:tcPr>
          <w:p w:rsidR="00F978EC" w:rsidRPr="00F978EC" w:rsidRDefault="00F978EC" w:rsidP="00FF0B61">
            <w:pPr>
              <w:pStyle w:val="NoSpacing"/>
              <w:jc w:val="center"/>
              <w:rPr>
                <w:rFonts w:asciiTheme="minorHAnsi" w:hAnsiTheme="minorHAnsi" w:cs="Arial"/>
                <w:b/>
                <w:sz w:val="18"/>
                <w:szCs w:val="18"/>
              </w:rPr>
            </w:pPr>
            <w:r w:rsidRPr="00F978EC">
              <w:rPr>
                <w:rFonts w:asciiTheme="minorHAnsi" w:hAnsiTheme="minorHAnsi" w:cs="Arial"/>
                <w:b/>
                <w:sz w:val="18"/>
                <w:szCs w:val="18"/>
              </w:rPr>
              <w:t>Trade</w:t>
            </w:r>
          </w:p>
        </w:tc>
        <w:tc>
          <w:tcPr>
            <w:tcW w:w="5463" w:type="dxa"/>
            <w:shd w:val="clear" w:color="auto" w:fill="F2F2F2" w:themeFill="background1" w:themeFillShade="F2"/>
          </w:tcPr>
          <w:p w:rsidR="00F978EC" w:rsidRPr="00F978EC" w:rsidRDefault="00F978EC" w:rsidP="00FF0B61">
            <w:pPr>
              <w:pStyle w:val="NoSpacing"/>
              <w:jc w:val="center"/>
              <w:rPr>
                <w:rFonts w:asciiTheme="minorHAnsi" w:hAnsiTheme="minorHAnsi" w:cs="Arial"/>
                <w:b/>
                <w:sz w:val="18"/>
                <w:szCs w:val="18"/>
              </w:rPr>
            </w:pPr>
            <w:r w:rsidRPr="00F978EC">
              <w:rPr>
                <w:rFonts w:asciiTheme="minorHAnsi" w:hAnsiTheme="minorHAnsi" w:cs="Arial"/>
                <w:b/>
                <w:sz w:val="18"/>
                <w:szCs w:val="18"/>
              </w:rPr>
              <w:t>Not a Trade</w:t>
            </w:r>
          </w:p>
        </w:tc>
      </w:tr>
      <w:tr w:rsidR="00F978EC" w:rsidRPr="001520FA" w:rsidTr="003136A9">
        <w:tc>
          <w:tcPr>
            <w:tcW w:w="5463" w:type="dxa"/>
          </w:tcPr>
          <w:p w:rsidR="00F978EC" w:rsidRPr="00F978EC" w:rsidRDefault="00F978EC" w:rsidP="00FF0B61">
            <w:pPr>
              <w:pStyle w:val="NoSpacing"/>
              <w:numPr>
                <w:ilvl w:val="0"/>
                <w:numId w:val="146"/>
              </w:numPr>
              <w:ind w:left="360"/>
              <w:rPr>
                <w:rFonts w:asciiTheme="minorHAnsi" w:hAnsiTheme="minorHAnsi" w:cs="Arial"/>
                <w:sz w:val="18"/>
                <w:szCs w:val="18"/>
              </w:rPr>
            </w:pPr>
            <w:r w:rsidRPr="00F978EC">
              <w:rPr>
                <w:rFonts w:asciiTheme="minorHAnsi" w:hAnsiTheme="minorHAnsi" w:cs="Arial"/>
                <w:sz w:val="18"/>
                <w:szCs w:val="18"/>
              </w:rPr>
              <w:t>The granting of stock options to</w:t>
            </w:r>
            <w:r w:rsidR="00F70B7C">
              <w:rPr>
                <w:rFonts w:asciiTheme="minorHAnsi" w:hAnsiTheme="minorHAnsi" w:cs="Arial"/>
                <w:sz w:val="18"/>
                <w:szCs w:val="18"/>
              </w:rPr>
              <w:t xml:space="preserve"> EE</w:t>
            </w:r>
            <w:r w:rsidRPr="00F978EC">
              <w:rPr>
                <w:rFonts w:asciiTheme="minorHAnsi" w:hAnsiTheme="minorHAnsi" w:cs="Arial"/>
                <w:sz w:val="18"/>
                <w:szCs w:val="18"/>
              </w:rPr>
              <w:t xml:space="preserve"> or </w:t>
            </w:r>
            <w:r w:rsidR="00F70B7C">
              <w:rPr>
                <w:rFonts w:asciiTheme="minorHAnsi" w:hAnsiTheme="minorHAnsi" w:cs="Arial"/>
                <w:sz w:val="18"/>
                <w:szCs w:val="18"/>
              </w:rPr>
              <w:t>DIRs</w:t>
            </w:r>
            <w:r w:rsidRPr="00F978EC">
              <w:rPr>
                <w:rFonts w:asciiTheme="minorHAnsi" w:hAnsiTheme="minorHAnsi" w:cs="Arial"/>
                <w:sz w:val="18"/>
                <w:szCs w:val="18"/>
              </w:rPr>
              <w:t xml:space="preserve"> (valuable consideration being the </w:t>
            </w:r>
            <w:r w:rsidR="00F70B7C">
              <w:rPr>
                <w:rFonts w:asciiTheme="minorHAnsi" w:hAnsiTheme="minorHAnsi" w:cs="Arial"/>
                <w:sz w:val="18"/>
                <w:szCs w:val="18"/>
              </w:rPr>
              <w:t>EE/DIRs</w:t>
            </w:r>
            <w:r w:rsidRPr="00F978EC">
              <w:rPr>
                <w:rFonts w:asciiTheme="minorHAnsi" w:hAnsiTheme="minorHAnsi" w:cs="Arial"/>
                <w:sz w:val="18"/>
                <w:szCs w:val="18"/>
              </w:rPr>
              <w:t xml:space="preserve"> future or current services)</w:t>
            </w:r>
          </w:p>
          <w:p w:rsidR="00F978EC" w:rsidRPr="00F978EC" w:rsidRDefault="00F978EC" w:rsidP="00FF0B61">
            <w:pPr>
              <w:pStyle w:val="NoSpacing"/>
              <w:numPr>
                <w:ilvl w:val="0"/>
                <w:numId w:val="146"/>
              </w:numPr>
              <w:ind w:left="360"/>
              <w:rPr>
                <w:rFonts w:asciiTheme="minorHAnsi" w:hAnsiTheme="minorHAnsi" w:cs="Arial"/>
                <w:sz w:val="18"/>
                <w:szCs w:val="18"/>
              </w:rPr>
            </w:pPr>
            <w:r w:rsidRPr="00F978EC">
              <w:rPr>
                <w:rFonts w:asciiTheme="minorHAnsi" w:hAnsiTheme="minorHAnsi" w:cs="Arial"/>
                <w:sz w:val="18"/>
                <w:szCs w:val="18"/>
              </w:rPr>
              <w:t>Transferring shares from one company that you own to another company that you own, provided there is valuable consideration</w:t>
            </w:r>
          </w:p>
          <w:p w:rsidR="00F978EC" w:rsidRPr="00F978EC" w:rsidRDefault="00F978EC" w:rsidP="00FF0B61">
            <w:pPr>
              <w:pStyle w:val="NoSpacing"/>
              <w:numPr>
                <w:ilvl w:val="0"/>
                <w:numId w:val="146"/>
              </w:numPr>
              <w:ind w:left="360"/>
              <w:rPr>
                <w:rFonts w:asciiTheme="minorHAnsi" w:hAnsiTheme="minorHAnsi" w:cs="Arial"/>
                <w:sz w:val="18"/>
                <w:szCs w:val="18"/>
              </w:rPr>
            </w:pPr>
            <w:r w:rsidRPr="00F978EC">
              <w:rPr>
                <w:rFonts w:asciiTheme="minorHAnsi" w:hAnsiTheme="minorHAnsi" w:cs="Arial"/>
                <w:sz w:val="18"/>
                <w:szCs w:val="18"/>
              </w:rPr>
              <w:t>Converting a share from one form to another</w:t>
            </w:r>
          </w:p>
          <w:p w:rsidR="00F978EC" w:rsidRPr="00F978EC" w:rsidRDefault="00F978EC" w:rsidP="00FF0B61">
            <w:pPr>
              <w:pStyle w:val="NoSpacing"/>
              <w:numPr>
                <w:ilvl w:val="0"/>
                <w:numId w:val="146"/>
              </w:numPr>
              <w:ind w:left="360"/>
              <w:rPr>
                <w:rFonts w:asciiTheme="minorHAnsi" w:hAnsiTheme="minorHAnsi" w:cs="Arial"/>
                <w:sz w:val="18"/>
                <w:szCs w:val="18"/>
              </w:rPr>
            </w:pPr>
            <w:r w:rsidRPr="00F978EC">
              <w:rPr>
                <w:rFonts w:asciiTheme="minorHAnsi" w:hAnsiTheme="minorHAnsi" w:cs="Arial"/>
                <w:sz w:val="18"/>
                <w:szCs w:val="18"/>
              </w:rPr>
              <w:t>Advertising or solicitation directed at investors (even though no securities have actually been sold yet) – this qualifies as an “act in furtherance”</w:t>
            </w:r>
          </w:p>
        </w:tc>
        <w:tc>
          <w:tcPr>
            <w:tcW w:w="5463" w:type="dxa"/>
          </w:tcPr>
          <w:p w:rsidR="00F978EC" w:rsidRPr="00F978EC" w:rsidRDefault="00F978EC" w:rsidP="00FF0B61">
            <w:pPr>
              <w:pStyle w:val="NoSpacing"/>
              <w:numPr>
                <w:ilvl w:val="0"/>
                <w:numId w:val="146"/>
              </w:numPr>
              <w:ind w:left="387"/>
              <w:rPr>
                <w:rFonts w:asciiTheme="minorHAnsi" w:hAnsiTheme="minorHAnsi" w:cs="Arial"/>
                <w:sz w:val="18"/>
                <w:szCs w:val="18"/>
              </w:rPr>
            </w:pPr>
            <w:r w:rsidRPr="00F978EC">
              <w:rPr>
                <w:rFonts w:asciiTheme="minorHAnsi" w:hAnsiTheme="minorHAnsi" w:cs="Arial"/>
                <w:sz w:val="18"/>
                <w:szCs w:val="18"/>
              </w:rPr>
              <w:t>A gift of securities as there is no consideration</w:t>
            </w:r>
            <w:r w:rsidR="004206D6">
              <w:rPr>
                <w:rFonts w:asciiTheme="minorHAnsi" w:hAnsiTheme="minorHAnsi" w:cs="Arial"/>
                <w:sz w:val="18"/>
                <w:szCs w:val="18"/>
              </w:rPr>
              <w:t xml:space="preserve"> </w:t>
            </w:r>
          </w:p>
          <w:p w:rsidR="00F978EC" w:rsidRPr="00F978EC" w:rsidRDefault="00F978EC" w:rsidP="00FF0B61">
            <w:pPr>
              <w:pStyle w:val="NoSpacing"/>
              <w:numPr>
                <w:ilvl w:val="0"/>
                <w:numId w:val="146"/>
              </w:numPr>
              <w:ind w:left="387"/>
              <w:rPr>
                <w:rFonts w:asciiTheme="minorHAnsi" w:hAnsiTheme="minorHAnsi" w:cs="Arial"/>
                <w:sz w:val="18"/>
                <w:szCs w:val="18"/>
              </w:rPr>
            </w:pPr>
            <w:r w:rsidRPr="00F978EC">
              <w:rPr>
                <w:rFonts w:asciiTheme="minorHAnsi" w:hAnsiTheme="minorHAnsi" w:cs="Arial"/>
                <w:sz w:val="18"/>
                <w:szCs w:val="18"/>
              </w:rPr>
              <w:t>The inheritance of securities – no consideration</w:t>
            </w:r>
          </w:p>
          <w:p w:rsidR="00F978EC" w:rsidRPr="00F978EC" w:rsidRDefault="00F978EC" w:rsidP="00FF0B61">
            <w:pPr>
              <w:pStyle w:val="NoSpacing"/>
              <w:numPr>
                <w:ilvl w:val="0"/>
                <w:numId w:val="146"/>
              </w:numPr>
              <w:ind w:left="387"/>
              <w:rPr>
                <w:rFonts w:asciiTheme="minorHAnsi" w:hAnsiTheme="minorHAnsi" w:cs="Arial"/>
                <w:sz w:val="18"/>
                <w:szCs w:val="18"/>
              </w:rPr>
            </w:pPr>
            <w:r w:rsidRPr="00F978EC">
              <w:rPr>
                <w:rFonts w:asciiTheme="minorHAnsi" w:hAnsiTheme="minorHAnsi" w:cs="Arial"/>
                <w:sz w:val="18"/>
                <w:szCs w:val="18"/>
              </w:rPr>
              <w:t>Moving assets in divorce – no consideration</w:t>
            </w:r>
          </w:p>
          <w:p w:rsidR="00F978EC" w:rsidRPr="00F978EC" w:rsidRDefault="00F978EC" w:rsidP="00FF0B61">
            <w:pPr>
              <w:pStyle w:val="NoSpacing"/>
              <w:numPr>
                <w:ilvl w:val="0"/>
                <w:numId w:val="146"/>
              </w:numPr>
              <w:ind w:left="387"/>
              <w:rPr>
                <w:rFonts w:asciiTheme="minorHAnsi" w:hAnsiTheme="minorHAnsi" w:cs="Arial"/>
                <w:sz w:val="18"/>
                <w:szCs w:val="18"/>
              </w:rPr>
            </w:pPr>
            <w:r w:rsidRPr="00F978EC">
              <w:rPr>
                <w:rFonts w:asciiTheme="minorHAnsi" w:hAnsiTheme="minorHAnsi" w:cs="Arial"/>
                <w:sz w:val="18"/>
                <w:szCs w:val="18"/>
              </w:rPr>
              <w:t>A trust company managing the portfolios of mutual fund dealers (doesn’t qualify under (f) because the trade already is already completed by the time the trust company becomes involved)</w:t>
            </w:r>
          </w:p>
          <w:p w:rsidR="00F978EC" w:rsidRPr="00F978EC" w:rsidRDefault="00F978EC" w:rsidP="00FF0B61">
            <w:pPr>
              <w:pStyle w:val="NoSpacing"/>
              <w:numPr>
                <w:ilvl w:val="0"/>
                <w:numId w:val="146"/>
              </w:numPr>
              <w:ind w:left="387"/>
              <w:rPr>
                <w:rFonts w:asciiTheme="minorHAnsi" w:hAnsiTheme="minorHAnsi" w:cs="Arial"/>
                <w:sz w:val="18"/>
                <w:szCs w:val="18"/>
              </w:rPr>
            </w:pPr>
            <w:r w:rsidRPr="004206D6">
              <w:rPr>
                <w:rFonts w:asciiTheme="minorHAnsi" w:hAnsiTheme="minorHAnsi" w:cs="Arial"/>
                <w:b/>
                <w:sz w:val="18"/>
                <w:szCs w:val="18"/>
              </w:rPr>
              <w:t>MAYBE:</w:t>
            </w:r>
            <w:r w:rsidRPr="00F978EC">
              <w:rPr>
                <w:rFonts w:asciiTheme="minorHAnsi" w:hAnsiTheme="minorHAnsi" w:cs="Arial"/>
                <w:sz w:val="18"/>
                <w:szCs w:val="18"/>
              </w:rPr>
              <w:t xml:space="preserve"> drafting an advertisement directed at investors or sending it to the printers, but before it’s actually published (could be argued that it’s not enough under (f))</w:t>
            </w:r>
          </w:p>
        </w:tc>
      </w:tr>
    </w:tbl>
    <w:p w:rsidR="00E62D8D" w:rsidRPr="00E62D8D" w:rsidRDefault="007E3BB6" w:rsidP="00FF0B61">
      <w:pPr>
        <w:pStyle w:val="Heading2"/>
        <w:spacing w:before="240" w:line="240" w:lineRule="auto"/>
      </w:pPr>
      <w:bookmarkStart w:id="14" w:name="_Toc468980393"/>
      <w:r>
        <w:t>DEFINITION: “Distribution”</w:t>
      </w:r>
      <w:r w:rsidR="00E62D8D">
        <w:t xml:space="preserve"> – </w:t>
      </w:r>
      <w:r w:rsidR="00E62D8D">
        <w:rPr>
          <w:rFonts w:ascii="Calibri" w:hAnsi="Calibri" w:cs="Calibri"/>
        </w:rPr>
        <w:t xml:space="preserve">(note (b) and (d) are </w:t>
      </w:r>
      <w:r w:rsidR="00E62D8D" w:rsidRPr="0051324E">
        <w:rPr>
          <w:rFonts w:ascii="Calibri" w:hAnsi="Calibri" w:cs="Calibri"/>
          <w:u w:val="single"/>
        </w:rPr>
        <w:t>not important</w:t>
      </w:r>
      <w:r w:rsidR="00E62D8D">
        <w:rPr>
          <w:rFonts w:ascii="Calibri" w:hAnsi="Calibri" w:cs="Calibri"/>
        </w:rPr>
        <w:t xml:space="preserve">) (NB: Incorporates the word </w:t>
      </w:r>
      <w:r w:rsidR="00E62D8D">
        <w:rPr>
          <w:rFonts w:ascii="Calibri" w:hAnsi="Calibri" w:cs="Calibri"/>
          <w:i/>
        </w:rPr>
        <w:t>trade</w:t>
      </w:r>
      <w:r w:rsidR="00E62D8D">
        <w:rPr>
          <w:rFonts w:ascii="Calibri" w:hAnsi="Calibri" w:cs="Calibri"/>
        </w:rPr>
        <w:t xml:space="preserve"> (defined above))</w:t>
      </w:r>
      <w:bookmarkEnd w:id="14"/>
    </w:p>
    <w:p w:rsidR="00FC02DD" w:rsidRDefault="00FC02DD" w:rsidP="00FF0B61">
      <w:pPr>
        <w:pStyle w:val="ListParagraph"/>
        <w:spacing w:after="0"/>
        <w:ind w:left="0"/>
        <w:rPr>
          <w:rFonts w:ascii="Calibri" w:hAnsi="Calibri" w:cs="Calibri"/>
          <w:b/>
        </w:rPr>
      </w:pPr>
      <w:r w:rsidRPr="00FC02DD">
        <w:rPr>
          <w:rFonts w:ascii="Calibri" w:hAnsi="Calibri" w:cs="Calibri"/>
          <w:b/>
        </w:rPr>
        <w:t xml:space="preserve">All distributions </w:t>
      </w:r>
      <w:r w:rsidRPr="00C65C7F">
        <w:rPr>
          <w:rFonts w:ascii="Calibri" w:hAnsi="Calibri" w:cs="Calibri"/>
          <w:b/>
          <w:i/>
        </w:rPr>
        <w:t xml:space="preserve">are trades </w:t>
      </w:r>
      <w:r w:rsidRPr="00FC02DD">
        <w:rPr>
          <w:rFonts w:ascii="Calibri" w:hAnsi="Calibri" w:cs="Calibri"/>
          <w:b/>
        </w:rPr>
        <w:t>in that they transfer securities for valuable consideration. Distributions only occur to the primary market.</w:t>
      </w:r>
    </w:p>
    <w:p w:rsidR="00DA66C7" w:rsidRPr="00DA66C7" w:rsidRDefault="00DA66C7" w:rsidP="00FF0B61">
      <w:pPr>
        <w:pStyle w:val="ListParagraph"/>
        <w:numPr>
          <w:ilvl w:val="0"/>
          <w:numId w:val="168"/>
        </w:numPr>
        <w:spacing w:after="0"/>
        <w:rPr>
          <w:rFonts w:ascii="Calibri" w:hAnsi="Calibri" w:cs="Calibri"/>
        </w:rPr>
      </w:pPr>
      <w:r w:rsidRPr="003171EC">
        <w:rPr>
          <w:rFonts w:ascii="Calibri" w:hAnsi="Calibri" w:cs="Calibri"/>
          <w:b/>
        </w:rPr>
        <w:t>Distributions are a type of trade that triggers the prospectus process</w:t>
      </w:r>
      <w:r w:rsidRPr="00DA66C7">
        <w:rPr>
          <w:rFonts w:ascii="Calibri" w:hAnsi="Calibri" w:cs="Calibri"/>
        </w:rPr>
        <w:t xml:space="preserve">, which is why this characterization is important. The definition set out in </w:t>
      </w:r>
      <w:r w:rsidRPr="00DA66C7">
        <w:rPr>
          <w:rFonts w:ascii="Calibri" w:hAnsi="Calibri" w:cs="Calibri"/>
          <w:b/>
          <w:color w:val="C45911" w:themeColor="accent2" w:themeShade="BF"/>
        </w:rPr>
        <w:t>BCSA 1(1)</w:t>
      </w:r>
      <w:r w:rsidRPr="00DA66C7">
        <w:rPr>
          <w:rFonts w:ascii="Calibri" w:hAnsi="Calibri" w:cs="Calibri"/>
          <w:color w:val="C45911" w:themeColor="accent2" w:themeShade="BF"/>
        </w:rPr>
        <w:t xml:space="preserve"> </w:t>
      </w:r>
      <w:r w:rsidRPr="00DA66C7">
        <w:rPr>
          <w:rFonts w:ascii="Calibri" w:hAnsi="Calibri" w:cs="Calibri"/>
        </w:rPr>
        <w:t xml:space="preserve">is </w:t>
      </w:r>
      <w:r w:rsidRPr="00DA66C7">
        <w:rPr>
          <w:rFonts w:ascii="Calibri" w:hAnsi="Calibri" w:cs="Calibri"/>
          <w:b/>
          <w:u w:val="single"/>
        </w:rPr>
        <w:t>exhaustive</w:t>
      </w:r>
      <w:r w:rsidRPr="00DA66C7">
        <w:rPr>
          <w:rFonts w:ascii="Calibri" w:hAnsi="Calibri" w:cs="Calibri"/>
          <w:b/>
        </w:rPr>
        <w:t>.</w:t>
      </w:r>
      <w:r w:rsidRPr="00DA66C7">
        <w:rPr>
          <w:rFonts w:ascii="Calibri" w:hAnsi="Calibri" w:cs="Calibri"/>
        </w:rPr>
        <w:t xml:space="preserve"> It is important to note that while all distributions involve trades, not all trades qualify as distributions.</w:t>
      </w:r>
    </w:p>
    <w:p w:rsidR="00DA66C7" w:rsidRDefault="00DA66C7" w:rsidP="00FF0B61">
      <w:pPr>
        <w:pStyle w:val="ListParagraph"/>
        <w:spacing w:after="0"/>
        <w:ind w:left="0"/>
        <w:rPr>
          <w:rFonts w:ascii="Calibri" w:hAnsi="Calibri" w:cs="Calibri"/>
          <w:b/>
        </w:rPr>
      </w:pPr>
    </w:p>
    <w:p w:rsidR="00B32323" w:rsidRPr="009A2621" w:rsidRDefault="006909D1" w:rsidP="00FF0B61">
      <w:pPr>
        <w:pStyle w:val="ListParagraph"/>
        <w:spacing w:after="0"/>
        <w:ind w:left="0"/>
        <w:rPr>
          <w:rFonts w:ascii="Calibri" w:hAnsi="Calibri" w:cs="Calibri"/>
        </w:rPr>
      </w:pPr>
      <w:r w:rsidRPr="004C7AB2">
        <w:rPr>
          <w:rFonts w:ascii="Calibri" w:hAnsi="Calibri" w:cs="Calibri"/>
          <w:b/>
        </w:rPr>
        <w:t>[a</w:t>
      </w:r>
      <w:r w:rsidRPr="005521CB">
        <w:rPr>
          <w:rFonts w:ascii="Calibri" w:hAnsi="Calibri" w:cs="Calibri"/>
          <w:b/>
        </w:rPr>
        <w:t>]</w:t>
      </w:r>
      <w:r w:rsidR="00B32323" w:rsidRPr="005521CB">
        <w:rPr>
          <w:rFonts w:ascii="Calibri" w:hAnsi="Calibri" w:cs="Calibri"/>
        </w:rPr>
        <w:t xml:space="preserve"> </w:t>
      </w:r>
      <w:r w:rsidR="00000166" w:rsidRPr="005521CB">
        <w:rPr>
          <w:rFonts w:ascii="Calibri" w:hAnsi="Calibri" w:cs="Calibri"/>
        </w:rPr>
        <w:t>a</w:t>
      </w:r>
      <w:r w:rsidR="0057461A" w:rsidRPr="00BC668A">
        <w:rPr>
          <w:rFonts w:ascii="Calibri" w:hAnsi="Calibri" w:cs="Calibri"/>
          <w:u w:val="single"/>
        </w:rPr>
        <w:t xml:space="preserve"> trade</w:t>
      </w:r>
      <w:r w:rsidR="0057461A" w:rsidRPr="00604DC8">
        <w:rPr>
          <w:rFonts w:ascii="Calibri" w:hAnsi="Calibri" w:cs="Calibri"/>
        </w:rPr>
        <w:t xml:space="preserve"> in securities that </w:t>
      </w:r>
      <w:r w:rsidR="0057461A" w:rsidRPr="00000166">
        <w:rPr>
          <w:rFonts w:ascii="Calibri" w:hAnsi="Calibri" w:cs="Calibri"/>
          <w:b/>
        </w:rPr>
        <w:t>have not previously been issued</w:t>
      </w:r>
      <w:r w:rsidR="0057461A" w:rsidRPr="00604DC8">
        <w:rPr>
          <w:rFonts w:ascii="Calibri" w:hAnsi="Calibri" w:cs="Calibri"/>
        </w:rPr>
        <w:t xml:space="preserve"> (i.e. new to the market)</w:t>
      </w:r>
      <w:r w:rsidR="009A2621">
        <w:rPr>
          <w:rFonts w:ascii="Calibri" w:hAnsi="Calibri" w:cs="Calibri"/>
        </w:rPr>
        <w:t xml:space="preserve"> (</w:t>
      </w:r>
      <w:r w:rsidR="009A2621" w:rsidRPr="007D6C45">
        <w:rPr>
          <w:rFonts w:ascii="Calibri" w:hAnsi="Calibri" w:cs="Calibri"/>
          <w:b/>
          <w:color w:val="C45911"/>
        </w:rPr>
        <w:t>BCSA</w:t>
      </w:r>
      <w:r w:rsidR="009A2621">
        <w:rPr>
          <w:rFonts w:ascii="Calibri" w:hAnsi="Calibri" w:cs="Calibri"/>
          <w:b/>
          <w:color w:val="C45911"/>
        </w:rPr>
        <w:t>,</w:t>
      </w:r>
      <w:r w:rsidR="009A2621" w:rsidRPr="007D6C45">
        <w:rPr>
          <w:rFonts w:ascii="Calibri" w:hAnsi="Calibri" w:cs="Calibri"/>
          <w:b/>
          <w:color w:val="C45911"/>
        </w:rPr>
        <w:t xml:space="preserve"> s. 1(1)</w:t>
      </w:r>
      <w:r w:rsidR="009A2621">
        <w:rPr>
          <w:rFonts w:ascii="Calibri" w:hAnsi="Calibri" w:cs="Calibri"/>
          <w:b/>
          <w:color w:val="C45911"/>
        </w:rPr>
        <w:t>(a))</w:t>
      </w:r>
    </w:p>
    <w:p w:rsidR="0016310B" w:rsidRDefault="006909D1" w:rsidP="00FF0B61">
      <w:pPr>
        <w:spacing w:after="0" w:line="240" w:lineRule="auto"/>
        <w:rPr>
          <w:rFonts w:ascii="Calibri" w:hAnsi="Calibri" w:cs="Calibri"/>
        </w:rPr>
      </w:pPr>
      <w:r w:rsidRPr="0016310B">
        <w:rPr>
          <w:rFonts w:ascii="Calibri" w:hAnsi="Calibri" w:cs="Calibri"/>
          <w:b/>
        </w:rPr>
        <w:t>[</w:t>
      </w:r>
      <w:r w:rsidR="00B32323" w:rsidRPr="0016310B">
        <w:rPr>
          <w:rFonts w:ascii="Calibri" w:hAnsi="Calibri" w:cs="Calibri"/>
          <w:b/>
        </w:rPr>
        <w:t>c</w:t>
      </w:r>
      <w:r w:rsidRPr="0016310B">
        <w:rPr>
          <w:rFonts w:ascii="Calibri" w:hAnsi="Calibri" w:cs="Calibri"/>
          <w:b/>
        </w:rPr>
        <w:t>]</w:t>
      </w:r>
      <w:r w:rsidR="00B32323" w:rsidRPr="0016310B">
        <w:rPr>
          <w:rFonts w:ascii="Calibri" w:hAnsi="Calibri" w:cs="Calibri"/>
          <w:b/>
        </w:rPr>
        <w:t xml:space="preserve"> </w:t>
      </w:r>
      <w:r w:rsidR="00000166" w:rsidRPr="0016310B">
        <w:rPr>
          <w:rFonts w:ascii="Calibri" w:hAnsi="Calibri" w:cs="Calibri"/>
        </w:rPr>
        <w:t xml:space="preserve">a </w:t>
      </w:r>
      <w:r w:rsidR="00000166" w:rsidRPr="005521CB">
        <w:rPr>
          <w:rFonts w:ascii="Calibri" w:hAnsi="Calibri" w:cs="Calibri"/>
          <w:u w:val="single"/>
        </w:rPr>
        <w:t xml:space="preserve">trade </w:t>
      </w:r>
      <w:r w:rsidR="00000166" w:rsidRPr="0016310B">
        <w:rPr>
          <w:rFonts w:ascii="Calibri" w:hAnsi="Calibri" w:cs="Calibri"/>
        </w:rPr>
        <w:t>in a</w:t>
      </w:r>
      <w:r w:rsidR="00000166" w:rsidRPr="0016310B">
        <w:rPr>
          <w:rFonts w:ascii="Calibri" w:hAnsi="Calibri" w:cs="Calibri"/>
          <w:b/>
        </w:rPr>
        <w:t xml:space="preserve"> previously issued security of an issuer from the holdings of a control person</w:t>
      </w:r>
      <w:r w:rsidR="00000166" w:rsidRPr="0016310B">
        <w:rPr>
          <w:rFonts w:ascii="Calibri" w:hAnsi="Calibri" w:cs="Calibri"/>
        </w:rPr>
        <w:t xml:space="preserve"> </w:t>
      </w:r>
      <w:r w:rsidR="0057461A" w:rsidRPr="0016310B">
        <w:rPr>
          <w:rFonts w:ascii="Calibri" w:hAnsi="Calibri" w:cs="Calibri"/>
        </w:rPr>
        <w:t xml:space="preserve">(a person with more than 20% of the issuer’s outstanding voting securities is </w:t>
      </w:r>
      <w:r w:rsidR="0057461A" w:rsidRPr="0016310B">
        <w:rPr>
          <w:rFonts w:ascii="Calibri" w:hAnsi="Calibri" w:cs="Calibri"/>
          <w:i/>
        </w:rPr>
        <w:t>deemed</w:t>
      </w:r>
      <w:r w:rsidR="0057461A" w:rsidRPr="0016310B">
        <w:rPr>
          <w:rFonts w:ascii="Calibri" w:hAnsi="Calibri" w:cs="Calibri"/>
        </w:rPr>
        <w:t xml:space="preserve"> a </w:t>
      </w:r>
      <w:r w:rsidR="00470C9A" w:rsidRPr="0016310B">
        <w:rPr>
          <w:rFonts w:ascii="Calibri" w:hAnsi="Calibri" w:cs="Calibri"/>
        </w:rPr>
        <w:t>“</w:t>
      </w:r>
      <w:r w:rsidR="0057461A" w:rsidRPr="0016310B">
        <w:rPr>
          <w:rFonts w:ascii="Calibri" w:hAnsi="Calibri" w:cs="Calibri"/>
        </w:rPr>
        <w:t>control person</w:t>
      </w:r>
      <w:r w:rsidR="00470C9A" w:rsidRPr="0016310B">
        <w:rPr>
          <w:rFonts w:ascii="Calibri" w:hAnsi="Calibri" w:cs="Calibri"/>
        </w:rPr>
        <w:t>”</w:t>
      </w:r>
      <w:r w:rsidR="004679BF">
        <w:rPr>
          <w:rFonts w:ascii="Calibri" w:hAnsi="Calibri" w:cs="Calibri"/>
        </w:rPr>
        <w:t>;</w:t>
      </w:r>
      <w:r w:rsidR="0057461A" w:rsidRPr="0016310B">
        <w:rPr>
          <w:rFonts w:ascii="Calibri" w:hAnsi="Calibri" w:cs="Calibri"/>
        </w:rPr>
        <w:t xml:space="preserve"> however, a lower percentage than 20 may constitute control – each case must be evaluated on its particular circumstances</w:t>
      </w:r>
      <w:r w:rsidR="0016310B" w:rsidRPr="0016310B">
        <w:rPr>
          <w:rFonts w:ascii="Calibri" w:hAnsi="Calibri" w:cs="Calibri"/>
        </w:rPr>
        <w:t>) (</w:t>
      </w:r>
      <w:r w:rsidR="0016310B" w:rsidRPr="002627A9">
        <w:rPr>
          <w:rFonts w:ascii="Calibri" w:hAnsi="Calibri" w:cs="Calibri"/>
          <w:b/>
          <w:color w:val="C45911"/>
        </w:rPr>
        <w:t>BCSA</w:t>
      </w:r>
      <w:r w:rsidR="00C65C7F">
        <w:rPr>
          <w:rFonts w:ascii="Calibri" w:hAnsi="Calibri" w:cs="Calibri"/>
          <w:b/>
          <w:color w:val="C45911"/>
        </w:rPr>
        <w:t>, s. 1(1)</w:t>
      </w:r>
      <w:r w:rsidR="0016310B" w:rsidRPr="0016310B">
        <w:rPr>
          <w:rFonts w:ascii="Calibri" w:hAnsi="Calibri" w:cs="Calibri"/>
          <w:b/>
          <w:color w:val="C45911"/>
        </w:rPr>
        <w:t>(c))</w:t>
      </w:r>
    </w:p>
    <w:p w:rsidR="00B00A17" w:rsidRPr="0016310B" w:rsidRDefault="0016310B" w:rsidP="00FF0B61">
      <w:pPr>
        <w:pStyle w:val="ListParagraph"/>
        <w:numPr>
          <w:ilvl w:val="0"/>
          <w:numId w:val="20"/>
        </w:numPr>
        <w:spacing w:after="60"/>
        <w:rPr>
          <w:rFonts w:ascii="Calibri" w:hAnsi="Calibri" w:cs="Calibri"/>
        </w:rPr>
      </w:pPr>
      <w:r w:rsidRPr="0016310B">
        <w:rPr>
          <w:rFonts w:ascii="Calibri" w:hAnsi="Calibri" w:cs="Calibri"/>
        </w:rPr>
        <w:t>W</w:t>
      </w:r>
      <w:r w:rsidR="0057461A" w:rsidRPr="0016310B">
        <w:rPr>
          <w:rFonts w:ascii="Calibri" w:hAnsi="Calibri" w:cs="Calibri"/>
        </w:rPr>
        <w:t xml:space="preserve">hen a control person trades securities, those securities </w:t>
      </w:r>
      <w:r w:rsidR="0057461A" w:rsidRPr="0016310B">
        <w:rPr>
          <w:rFonts w:ascii="Calibri" w:hAnsi="Calibri" w:cs="Calibri"/>
          <w:u w:val="single"/>
        </w:rPr>
        <w:t>must be qualified with a prospectus</w:t>
      </w:r>
      <w:r w:rsidR="009928DD">
        <w:rPr>
          <w:rFonts w:ascii="Calibri" w:hAnsi="Calibri" w:cs="Calibri"/>
        </w:rPr>
        <w:t xml:space="preserve"> (</w:t>
      </w:r>
      <w:r w:rsidR="009928DD">
        <w:rPr>
          <w:rFonts w:ascii="Calibri" w:hAnsi="Calibri" w:cs="Calibri"/>
          <w:b/>
        </w:rPr>
        <w:t xml:space="preserve">Why: </w:t>
      </w:r>
      <w:r w:rsidR="009928DD">
        <w:rPr>
          <w:rFonts w:ascii="Calibri" w:hAnsi="Calibri" w:cs="Calibri"/>
        </w:rPr>
        <w:t>Control person has access to info where other security holders</w:t>
      </w:r>
      <w:r w:rsidR="00BA405F">
        <w:rPr>
          <w:rFonts w:ascii="Calibri" w:hAnsi="Calibri" w:cs="Calibri"/>
        </w:rPr>
        <w:t xml:space="preserve"> do not; </w:t>
      </w:r>
      <w:r w:rsidR="009928DD">
        <w:rPr>
          <w:rFonts w:ascii="Calibri" w:hAnsi="Calibri" w:cs="Calibri"/>
        </w:rPr>
        <w:t xml:space="preserve">Has vested interest to ensure selling at high price; etc). </w:t>
      </w:r>
    </w:p>
    <w:p w:rsidR="0057461A" w:rsidRPr="0016310B" w:rsidRDefault="0057461A" w:rsidP="00FF0B61">
      <w:pPr>
        <w:pStyle w:val="ListParagraph"/>
        <w:numPr>
          <w:ilvl w:val="0"/>
          <w:numId w:val="20"/>
        </w:numPr>
        <w:spacing w:before="60" w:after="60"/>
        <w:rPr>
          <w:rFonts w:ascii="Calibri" w:hAnsi="Calibri" w:cs="Calibri"/>
        </w:rPr>
      </w:pPr>
      <w:r w:rsidRPr="0016310B">
        <w:rPr>
          <w:rFonts w:ascii="Calibri" w:hAnsi="Calibri" w:cs="Calibri"/>
        </w:rPr>
        <w:t xml:space="preserve">Someone </w:t>
      </w:r>
      <w:r w:rsidR="00B00A17" w:rsidRPr="0016310B">
        <w:rPr>
          <w:rFonts w:ascii="Calibri" w:hAnsi="Calibri" w:cs="Calibri"/>
        </w:rPr>
        <w:t>can be</w:t>
      </w:r>
      <w:r w:rsidRPr="0016310B">
        <w:rPr>
          <w:rFonts w:ascii="Calibri" w:hAnsi="Calibri" w:cs="Calibri"/>
        </w:rPr>
        <w:t xml:space="preserve"> </w:t>
      </w:r>
      <w:r w:rsidR="00B00A17" w:rsidRPr="0016310B">
        <w:rPr>
          <w:rFonts w:ascii="Calibri" w:hAnsi="Calibri" w:cs="Calibri"/>
        </w:rPr>
        <w:t xml:space="preserve">a </w:t>
      </w:r>
      <w:r w:rsidRPr="0016310B">
        <w:rPr>
          <w:rFonts w:ascii="Calibri" w:hAnsi="Calibri" w:cs="Calibri"/>
        </w:rPr>
        <w:t>control person with less t</w:t>
      </w:r>
      <w:r w:rsidR="00B00A17" w:rsidRPr="0016310B">
        <w:rPr>
          <w:rFonts w:ascii="Calibri" w:hAnsi="Calibri" w:cs="Calibri"/>
        </w:rPr>
        <w:t>han 20% of the company’s shares (</w:t>
      </w:r>
      <w:r w:rsidR="00B00A17" w:rsidRPr="0016310B">
        <w:rPr>
          <w:rFonts w:ascii="Calibri" w:hAnsi="Calibri" w:cs="Calibri"/>
          <w:b/>
          <w:i/>
          <w:color w:val="1006E0"/>
        </w:rPr>
        <w:t>Re Deerhorn Mines/R v. Boyle</w:t>
      </w:r>
      <w:r w:rsidR="00B00A17" w:rsidRPr="0016310B">
        <w:rPr>
          <w:rFonts w:ascii="Calibri" w:hAnsi="Calibri" w:cs="Calibri"/>
          <w:b/>
          <w:color w:val="1006E0"/>
        </w:rPr>
        <w:t>)</w:t>
      </w:r>
    </w:p>
    <w:p w:rsidR="0057461A" w:rsidRDefault="006909D1" w:rsidP="00FF0B61">
      <w:pPr>
        <w:pStyle w:val="ListParagraph"/>
        <w:spacing w:before="60" w:after="60"/>
        <w:ind w:left="0"/>
        <w:rPr>
          <w:rFonts w:ascii="Calibri" w:hAnsi="Calibri" w:cs="Calibri"/>
          <w:b/>
          <w:color w:val="C45911"/>
        </w:rPr>
      </w:pPr>
      <w:r w:rsidRPr="00034804">
        <w:rPr>
          <w:rFonts w:ascii="Calibri" w:hAnsi="Calibri" w:cs="Calibri"/>
          <w:b/>
        </w:rPr>
        <w:t>[e]</w:t>
      </w:r>
      <w:r w:rsidR="00B32323" w:rsidRPr="00034804">
        <w:rPr>
          <w:rFonts w:ascii="Calibri" w:hAnsi="Calibri" w:cs="Calibri"/>
        </w:rPr>
        <w:t xml:space="preserve"> </w:t>
      </w:r>
      <w:r w:rsidR="005F71BF" w:rsidRPr="00034804">
        <w:rPr>
          <w:rFonts w:ascii="Calibri" w:hAnsi="Calibri" w:cs="Calibri"/>
        </w:rPr>
        <w:t xml:space="preserve">a </w:t>
      </w:r>
      <w:r w:rsidR="005F71BF" w:rsidRPr="005521CB">
        <w:rPr>
          <w:rFonts w:ascii="Calibri" w:hAnsi="Calibri" w:cs="Calibri"/>
          <w:u w:val="single"/>
        </w:rPr>
        <w:t>trade</w:t>
      </w:r>
      <w:r w:rsidR="005F71BF" w:rsidRPr="00034804">
        <w:rPr>
          <w:rFonts w:ascii="Calibri" w:hAnsi="Calibri" w:cs="Calibri"/>
        </w:rPr>
        <w:t xml:space="preserve"> </w:t>
      </w:r>
      <w:r w:rsidR="005F71BF" w:rsidRPr="00034804">
        <w:rPr>
          <w:rFonts w:ascii="Calibri" w:hAnsi="Calibri" w:cs="Calibri"/>
          <w:b/>
        </w:rPr>
        <w:t>deemed a distribution: i) in an order</w:t>
      </w:r>
      <w:r w:rsidR="00034804" w:rsidRPr="00034804">
        <w:rPr>
          <w:rFonts w:ascii="Calibri" w:hAnsi="Calibri" w:cs="Calibri"/>
          <w:b/>
        </w:rPr>
        <w:t xml:space="preserve"> under s.76 by commission or executive</w:t>
      </w:r>
      <w:r w:rsidR="005F71BF" w:rsidRPr="00034804">
        <w:rPr>
          <w:rFonts w:ascii="Calibri" w:hAnsi="Calibri" w:cs="Calibri"/>
          <w:b/>
        </w:rPr>
        <w:t xml:space="preserve"> DIR; </w:t>
      </w:r>
      <w:r w:rsidR="00034804" w:rsidRPr="00034804">
        <w:rPr>
          <w:rFonts w:ascii="Calibri" w:hAnsi="Calibri" w:cs="Calibri"/>
          <w:b/>
        </w:rPr>
        <w:t xml:space="preserve">OR </w:t>
      </w:r>
      <w:r w:rsidR="005F71BF" w:rsidRPr="00034804">
        <w:rPr>
          <w:rFonts w:ascii="Calibri" w:hAnsi="Calibri" w:cs="Calibri"/>
          <w:b/>
        </w:rPr>
        <w:t>ii) in the regulations</w:t>
      </w:r>
      <w:r w:rsidR="009A2621" w:rsidRPr="00034804">
        <w:rPr>
          <w:rFonts w:ascii="Calibri" w:hAnsi="Calibri" w:cs="Calibri"/>
        </w:rPr>
        <w:t xml:space="preserve"> (</w:t>
      </w:r>
      <w:r w:rsidR="00C65C7F">
        <w:rPr>
          <w:rFonts w:ascii="Calibri" w:hAnsi="Calibri" w:cs="Calibri"/>
          <w:b/>
          <w:color w:val="C45911"/>
        </w:rPr>
        <w:t>BCSA, s. 1(1)</w:t>
      </w:r>
      <w:r w:rsidR="009A2621" w:rsidRPr="00034804">
        <w:rPr>
          <w:rFonts w:ascii="Calibri" w:hAnsi="Calibri" w:cs="Calibri"/>
          <w:b/>
          <w:color w:val="C45911"/>
        </w:rPr>
        <w:t>(e))</w:t>
      </w:r>
    </w:p>
    <w:p w:rsidR="00B65E50" w:rsidRPr="00EF6630" w:rsidRDefault="00EF6630" w:rsidP="00FF0B61">
      <w:pPr>
        <w:pStyle w:val="ListParagraph"/>
        <w:numPr>
          <w:ilvl w:val="0"/>
          <w:numId w:val="21"/>
        </w:numPr>
        <w:spacing w:before="60" w:after="60"/>
        <w:rPr>
          <w:rFonts w:ascii="Calibri" w:hAnsi="Calibri" w:cs="Calibri"/>
        </w:rPr>
      </w:pPr>
      <w:r w:rsidRPr="00EF6630">
        <w:rPr>
          <w:rFonts w:ascii="Calibri" w:hAnsi="Calibri" w:cs="Calibri"/>
          <w:b/>
        </w:rPr>
        <w:t>s.76(1)</w:t>
      </w:r>
      <w:r w:rsidRPr="00EF6630">
        <w:rPr>
          <w:rFonts w:ascii="Calibri" w:hAnsi="Calibri" w:cs="Calibri"/>
        </w:rPr>
        <w:t xml:space="preserve"> </w:t>
      </w:r>
      <w:r w:rsidRPr="00EF6630">
        <w:rPr>
          <w:rFonts w:ascii="Calibri" w:hAnsi="Calibri" w:cs="Calibri"/>
        </w:rPr>
        <w:sym w:font="Wingdings" w:char="F0E0"/>
      </w:r>
      <w:r>
        <w:rPr>
          <w:rFonts w:ascii="Calibri" w:hAnsi="Calibri" w:cs="Calibri"/>
        </w:rPr>
        <w:t xml:space="preserve"> </w:t>
      </w:r>
      <w:r w:rsidRPr="00EF6630">
        <w:rPr>
          <w:rFonts w:ascii="Calibri" w:hAnsi="Calibri" w:cs="Calibri"/>
        </w:rPr>
        <w:t>Residual discretion of Sec. Com. Senior staff to deem a distribution and force disclosure.</w:t>
      </w:r>
    </w:p>
    <w:p w:rsidR="006369FC" w:rsidRDefault="004C7AB2" w:rsidP="00FF0B61">
      <w:pPr>
        <w:pStyle w:val="ListParagraph"/>
        <w:spacing w:before="60" w:after="60"/>
        <w:ind w:left="0"/>
        <w:rPr>
          <w:rFonts w:ascii="Calibri" w:hAnsi="Calibri" w:cs="Calibri"/>
          <w:b/>
          <w:color w:val="C45911"/>
        </w:rPr>
      </w:pPr>
      <w:r w:rsidRPr="004C7AB2">
        <w:rPr>
          <w:rFonts w:ascii="Calibri" w:hAnsi="Calibri" w:cs="Calibri"/>
          <w:b/>
        </w:rPr>
        <w:t>[f]</w:t>
      </w:r>
      <w:r w:rsidR="00B32323">
        <w:rPr>
          <w:rFonts w:ascii="Calibri" w:hAnsi="Calibri" w:cs="Calibri"/>
        </w:rPr>
        <w:t xml:space="preserve"> </w:t>
      </w:r>
      <w:r w:rsidR="0057461A" w:rsidRPr="00EF79CC">
        <w:rPr>
          <w:rFonts w:ascii="Calibri" w:hAnsi="Calibri" w:cs="Calibri"/>
        </w:rPr>
        <w:t>any transaction involving a</w:t>
      </w:r>
      <w:r w:rsidR="0057461A" w:rsidRPr="00040130">
        <w:rPr>
          <w:rFonts w:ascii="Calibri" w:hAnsi="Calibri" w:cs="Calibri"/>
          <w:b/>
        </w:rPr>
        <w:t xml:space="preserve"> purchase and sale or a repurchase and resale during distribution or incidental to distribution</w:t>
      </w:r>
      <w:r w:rsidR="0057461A" w:rsidRPr="00EF79CC">
        <w:rPr>
          <w:rFonts w:ascii="Calibri" w:hAnsi="Calibri" w:cs="Calibri"/>
        </w:rPr>
        <w:t xml:space="preserve">: this includes securities purchased by an </w:t>
      </w:r>
      <w:r w:rsidR="0057461A" w:rsidRPr="00727910">
        <w:rPr>
          <w:rFonts w:ascii="Calibri" w:hAnsi="Calibri" w:cs="Calibri"/>
          <w:b/>
          <w:u w:val="single"/>
        </w:rPr>
        <w:t>underwriter</w:t>
      </w:r>
      <w:r w:rsidR="0057461A" w:rsidRPr="00EF79CC">
        <w:rPr>
          <w:rFonts w:ascii="Calibri" w:hAnsi="Calibri" w:cs="Calibri"/>
        </w:rPr>
        <w:t xml:space="preserve"> during a distribution, where the underwriter </w:t>
      </w:r>
      <w:r w:rsidR="003311B7">
        <w:rPr>
          <w:rFonts w:ascii="Calibri" w:hAnsi="Calibri" w:cs="Calibri"/>
        </w:rPr>
        <w:t>plans to resell the securities (</w:t>
      </w:r>
      <w:r w:rsidR="003311B7" w:rsidRPr="007D6C45">
        <w:rPr>
          <w:rFonts w:ascii="Calibri" w:hAnsi="Calibri" w:cs="Calibri"/>
          <w:b/>
          <w:color w:val="C45911"/>
        </w:rPr>
        <w:t>BCSA</w:t>
      </w:r>
      <w:r w:rsidR="003311B7">
        <w:rPr>
          <w:rFonts w:ascii="Calibri" w:hAnsi="Calibri" w:cs="Calibri"/>
          <w:b/>
          <w:color w:val="C45911"/>
        </w:rPr>
        <w:t>,</w:t>
      </w:r>
      <w:r w:rsidR="003311B7" w:rsidRPr="007D6C45">
        <w:rPr>
          <w:rFonts w:ascii="Calibri" w:hAnsi="Calibri" w:cs="Calibri"/>
          <w:b/>
          <w:color w:val="C45911"/>
        </w:rPr>
        <w:t xml:space="preserve"> s. 1(1)</w:t>
      </w:r>
      <w:r w:rsidR="003311B7">
        <w:rPr>
          <w:rFonts w:ascii="Calibri" w:hAnsi="Calibri" w:cs="Calibri"/>
          <w:b/>
          <w:color w:val="C45911"/>
        </w:rPr>
        <w:t xml:space="preserve">(f)). </w:t>
      </w:r>
    </w:p>
    <w:p w:rsidR="00FF0B61" w:rsidRDefault="00FF0B61" w:rsidP="00FF0B61">
      <w:pPr>
        <w:pStyle w:val="ListParagraph"/>
        <w:spacing w:before="60" w:after="60"/>
        <w:ind w:left="0"/>
        <w:rPr>
          <w:rFonts w:ascii="Calibri" w:hAnsi="Calibri" w:cs="Calibri"/>
          <w:b/>
          <w:color w:val="C45911"/>
        </w:rPr>
      </w:pPr>
    </w:p>
    <w:p w:rsidR="005225E3" w:rsidRPr="005225E3" w:rsidRDefault="005225E3" w:rsidP="00FF0B61">
      <w:pPr>
        <w:pStyle w:val="Heading3"/>
        <w:spacing w:line="240" w:lineRule="auto"/>
      </w:pPr>
      <w:bookmarkStart w:id="15" w:name="_Toc468980394"/>
      <w:r w:rsidRPr="005225E3">
        <w:t>Different Kinds of Distribution</w:t>
      </w:r>
      <w:bookmarkEnd w:id="15"/>
      <w:r w:rsidRPr="005225E3">
        <w:t xml:space="preserve"> </w:t>
      </w:r>
    </w:p>
    <w:p w:rsidR="00B72273" w:rsidRPr="00124C00" w:rsidRDefault="00FB3A20" w:rsidP="00FF0B61">
      <w:pPr>
        <w:pStyle w:val="ListParagraph"/>
        <w:spacing w:after="0"/>
        <w:ind w:left="0"/>
        <w:rPr>
          <w:rFonts w:ascii="Calibri" w:hAnsi="Calibri" w:cs="Calibri"/>
        </w:rPr>
      </w:pPr>
      <w:r>
        <w:rPr>
          <w:rFonts w:ascii="Calibri" w:hAnsi="Calibri" w:cs="Calibri"/>
          <w:b/>
        </w:rPr>
        <w:t>RI</w:t>
      </w:r>
      <w:r w:rsidR="00124C00">
        <w:rPr>
          <w:rFonts w:ascii="Calibri" w:hAnsi="Calibri" w:cs="Calibri"/>
          <w:b/>
        </w:rPr>
        <w:t xml:space="preserve">: </w:t>
      </w:r>
      <w:r w:rsidR="00124C00">
        <w:rPr>
          <w:rFonts w:ascii="Calibri" w:hAnsi="Calibri" w:cs="Calibri"/>
        </w:rPr>
        <w:t xml:space="preserve">If you make a distribution you are a RI. </w:t>
      </w:r>
      <w:r w:rsidR="00B72273">
        <w:rPr>
          <w:rFonts w:ascii="Calibri" w:hAnsi="Calibri" w:cs="Calibri"/>
        </w:rPr>
        <w:t xml:space="preserve">Where a co. wants to distribute to the public, do it either </w:t>
      </w:r>
      <w:r w:rsidR="00B72273" w:rsidRPr="00D126B9">
        <w:rPr>
          <w:rFonts w:ascii="Calibri" w:hAnsi="Calibri" w:cs="Calibri"/>
          <w:b/>
        </w:rPr>
        <w:t>1)</w:t>
      </w:r>
      <w:r w:rsidR="00B72273">
        <w:rPr>
          <w:rFonts w:ascii="Calibri" w:hAnsi="Calibri" w:cs="Calibri"/>
        </w:rPr>
        <w:t xml:space="preserve"> </w:t>
      </w:r>
      <w:r w:rsidR="00845625">
        <w:rPr>
          <w:rFonts w:ascii="Calibri" w:hAnsi="Calibri" w:cs="Calibri"/>
          <w:b/>
        </w:rPr>
        <w:t>D</w:t>
      </w:r>
      <w:r w:rsidR="00B72273">
        <w:rPr>
          <w:rFonts w:ascii="Calibri" w:hAnsi="Calibri" w:cs="Calibri"/>
          <w:b/>
        </w:rPr>
        <w:t>irect issue</w:t>
      </w:r>
      <w:r w:rsidR="00B72273">
        <w:rPr>
          <w:rFonts w:ascii="Calibri" w:hAnsi="Calibri" w:cs="Calibri"/>
        </w:rPr>
        <w:t xml:space="preserve"> or </w:t>
      </w:r>
      <w:r w:rsidR="00B72273" w:rsidRPr="00D126B9">
        <w:rPr>
          <w:rFonts w:ascii="Calibri" w:hAnsi="Calibri" w:cs="Calibri"/>
          <w:b/>
        </w:rPr>
        <w:t>2)</w:t>
      </w:r>
      <w:r w:rsidR="00B72273">
        <w:rPr>
          <w:rFonts w:ascii="Calibri" w:hAnsi="Calibri" w:cs="Calibri"/>
        </w:rPr>
        <w:t xml:space="preserve"> hire </w:t>
      </w:r>
      <w:r w:rsidR="00DA6D2B">
        <w:rPr>
          <w:rFonts w:ascii="Calibri" w:hAnsi="Calibri" w:cs="Calibri"/>
          <w:b/>
        </w:rPr>
        <w:t>an UW</w:t>
      </w:r>
      <w:r w:rsidR="0015272E">
        <w:rPr>
          <w:rFonts w:ascii="Calibri" w:hAnsi="Calibri" w:cs="Calibri"/>
          <w:b/>
        </w:rPr>
        <w:t xml:space="preserve"> </w:t>
      </w:r>
      <w:r w:rsidR="00B72273">
        <w:rPr>
          <w:rFonts w:ascii="Calibri" w:hAnsi="Calibri" w:cs="Calibri"/>
        </w:rPr>
        <w:t xml:space="preserve">(main route). This company is called an </w:t>
      </w:r>
      <w:r w:rsidR="00B72273">
        <w:rPr>
          <w:rFonts w:ascii="Calibri" w:hAnsi="Calibri" w:cs="Calibri"/>
          <w:b/>
        </w:rPr>
        <w:t xml:space="preserve">issuer. </w:t>
      </w:r>
    </w:p>
    <w:p w:rsidR="00BB13FC" w:rsidRPr="00A26536" w:rsidRDefault="000451A9" w:rsidP="00FF0B61">
      <w:pPr>
        <w:spacing w:before="60" w:after="60" w:line="240" w:lineRule="auto"/>
        <w:rPr>
          <w:rFonts w:ascii="Calibri" w:hAnsi="Calibri" w:cs="Calibri"/>
        </w:rPr>
      </w:pPr>
      <w:r>
        <w:rPr>
          <w:rFonts w:ascii="Calibri" w:hAnsi="Calibri" w:cs="Calibri"/>
          <w:b/>
          <w:u w:val="single"/>
        </w:rPr>
        <w:t xml:space="preserve">[1] </w:t>
      </w:r>
      <w:r w:rsidR="00796E45" w:rsidRPr="000451A9">
        <w:rPr>
          <w:rFonts w:ascii="Calibri" w:hAnsi="Calibri" w:cs="Calibri"/>
          <w:b/>
          <w:u w:val="single"/>
        </w:rPr>
        <w:t>Direct Issue</w:t>
      </w:r>
      <w:r w:rsidR="008C1ACF" w:rsidRPr="000451A9">
        <w:rPr>
          <w:rFonts w:ascii="Calibri" w:hAnsi="Calibri" w:cs="Calibri"/>
          <w:b/>
          <w:u w:val="single"/>
        </w:rPr>
        <w:t xml:space="preserve">: </w:t>
      </w:r>
      <w:r w:rsidR="00A26536">
        <w:rPr>
          <w:rFonts w:ascii="Calibri" w:hAnsi="Calibri" w:cs="Calibri"/>
        </w:rPr>
        <w:t xml:space="preserve">Issuer itself makes direct contact with potential </w:t>
      </w:r>
      <w:r w:rsidR="00B86001">
        <w:rPr>
          <w:rFonts w:ascii="Calibri" w:hAnsi="Calibri" w:cs="Calibri"/>
        </w:rPr>
        <w:t>purchaser’s</w:t>
      </w:r>
      <w:r w:rsidR="00A26536">
        <w:rPr>
          <w:rFonts w:ascii="Calibri" w:hAnsi="Calibri" w:cs="Calibri"/>
        </w:rPr>
        <w:t xml:space="preserve"> w/o an investment dealer or broker. </w:t>
      </w:r>
    </w:p>
    <w:p w:rsidR="00BB13FC" w:rsidRPr="00327882" w:rsidRDefault="000451A9" w:rsidP="00FF0B61">
      <w:pPr>
        <w:spacing w:before="60" w:after="0" w:line="240" w:lineRule="auto"/>
        <w:rPr>
          <w:rFonts w:ascii="Calibri" w:hAnsi="Calibri" w:cs="Calibri"/>
          <w:b/>
          <w:u w:val="single"/>
        </w:rPr>
      </w:pPr>
      <w:r>
        <w:rPr>
          <w:rFonts w:ascii="Calibri" w:hAnsi="Calibri" w:cs="Calibri"/>
          <w:b/>
          <w:u w:val="single"/>
        </w:rPr>
        <w:t xml:space="preserve">[2] </w:t>
      </w:r>
      <w:r w:rsidR="00FB3A20">
        <w:rPr>
          <w:rFonts w:ascii="Calibri" w:hAnsi="Calibri" w:cs="Calibri"/>
          <w:b/>
          <w:u w:val="single"/>
        </w:rPr>
        <w:t xml:space="preserve">UW </w:t>
      </w:r>
      <w:r w:rsidR="00EC364A">
        <w:rPr>
          <w:rFonts w:ascii="Calibri" w:hAnsi="Calibri" w:cs="Calibri"/>
          <w:b/>
          <w:u w:val="single"/>
        </w:rPr>
        <w:t>Arrangements</w:t>
      </w:r>
      <w:r w:rsidR="00BB13FC" w:rsidRPr="00D40A35">
        <w:rPr>
          <w:rFonts w:ascii="Calibri" w:hAnsi="Calibri" w:cs="Calibri"/>
          <w:b/>
        </w:rPr>
        <w:t>:</w:t>
      </w:r>
      <w:r w:rsidR="00BB13FC" w:rsidRPr="00EB4048">
        <w:rPr>
          <w:rFonts w:ascii="Calibri" w:hAnsi="Calibri" w:cs="Calibri"/>
          <w:b/>
        </w:rPr>
        <w:t xml:space="preserve"> </w:t>
      </w:r>
      <w:r w:rsidR="001369F0" w:rsidRPr="00C971D7">
        <w:rPr>
          <w:rFonts w:ascii="Calibri" w:hAnsi="Calibri" w:cs="Calibri"/>
          <w:b/>
        </w:rPr>
        <w:t>1)</w:t>
      </w:r>
      <w:r w:rsidR="00CA1741">
        <w:rPr>
          <w:rFonts w:ascii="Calibri" w:hAnsi="Calibri" w:cs="Calibri"/>
        </w:rPr>
        <w:t xml:space="preserve"> A</w:t>
      </w:r>
      <w:r w:rsidR="00C971D7">
        <w:rPr>
          <w:rFonts w:ascii="Calibri" w:hAnsi="Calibri" w:cs="Calibri"/>
        </w:rPr>
        <w:t>dvises</w:t>
      </w:r>
      <w:r w:rsidR="001369F0">
        <w:rPr>
          <w:rFonts w:ascii="Calibri" w:hAnsi="Calibri" w:cs="Calibri"/>
        </w:rPr>
        <w:t xml:space="preserve"> on financial situation/how to structure the transaction, </w:t>
      </w:r>
      <w:r w:rsidR="001369F0" w:rsidRPr="00647DEF">
        <w:rPr>
          <w:rFonts w:ascii="Calibri" w:hAnsi="Calibri" w:cs="Calibri"/>
          <w:b/>
        </w:rPr>
        <w:t>2)</w:t>
      </w:r>
      <w:r w:rsidR="001369F0">
        <w:rPr>
          <w:rFonts w:ascii="Calibri" w:hAnsi="Calibri" w:cs="Calibri"/>
        </w:rPr>
        <w:t xml:space="preserve"> Assist</w:t>
      </w:r>
      <w:r w:rsidR="00C971D7">
        <w:rPr>
          <w:rFonts w:ascii="Calibri" w:hAnsi="Calibri" w:cs="Calibri"/>
        </w:rPr>
        <w:t>s</w:t>
      </w:r>
      <w:r w:rsidR="001369F0">
        <w:rPr>
          <w:rFonts w:ascii="Calibri" w:hAnsi="Calibri" w:cs="Calibri"/>
        </w:rPr>
        <w:t xml:space="preserve"> in the distribution of their securities by finding investors &amp; conducting the transaction w/ them, </w:t>
      </w:r>
      <w:r w:rsidR="001369F0" w:rsidRPr="00647DEF">
        <w:rPr>
          <w:rFonts w:ascii="Calibri" w:hAnsi="Calibri" w:cs="Calibri"/>
          <w:b/>
        </w:rPr>
        <w:t xml:space="preserve">3) </w:t>
      </w:r>
      <w:r w:rsidR="001369F0">
        <w:rPr>
          <w:rFonts w:ascii="Calibri" w:hAnsi="Calibri" w:cs="Calibri"/>
        </w:rPr>
        <w:t>perform</w:t>
      </w:r>
      <w:r w:rsidR="00C971D7">
        <w:rPr>
          <w:rFonts w:ascii="Calibri" w:hAnsi="Calibri" w:cs="Calibri"/>
        </w:rPr>
        <w:t>s</w:t>
      </w:r>
      <w:r w:rsidR="001369F0">
        <w:rPr>
          <w:rFonts w:ascii="Calibri" w:hAnsi="Calibri" w:cs="Calibri"/>
        </w:rPr>
        <w:t xml:space="preserve"> risk-bearing function when they execute a firm commitment or bought deal by purchasing the issuers security that they will then resell, </w:t>
      </w:r>
      <w:r w:rsidR="001369F0" w:rsidRPr="00647DEF">
        <w:rPr>
          <w:rFonts w:ascii="Calibri" w:hAnsi="Calibri" w:cs="Calibri"/>
          <w:b/>
        </w:rPr>
        <w:t>4)</w:t>
      </w:r>
      <w:r w:rsidR="001369F0">
        <w:rPr>
          <w:rFonts w:ascii="Calibri" w:hAnsi="Calibri" w:cs="Calibri"/>
        </w:rPr>
        <w:t xml:space="preserve"> Give</w:t>
      </w:r>
      <w:r w:rsidR="00C971D7">
        <w:rPr>
          <w:rFonts w:ascii="Calibri" w:hAnsi="Calibri" w:cs="Calibri"/>
        </w:rPr>
        <w:t>s</w:t>
      </w:r>
      <w:r w:rsidR="001369F0">
        <w:rPr>
          <w:rFonts w:ascii="Calibri" w:hAnsi="Calibri" w:cs="Calibri"/>
        </w:rPr>
        <w:t xml:space="preserve"> a “seal of approval” on IPO – solidifies company’s value to prospective investors. </w:t>
      </w:r>
      <w:r w:rsidR="00BB13FC">
        <w:rPr>
          <w:rFonts w:ascii="Calibri" w:hAnsi="Calibri" w:cs="Calibri"/>
        </w:rPr>
        <w:t xml:space="preserve"> </w:t>
      </w:r>
    </w:p>
    <w:p w:rsidR="00FE6534" w:rsidRPr="00A127EE" w:rsidRDefault="00FB3A20" w:rsidP="00FF0B61">
      <w:pPr>
        <w:pStyle w:val="ListParagraph"/>
        <w:numPr>
          <w:ilvl w:val="0"/>
          <w:numId w:val="21"/>
        </w:numPr>
        <w:spacing w:before="60" w:after="0"/>
        <w:rPr>
          <w:b/>
          <w:i/>
        </w:rPr>
      </w:pPr>
      <w:r>
        <w:rPr>
          <w:b/>
        </w:rPr>
        <w:lastRenderedPageBreak/>
        <w:t>H</w:t>
      </w:r>
      <w:r w:rsidR="00EC7250">
        <w:rPr>
          <w:b/>
        </w:rPr>
        <w:t>ow UW’s a</w:t>
      </w:r>
      <w:r>
        <w:rPr>
          <w:b/>
        </w:rPr>
        <w:t>re paid</w:t>
      </w:r>
      <w:r w:rsidR="008C3A67">
        <w:rPr>
          <w:b/>
        </w:rPr>
        <w:t xml:space="preserve"> (UW Agreements)</w:t>
      </w:r>
      <w:r w:rsidR="001747A2">
        <w:rPr>
          <w:b/>
        </w:rPr>
        <w:t>:</w:t>
      </w:r>
      <w:r w:rsidR="00DA0000">
        <w:rPr>
          <w:b/>
        </w:rPr>
        <w:t xml:space="preserve"> Bought deal</w:t>
      </w:r>
      <w:r w:rsidR="004B7B48">
        <w:rPr>
          <w:b/>
        </w:rPr>
        <w:t xml:space="preserve"> (full risk)</w:t>
      </w:r>
      <w:r w:rsidR="00DA0000">
        <w:rPr>
          <w:b/>
        </w:rPr>
        <w:t xml:space="preserve"> - </w:t>
      </w:r>
      <w:r w:rsidR="00DA0000">
        <w:t>comp</w:t>
      </w:r>
      <w:r w:rsidR="0060200F">
        <w:t xml:space="preserve">any sells 100% of shares to the UW </w:t>
      </w:r>
      <w:r w:rsidR="00DA0000">
        <w:t xml:space="preserve">and the </w:t>
      </w:r>
      <w:r w:rsidR="0015272E">
        <w:t>UW</w:t>
      </w:r>
      <w:r w:rsidR="00DA0000">
        <w:t xml:space="preserve"> sells them out to the world</w:t>
      </w:r>
      <w:r w:rsidR="00DA0000">
        <w:rPr>
          <w:b/>
        </w:rPr>
        <w:t xml:space="preserve"> </w:t>
      </w:r>
      <w:r w:rsidR="00A127EE">
        <w:rPr>
          <w:b/>
        </w:rPr>
        <w:t>(</w:t>
      </w:r>
      <w:r w:rsidR="00A127EE" w:rsidRPr="00A127EE">
        <w:rPr>
          <w:b/>
          <w:i/>
          <w:color w:val="1006E0"/>
        </w:rPr>
        <w:t xml:space="preserve">Kerr </w:t>
      </w:r>
      <w:r w:rsidR="00A127EE">
        <w:rPr>
          <w:b/>
          <w:i/>
        </w:rPr>
        <w:t xml:space="preserve">– </w:t>
      </w:r>
      <w:r w:rsidR="00A127EE">
        <w:rPr>
          <w:i/>
        </w:rPr>
        <w:t>bought deal can be detrimental to investors b/c a purchaser has no remedy of L rescission against the issuer for misrepresentation in the prospectus, as it is the UW who sells the securities</w:t>
      </w:r>
      <w:r w:rsidR="00A127EE">
        <w:t xml:space="preserve">) </w:t>
      </w:r>
      <w:r w:rsidR="00DA0000">
        <w:rPr>
          <w:b/>
        </w:rPr>
        <w:t>// Market Deal Offering</w:t>
      </w:r>
      <w:r w:rsidR="004B7B48">
        <w:rPr>
          <w:b/>
        </w:rPr>
        <w:t xml:space="preserve"> (Medium Risk) -</w:t>
      </w:r>
      <w:r w:rsidR="001E5817">
        <w:rPr>
          <w:b/>
        </w:rPr>
        <w:t xml:space="preserve"> </w:t>
      </w:r>
      <w:r w:rsidR="0060200F">
        <w:t>K b/w issuer and UW</w:t>
      </w:r>
      <w:r w:rsidR="001E5817">
        <w:t xml:space="preserve"> and that </w:t>
      </w:r>
      <w:r w:rsidR="0060200F">
        <w:t xml:space="preserve">the issuer cannot talk to other UWs </w:t>
      </w:r>
      <w:r w:rsidR="001E5817">
        <w:t xml:space="preserve">but the </w:t>
      </w:r>
      <w:r w:rsidR="0060200F">
        <w:t>UW</w:t>
      </w:r>
      <w:r w:rsidR="001E5817">
        <w:t xml:space="preserve"> can test to see if can sell securities profitably</w:t>
      </w:r>
      <w:r w:rsidR="00DA0000">
        <w:rPr>
          <w:b/>
        </w:rPr>
        <w:t xml:space="preserve"> // Standby Offering</w:t>
      </w:r>
      <w:r w:rsidR="006431E5">
        <w:rPr>
          <w:b/>
        </w:rPr>
        <w:t xml:space="preserve"> (Med-Low Risk) -</w:t>
      </w:r>
      <w:r w:rsidR="00DA0000">
        <w:rPr>
          <w:b/>
        </w:rPr>
        <w:t xml:space="preserve">  </w:t>
      </w:r>
      <w:r w:rsidR="007D195D" w:rsidRPr="003120AC">
        <w:rPr>
          <w:lang w:val="en-CA"/>
        </w:rPr>
        <w:t>UW commits only to purchase sec that are not sold to investors at a certain price –</w:t>
      </w:r>
      <w:r w:rsidR="00E85DAC">
        <w:rPr>
          <w:lang w:val="en-CA"/>
        </w:rPr>
        <w:t xml:space="preserve"> </w:t>
      </w:r>
      <w:r w:rsidR="007D195D" w:rsidRPr="003120AC">
        <w:rPr>
          <w:lang w:val="en-CA"/>
        </w:rPr>
        <w:t>guarantees issuer, a minimum amount of total proceeds</w:t>
      </w:r>
      <w:r w:rsidR="00DA0000">
        <w:rPr>
          <w:b/>
        </w:rPr>
        <w:t xml:space="preserve"> // Best Efforts Agency Agreement </w:t>
      </w:r>
      <w:r w:rsidR="003A3E55">
        <w:rPr>
          <w:b/>
        </w:rPr>
        <w:t xml:space="preserve"> (Low Risk) - </w:t>
      </w:r>
      <w:r w:rsidR="00E85DAC">
        <w:t>UW</w:t>
      </w:r>
      <w:r w:rsidR="00D6028B">
        <w:t xml:space="preserve"> will make their “best efforts” to sell the shares, only get paid on commission.</w:t>
      </w:r>
    </w:p>
    <w:p w:rsidR="00A127EE" w:rsidRDefault="00A127EE" w:rsidP="00FF0B61">
      <w:pPr>
        <w:spacing w:before="60" w:after="0" w:line="240" w:lineRule="auto"/>
      </w:pPr>
      <w:r>
        <w:rPr>
          <w:b/>
        </w:rPr>
        <w:t xml:space="preserve">How UW’s Limit their Risk: </w:t>
      </w:r>
      <w:r w:rsidRPr="00506899">
        <w:rPr>
          <w:b/>
        </w:rPr>
        <w:t xml:space="preserve">1) Termination </w:t>
      </w:r>
      <w:r w:rsidR="00506899" w:rsidRPr="00506899">
        <w:rPr>
          <w:b/>
        </w:rPr>
        <w:t>Clauses:</w:t>
      </w:r>
      <w:r w:rsidR="00506899">
        <w:t xml:space="preserve"> </w:t>
      </w:r>
      <w:r w:rsidR="00506899" w:rsidRPr="00506899">
        <w:t>The UW can include a market-out clause and a disaster-out clause in the underwriting agreement. With a market-out clause, the UW can terminate the agreement if it determines, acting reasonably, that the securities cannot be marketed profitably</w:t>
      </w:r>
      <w:r w:rsidR="00506899">
        <w:t xml:space="preserve">; </w:t>
      </w:r>
      <w:r w:rsidR="00506899">
        <w:rPr>
          <w:b/>
        </w:rPr>
        <w:t xml:space="preserve">2) Invite other UW’s; 3) Disclosure of Conflicts of Interest: </w:t>
      </w:r>
      <w:r w:rsidR="00506899" w:rsidRPr="00506899">
        <w:t xml:space="preserve">A potentially non-independent UW (ie: where the UW is a subsidiary of a bank to which the issuer owes money) should make disclosers pursuant to </w:t>
      </w:r>
      <w:r w:rsidR="00506899" w:rsidRPr="00506899">
        <w:rPr>
          <w:b/>
          <w:color w:val="7030A0"/>
        </w:rPr>
        <w:t>NI 33-105</w:t>
      </w:r>
      <w:r w:rsidR="00506899" w:rsidRPr="00506899">
        <w:t>, Underwriting Conflicts, and if necessary, involve an independent UW.</w:t>
      </w:r>
    </w:p>
    <w:p w:rsidR="00144584" w:rsidRPr="00506899" w:rsidRDefault="00144584" w:rsidP="00FF0B61">
      <w:pPr>
        <w:spacing w:after="0" w:line="240" w:lineRule="auto"/>
      </w:pPr>
    </w:p>
    <w:p w:rsidR="00B122AF" w:rsidRDefault="004B367A" w:rsidP="00FF0B61">
      <w:pPr>
        <w:pStyle w:val="Heading2"/>
        <w:spacing w:line="240" w:lineRule="auto"/>
        <w:rPr>
          <w:lang w:val="en-CA" w:eastAsia="en-CA"/>
        </w:rPr>
      </w:pPr>
      <w:bookmarkStart w:id="16" w:name="_Toc468980395"/>
      <w:r w:rsidRPr="00685887">
        <w:rPr>
          <w:lang w:val="en-CA" w:eastAsia="en-CA"/>
        </w:rPr>
        <w:t>DEFINITION: “</w:t>
      </w:r>
      <w:r w:rsidR="00B122AF" w:rsidRPr="00685887">
        <w:rPr>
          <w:lang w:val="en-CA" w:eastAsia="en-CA"/>
        </w:rPr>
        <w:t>Materiality</w:t>
      </w:r>
      <w:r w:rsidRPr="00685887">
        <w:rPr>
          <w:lang w:val="en-CA" w:eastAsia="en-CA"/>
        </w:rPr>
        <w:t>”</w:t>
      </w:r>
      <w:bookmarkEnd w:id="16"/>
      <w:r w:rsidR="00B122AF">
        <w:rPr>
          <w:lang w:val="en-CA" w:eastAsia="en-CA"/>
        </w:rPr>
        <w:t xml:space="preserve"> </w:t>
      </w:r>
    </w:p>
    <w:p w:rsidR="00653A08" w:rsidRDefault="006C7346" w:rsidP="00FF0B61">
      <w:pPr>
        <w:spacing w:after="0" w:line="240" w:lineRule="auto"/>
        <w:rPr>
          <w:lang w:val="en-CA" w:eastAsia="en-CA"/>
        </w:rPr>
      </w:pPr>
      <w:r w:rsidRPr="001A2BC0">
        <w:rPr>
          <w:b/>
          <w:color w:val="C45911"/>
          <w:lang w:val="en-CA" w:eastAsia="en-CA"/>
        </w:rPr>
        <w:t>BCSA 63</w:t>
      </w:r>
      <w:r w:rsidRPr="001A2BC0">
        <w:rPr>
          <w:color w:val="C45911"/>
          <w:lang w:val="en-CA" w:eastAsia="en-CA"/>
        </w:rPr>
        <w:t xml:space="preserve"> </w:t>
      </w:r>
      <w:r w:rsidRPr="009D28DB">
        <w:rPr>
          <w:lang w:val="en-CA" w:eastAsia="en-CA"/>
        </w:rPr>
        <w:t xml:space="preserve">– must </w:t>
      </w:r>
      <w:r w:rsidR="00B33E2C" w:rsidRPr="009D28DB">
        <w:rPr>
          <w:lang w:val="en-CA" w:eastAsia="en-CA"/>
        </w:rPr>
        <w:t>provide</w:t>
      </w:r>
      <w:r w:rsidRPr="009D28DB">
        <w:rPr>
          <w:lang w:val="en-CA" w:eastAsia="en-CA"/>
        </w:rPr>
        <w:t xml:space="preserve"> “full, true and pain disclosure of all </w:t>
      </w:r>
      <w:r w:rsidR="009D28DB">
        <w:rPr>
          <w:b/>
          <w:lang w:val="en-CA" w:eastAsia="en-CA"/>
        </w:rPr>
        <w:t xml:space="preserve">material facts.” </w:t>
      </w:r>
      <w:r w:rsidR="008E214D">
        <w:rPr>
          <w:b/>
          <w:lang w:val="en-CA" w:eastAsia="en-CA"/>
        </w:rPr>
        <w:t xml:space="preserve">// </w:t>
      </w:r>
      <w:r w:rsidR="008E214D" w:rsidRPr="008B082E">
        <w:rPr>
          <w:b/>
          <w:lang w:val="en-CA" w:eastAsia="en-CA"/>
        </w:rPr>
        <w:t xml:space="preserve">“Misrepresentation” – </w:t>
      </w:r>
      <w:r w:rsidR="008E214D" w:rsidRPr="008B082E">
        <w:rPr>
          <w:lang w:val="en-CA" w:eastAsia="en-CA"/>
        </w:rPr>
        <w:t xml:space="preserve">means “an untrue statement of a </w:t>
      </w:r>
      <w:r w:rsidR="008E214D" w:rsidRPr="008B082E">
        <w:rPr>
          <w:b/>
          <w:lang w:val="en-CA" w:eastAsia="en-CA"/>
        </w:rPr>
        <w:t xml:space="preserve">material fact” </w:t>
      </w:r>
      <w:r w:rsidR="009D28DB">
        <w:rPr>
          <w:b/>
          <w:lang w:val="en-CA" w:eastAsia="en-CA"/>
        </w:rPr>
        <w:t xml:space="preserve">// </w:t>
      </w:r>
      <w:r w:rsidR="006C5D91" w:rsidRPr="001A2BC0">
        <w:rPr>
          <w:b/>
          <w:color w:val="C45911"/>
          <w:lang w:val="en-CA" w:eastAsia="en-CA"/>
        </w:rPr>
        <w:t xml:space="preserve">BCSA 85 </w:t>
      </w:r>
      <w:r w:rsidR="006C5D91" w:rsidRPr="009D28DB">
        <w:rPr>
          <w:b/>
          <w:lang w:val="en-CA" w:eastAsia="en-CA"/>
        </w:rPr>
        <w:t xml:space="preserve">– </w:t>
      </w:r>
      <w:r w:rsidR="006C5D91" w:rsidRPr="009D28DB">
        <w:rPr>
          <w:lang w:val="en-CA" w:eastAsia="en-CA"/>
        </w:rPr>
        <w:t xml:space="preserve">“provide disclosure of </w:t>
      </w:r>
      <w:r w:rsidR="006C5D91" w:rsidRPr="009D28DB">
        <w:rPr>
          <w:b/>
          <w:lang w:val="en-CA" w:eastAsia="en-CA"/>
        </w:rPr>
        <w:t>material change</w:t>
      </w:r>
      <w:r w:rsidR="008B082E">
        <w:rPr>
          <w:lang w:val="en-CA" w:eastAsia="en-CA"/>
        </w:rPr>
        <w:t xml:space="preserve">” </w:t>
      </w:r>
    </w:p>
    <w:p w:rsidR="00055342" w:rsidRDefault="009B4606" w:rsidP="00FF0B61">
      <w:pPr>
        <w:pStyle w:val="ListParagraph"/>
        <w:numPr>
          <w:ilvl w:val="0"/>
          <w:numId w:val="21"/>
        </w:numPr>
        <w:spacing w:after="0"/>
        <w:rPr>
          <w:lang w:val="en-CA" w:eastAsia="en-CA"/>
        </w:rPr>
      </w:pPr>
      <w:r w:rsidRPr="00653A08">
        <w:rPr>
          <w:b/>
          <w:lang w:val="en-CA" w:eastAsia="en-CA"/>
        </w:rPr>
        <w:t xml:space="preserve">Material fact: </w:t>
      </w:r>
      <w:r w:rsidR="00A55A33">
        <w:rPr>
          <w:lang w:val="en-CA" w:eastAsia="en-CA"/>
        </w:rPr>
        <w:t>M</w:t>
      </w:r>
      <w:r w:rsidR="006A4CCB" w:rsidRPr="00653A08">
        <w:rPr>
          <w:lang w:val="en-CA" w:eastAsia="en-CA"/>
        </w:rPr>
        <w:t>ust disclose</w:t>
      </w:r>
      <w:r w:rsidR="00D63F03" w:rsidRPr="00653A08">
        <w:rPr>
          <w:lang w:val="en-CA" w:eastAsia="en-CA"/>
        </w:rPr>
        <w:t xml:space="preserve"> when talking about pro</w:t>
      </w:r>
      <w:r w:rsidR="00055342">
        <w:rPr>
          <w:lang w:val="en-CA" w:eastAsia="en-CA"/>
        </w:rPr>
        <w:t xml:space="preserve">spectuses and misrepresentation. </w:t>
      </w:r>
    </w:p>
    <w:p w:rsidR="00CA6702" w:rsidRPr="00CA6702" w:rsidRDefault="00CA6702" w:rsidP="00FF0B61">
      <w:pPr>
        <w:pStyle w:val="ListParagraph"/>
        <w:numPr>
          <w:ilvl w:val="0"/>
          <w:numId w:val="21"/>
        </w:numPr>
        <w:spacing w:after="0"/>
        <w:rPr>
          <w:lang w:val="en-CA" w:eastAsia="en-CA"/>
        </w:rPr>
      </w:pPr>
      <w:r w:rsidRPr="00653A08">
        <w:rPr>
          <w:b/>
          <w:lang w:val="en-CA" w:eastAsia="en-CA"/>
        </w:rPr>
        <w:t xml:space="preserve">Material change: </w:t>
      </w:r>
      <w:r>
        <w:rPr>
          <w:lang w:val="en-CA" w:eastAsia="en-CA"/>
        </w:rPr>
        <w:t>Part of</w:t>
      </w:r>
      <w:r w:rsidRPr="00653A08">
        <w:rPr>
          <w:lang w:val="en-CA" w:eastAsia="en-CA"/>
        </w:rPr>
        <w:t xml:space="preserve"> disclosure requirements and is an issue w/ insider trading. </w:t>
      </w:r>
    </w:p>
    <w:p w:rsidR="00B52006" w:rsidRDefault="00B52006" w:rsidP="00FF0B61">
      <w:pPr>
        <w:pStyle w:val="ListParagraph"/>
        <w:numPr>
          <w:ilvl w:val="0"/>
          <w:numId w:val="21"/>
        </w:numPr>
        <w:spacing w:after="0"/>
        <w:rPr>
          <w:lang w:val="en-CA" w:eastAsia="en-CA"/>
        </w:rPr>
      </w:pPr>
      <w:r w:rsidRPr="00FD1354">
        <w:rPr>
          <w:b/>
          <w:lang w:val="en-CA" w:eastAsia="en-CA"/>
        </w:rPr>
        <w:t>D</w:t>
      </w:r>
      <w:r w:rsidR="00FF14AF">
        <w:rPr>
          <w:b/>
          <w:lang w:val="en-CA" w:eastAsia="en-CA"/>
        </w:rPr>
        <w:t>IFFERENCES</w:t>
      </w:r>
      <w:r w:rsidRPr="00FD1354">
        <w:rPr>
          <w:b/>
          <w:lang w:val="en-CA" w:eastAsia="en-CA"/>
        </w:rPr>
        <w:t xml:space="preserve">: </w:t>
      </w:r>
      <w:r w:rsidRPr="00C63351">
        <w:rPr>
          <w:b/>
          <w:lang w:val="en-CA" w:eastAsia="en-CA"/>
        </w:rPr>
        <w:t>1)</w:t>
      </w:r>
      <w:r w:rsidRPr="00FD1354">
        <w:rPr>
          <w:lang w:val="en-CA" w:eastAsia="en-CA"/>
        </w:rPr>
        <w:t xml:space="preserve"> </w:t>
      </w:r>
      <w:r w:rsidR="000359D0" w:rsidRPr="00FD1354">
        <w:rPr>
          <w:lang w:val="en-CA" w:eastAsia="en-CA"/>
        </w:rPr>
        <w:t>MC is narrower</w:t>
      </w:r>
      <w:r w:rsidR="000359D0" w:rsidRPr="00C63351">
        <w:rPr>
          <w:b/>
          <w:lang w:val="en-CA" w:eastAsia="en-CA"/>
        </w:rPr>
        <w:t>; 2)</w:t>
      </w:r>
      <w:r w:rsidR="000359D0" w:rsidRPr="00FD1354">
        <w:rPr>
          <w:lang w:val="en-CA" w:eastAsia="en-CA"/>
        </w:rPr>
        <w:t xml:space="preserve"> MC has a timing element; </w:t>
      </w:r>
      <w:r w:rsidR="000359D0" w:rsidRPr="00C63351">
        <w:rPr>
          <w:b/>
          <w:lang w:val="en-CA" w:eastAsia="en-CA"/>
        </w:rPr>
        <w:t>3)</w:t>
      </w:r>
      <w:r w:rsidR="00925BDE" w:rsidRPr="00FD1354">
        <w:rPr>
          <w:lang w:val="en-CA" w:eastAsia="en-CA"/>
        </w:rPr>
        <w:t xml:space="preserve"> </w:t>
      </w:r>
      <w:r w:rsidR="000359D0" w:rsidRPr="00FD1354">
        <w:rPr>
          <w:lang w:val="en-CA" w:eastAsia="en-CA"/>
        </w:rPr>
        <w:t xml:space="preserve">MC </w:t>
      </w:r>
      <w:r w:rsidRPr="00FD1354">
        <w:rPr>
          <w:lang w:val="en-CA" w:eastAsia="en-CA"/>
        </w:rPr>
        <w:t>is inherently dyn</w:t>
      </w:r>
      <w:r w:rsidR="0067172F" w:rsidRPr="00FD1354">
        <w:rPr>
          <w:lang w:val="en-CA" w:eastAsia="en-CA"/>
        </w:rPr>
        <w:t>amic and not static like facts (e.g. doing business in a country that suffers a coup and the government gets changed. This would be a material fact but not a material change. The fact is ambient in the world and does not individually affect you)</w:t>
      </w:r>
    </w:p>
    <w:p w:rsidR="00D80886" w:rsidRDefault="00D80886" w:rsidP="00FF0B61">
      <w:pPr>
        <w:spacing w:after="0" w:line="240" w:lineRule="auto"/>
        <w:rPr>
          <w:b/>
          <w:u w:val="single"/>
          <w:lang w:val="en-CA" w:eastAsia="en-CA"/>
        </w:rPr>
      </w:pPr>
    </w:p>
    <w:p w:rsidR="00953D76" w:rsidRPr="00AD381B" w:rsidRDefault="00953D76" w:rsidP="00FF0B61">
      <w:pPr>
        <w:spacing w:after="0" w:line="240" w:lineRule="auto"/>
        <w:rPr>
          <w:b/>
          <w:u w:val="single"/>
          <w:lang w:val="en-CA" w:eastAsia="en-CA"/>
        </w:rPr>
      </w:pPr>
      <w:r w:rsidRPr="00AD381B">
        <w:rPr>
          <w:b/>
          <w:u w:val="single"/>
          <w:lang w:val="en-CA" w:eastAsia="en-CA"/>
        </w:rPr>
        <w:t>Tests for Materiality:</w:t>
      </w:r>
    </w:p>
    <w:p w:rsidR="005E704E" w:rsidRPr="00AD381B" w:rsidRDefault="00617A53" w:rsidP="00FF0B61">
      <w:pPr>
        <w:pStyle w:val="ListParagraph"/>
        <w:numPr>
          <w:ilvl w:val="0"/>
          <w:numId w:val="25"/>
        </w:numPr>
        <w:spacing w:after="0"/>
        <w:rPr>
          <w:lang w:val="en-CA" w:eastAsia="en-CA"/>
        </w:rPr>
      </w:pPr>
      <w:r w:rsidRPr="00AD381B">
        <w:rPr>
          <w:b/>
          <w:lang w:val="en-CA" w:eastAsia="en-CA"/>
        </w:rPr>
        <w:t>Market Impact Test (legally binding</w:t>
      </w:r>
      <w:r w:rsidR="00B01EE7" w:rsidRPr="00AD381B">
        <w:rPr>
          <w:b/>
          <w:lang w:val="en-CA" w:eastAsia="en-CA"/>
        </w:rPr>
        <w:t xml:space="preserve"> in Canada): </w:t>
      </w:r>
      <w:r w:rsidR="00923E83" w:rsidRPr="00AD381B">
        <w:rPr>
          <w:szCs w:val="20"/>
        </w:rPr>
        <w:t xml:space="preserve">Info is material if it is reasonable to expect that the release of that information would impact the market price of the security. </w:t>
      </w:r>
      <w:r w:rsidR="00923E83" w:rsidRPr="00AD381B">
        <w:rPr>
          <w:b/>
          <w:i/>
          <w:szCs w:val="20"/>
        </w:rPr>
        <w:t>This is objective inquiry</w:t>
      </w:r>
      <w:r w:rsidR="00923E83" w:rsidRPr="00AD381B">
        <w:rPr>
          <w:szCs w:val="20"/>
        </w:rPr>
        <w:t xml:space="preserve"> (</w:t>
      </w:r>
      <w:r w:rsidR="00923E83" w:rsidRPr="00AD381B">
        <w:rPr>
          <w:b/>
          <w:i/>
          <w:color w:val="1006E0"/>
          <w:lang w:val="en-CA" w:eastAsia="en-CA"/>
        </w:rPr>
        <w:t>Coventree</w:t>
      </w:r>
      <w:r w:rsidR="00923E83" w:rsidRPr="00AD381B">
        <w:rPr>
          <w:szCs w:val="20"/>
        </w:rPr>
        <w:t xml:space="preserve">). </w:t>
      </w:r>
    </w:p>
    <w:p w:rsidR="00F04139" w:rsidRPr="00F04139" w:rsidRDefault="00F04139" w:rsidP="00FF0B61">
      <w:pPr>
        <w:pStyle w:val="ListParagraph"/>
        <w:numPr>
          <w:ilvl w:val="1"/>
          <w:numId w:val="25"/>
        </w:numPr>
        <w:spacing w:after="0"/>
        <w:rPr>
          <w:lang w:val="en-CA" w:eastAsia="en-CA"/>
        </w:rPr>
      </w:pPr>
      <w:r w:rsidRPr="00AD381B">
        <w:rPr>
          <w:b/>
          <w:lang w:val="en-CA" w:eastAsia="en-CA"/>
        </w:rPr>
        <w:t>Reasonabl</w:t>
      </w:r>
      <w:r w:rsidR="004A1144">
        <w:rPr>
          <w:b/>
          <w:lang w:val="en-CA" w:eastAsia="en-CA"/>
        </w:rPr>
        <w:t>e Investor Test (used in the US</w:t>
      </w:r>
      <w:r w:rsidR="000E7FE0">
        <w:rPr>
          <w:b/>
          <w:lang w:val="en-CA" w:eastAsia="en-CA"/>
        </w:rPr>
        <w:t xml:space="preserve"> + </w:t>
      </w:r>
      <w:r w:rsidR="000E7FE0" w:rsidRPr="000E7FE0">
        <w:rPr>
          <w:b/>
          <w:color w:val="7030A0"/>
          <w:lang w:val="en-CA" w:eastAsia="en-CA"/>
        </w:rPr>
        <w:t>51-102 Forms</w:t>
      </w:r>
      <w:r w:rsidRPr="00AD381B">
        <w:rPr>
          <w:b/>
          <w:lang w:val="en-CA" w:eastAsia="en-CA"/>
        </w:rPr>
        <w:t>)</w:t>
      </w:r>
      <w:r w:rsidRPr="00AD381B">
        <w:rPr>
          <w:lang w:val="en-CA" w:eastAsia="en-CA"/>
        </w:rPr>
        <w:t xml:space="preserve">: Material fact or change is one that would be </w:t>
      </w:r>
      <w:r w:rsidRPr="00AD381B">
        <w:rPr>
          <w:u w:val="single"/>
          <w:lang w:val="en-CA" w:eastAsia="en-CA"/>
        </w:rPr>
        <w:t>important to a reasonable</w:t>
      </w:r>
      <w:r w:rsidRPr="00F04139">
        <w:rPr>
          <w:u w:val="single"/>
          <w:lang w:val="en-CA" w:eastAsia="en-CA"/>
        </w:rPr>
        <w:t xml:space="preserve"> investor</w:t>
      </w:r>
      <w:r w:rsidRPr="00F04139">
        <w:rPr>
          <w:lang w:val="en-CA" w:eastAsia="en-CA"/>
        </w:rPr>
        <w:t xml:space="preserve"> in making an investment decision with respect to the relevant security. Must guard against hindsight and reliance on actual mrkt price changes </w:t>
      </w:r>
      <w:r w:rsidRPr="00F04139">
        <w:rPr>
          <w:b/>
          <w:lang w:val="en-CA" w:eastAsia="en-CA"/>
        </w:rPr>
        <w:t>(</w:t>
      </w:r>
      <w:r w:rsidRPr="00F04139">
        <w:rPr>
          <w:b/>
          <w:i/>
          <w:color w:val="1006E0"/>
          <w:lang w:val="en-CA" w:eastAsia="en-CA"/>
        </w:rPr>
        <w:t>Coventree</w:t>
      </w:r>
      <w:r w:rsidRPr="00F04139">
        <w:rPr>
          <w:b/>
          <w:lang w:val="en-CA" w:eastAsia="en-CA"/>
        </w:rPr>
        <w:t xml:space="preserve">). </w:t>
      </w:r>
    </w:p>
    <w:p w:rsidR="005E704E" w:rsidRDefault="005E704E" w:rsidP="00FF0B61">
      <w:pPr>
        <w:pStyle w:val="ListParagraph"/>
        <w:numPr>
          <w:ilvl w:val="0"/>
          <w:numId w:val="25"/>
        </w:numPr>
        <w:spacing w:after="0"/>
        <w:rPr>
          <w:lang w:val="en-CA" w:eastAsia="en-CA"/>
        </w:rPr>
      </w:pPr>
      <w:r w:rsidRPr="00B3607F">
        <w:rPr>
          <w:b/>
          <w:lang w:val="en-CA" w:eastAsia="en-CA"/>
        </w:rPr>
        <w:t>Probability/magnitude test (</w:t>
      </w:r>
      <w:r w:rsidRPr="00B3607F">
        <w:rPr>
          <w:b/>
          <w:i/>
          <w:color w:val="1006E0"/>
          <w:lang w:val="en-CA" w:eastAsia="en-CA"/>
        </w:rPr>
        <w:t>YBM Magnex</w:t>
      </w:r>
      <w:r w:rsidRPr="00B3607F">
        <w:rPr>
          <w:b/>
          <w:lang w:val="en-CA" w:eastAsia="en-CA"/>
        </w:rPr>
        <w:t>)</w:t>
      </w:r>
      <w:r w:rsidRPr="00B3607F">
        <w:rPr>
          <w:lang w:val="en-CA" w:eastAsia="en-CA"/>
        </w:rPr>
        <w:t xml:space="preserve">: When determining whether a </w:t>
      </w:r>
      <w:r w:rsidR="00644256">
        <w:rPr>
          <w:u w:val="single"/>
          <w:lang w:val="en-CA" w:eastAsia="en-CA"/>
        </w:rPr>
        <w:t xml:space="preserve">contingent (future) </w:t>
      </w:r>
      <w:r w:rsidRPr="00B3607F">
        <w:rPr>
          <w:u w:val="single"/>
          <w:lang w:val="en-CA" w:eastAsia="en-CA"/>
        </w:rPr>
        <w:t>event</w:t>
      </w:r>
      <w:r w:rsidR="005549A4" w:rsidRPr="00B3607F">
        <w:rPr>
          <w:lang w:val="en-CA" w:eastAsia="en-CA"/>
        </w:rPr>
        <w:t xml:space="preserve"> is </w:t>
      </w:r>
      <w:r w:rsidR="005549A4" w:rsidRPr="00B3607F">
        <w:rPr>
          <w:b/>
          <w:i/>
          <w:lang w:val="en-CA" w:eastAsia="en-CA"/>
        </w:rPr>
        <w:t>material</w:t>
      </w:r>
      <w:r w:rsidRPr="00B3607F">
        <w:rPr>
          <w:lang w:val="en-CA" w:eastAsia="en-CA"/>
        </w:rPr>
        <w:t>, you must weigh the likelihood of that event happening</w:t>
      </w:r>
      <w:r w:rsidRPr="00F04139">
        <w:rPr>
          <w:lang w:val="en-CA" w:eastAsia="en-CA"/>
        </w:rPr>
        <w:t xml:space="preserve"> along with its severity on the stock price of the security (</w:t>
      </w:r>
      <w:r w:rsidRPr="00F04139">
        <w:rPr>
          <w:b/>
          <w:i/>
          <w:color w:val="1006E0"/>
          <w:lang w:val="en-CA" w:eastAsia="en-CA"/>
        </w:rPr>
        <w:t>YBM</w:t>
      </w:r>
      <w:r w:rsidRPr="00F04139">
        <w:rPr>
          <w:b/>
          <w:i/>
          <w:lang w:val="en-CA" w:eastAsia="en-CA"/>
        </w:rPr>
        <w:t xml:space="preserve"> - </w:t>
      </w:r>
      <w:r w:rsidRPr="00F04139">
        <w:rPr>
          <w:i/>
          <w:lang w:val="en-CA" w:eastAsia="en-CA"/>
        </w:rPr>
        <w:t>Probability of a formal charge in the US and look at the magnitude of that event on their business</w:t>
      </w:r>
      <w:r w:rsidRPr="00F04139">
        <w:rPr>
          <w:lang w:val="en-CA" w:eastAsia="en-CA"/>
        </w:rPr>
        <w:t xml:space="preserve">) </w:t>
      </w:r>
      <w:r w:rsidRPr="00F04139">
        <w:rPr>
          <w:b/>
          <w:lang w:val="en-CA" w:eastAsia="en-CA"/>
        </w:rPr>
        <w:sym w:font="Wingdings" w:char="F0E0"/>
      </w:r>
      <w:r w:rsidRPr="00F04139">
        <w:rPr>
          <w:b/>
          <w:lang w:val="en-CA" w:eastAsia="en-CA"/>
        </w:rPr>
        <w:t xml:space="preserve"> </w:t>
      </w:r>
      <w:r w:rsidRPr="00F04139">
        <w:rPr>
          <w:lang w:val="en-CA" w:eastAsia="en-CA"/>
        </w:rPr>
        <w:t>Contextual analysis, but likely around 10% change in</w:t>
      </w:r>
      <w:r w:rsidR="00722163">
        <w:rPr>
          <w:lang w:val="en-CA" w:eastAsia="en-CA"/>
        </w:rPr>
        <w:t xml:space="preserve"> bottom line or employment, etc (</w:t>
      </w:r>
      <w:r w:rsidR="00722163">
        <w:rPr>
          <w:b/>
          <w:lang w:val="en-CA" w:eastAsia="en-CA"/>
        </w:rPr>
        <w:t xml:space="preserve">NB: </w:t>
      </w:r>
      <w:r w:rsidR="00EA7FF3">
        <w:rPr>
          <w:b/>
          <w:i/>
          <w:lang w:val="en-CA" w:eastAsia="en-CA"/>
        </w:rPr>
        <w:t>Use as an aid to the assessment of materiality</w:t>
      </w:r>
      <w:r w:rsidR="00722163">
        <w:rPr>
          <w:lang w:val="en-CA" w:eastAsia="en-CA"/>
        </w:rPr>
        <w:t>)</w:t>
      </w:r>
    </w:p>
    <w:p w:rsidR="00AD1C88" w:rsidRDefault="00AD1C88" w:rsidP="00FF0B61">
      <w:pPr>
        <w:spacing w:after="0" w:line="240" w:lineRule="auto"/>
        <w:rPr>
          <w:b/>
          <w:lang w:val="en-CA" w:eastAsia="en-CA"/>
        </w:rPr>
      </w:pPr>
    </w:p>
    <w:p w:rsidR="00AD1C88" w:rsidRPr="00AD1C88" w:rsidRDefault="00AD1C88" w:rsidP="00FF0B61">
      <w:pPr>
        <w:spacing w:after="0" w:line="240" w:lineRule="auto"/>
        <w:rPr>
          <w:b/>
          <w:lang w:val="en-CA" w:eastAsia="en-CA"/>
        </w:rPr>
      </w:pPr>
      <w:r w:rsidRPr="00AD1C88">
        <w:rPr>
          <w:b/>
          <w:lang w:val="en-CA" w:eastAsia="en-CA"/>
        </w:rPr>
        <w:t>Contextual factors will be relevant to Materiality (</w:t>
      </w:r>
      <w:r w:rsidRPr="00AD1C88">
        <w:rPr>
          <w:b/>
          <w:color w:val="7030A0"/>
          <w:lang w:val="en-CA" w:eastAsia="en-CA"/>
        </w:rPr>
        <w:t>NP 51-201, s.4.2)</w:t>
      </w:r>
      <w:r w:rsidRPr="00AD1C88">
        <w:rPr>
          <w:lang w:val="en-CA" w:eastAsia="en-CA"/>
        </w:rPr>
        <w:t xml:space="preserve">: Consider the nature of info itself, price volatility of the issuer’s securities, the prevailing conditions in the market and the size and nature of the issuer itself. </w:t>
      </w:r>
    </w:p>
    <w:p w:rsidR="00440D89" w:rsidRDefault="00440D89" w:rsidP="00FF0B61">
      <w:pPr>
        <w:spacing w:after="0" w:line="240" w:lineRule="auto"/>
        <w:rPr>
          <w:b/>
          <w:highlight w:val="lightGray"/>
          <w:u w:val="single"/>
          <w:lang w:val="en-CA" w:eastAsia="en-CA"/>
        </w:rPr>
      </w:pPr>
    </w:p>
    <w:p w:rsidR="00DA1825" w:rsidRPr="00EA115D" w:rsidRDefault="009B4606" w:rsidP="00FF0B61">
      <w:pPr>
        <w:spacing w:after="0" w:line="240" w:lineRule="auto"/>
        <w:rPr>
          <w:b/>
          <w:u w:val="single"/>
          <w:lang w:val="en-CA" w:eastAsia="en-CA"/>
        </w:rPr>
      </w:pPr>
      <w:r w:rsidRPr="00372CFF">
        <w:rPr>
          <w:b/>
          <w:highlight w:val="lightGray"/>
          <w:u w:val="single"/>
          <w:lang w:val="en-CA" w:eastAsia="en-CA"/>
        </w:rPr>
        <w:t>"MATERIAL FACT"</w:t>
      </w:r>
      <w:r w:rsidR="00A57E6A" w:rsidRPr="00372CFF">
        <w:rPr>
          <w:b/>
          <w:highlight w:val="lightGray"/>
          <w:u w:val="single"/>
          <w:lang w:val="en-CA" w:eastAsia="en-CA"/>
        </w:rPr>
        <w:t xml:space="preserve"> </w:t>
      </w:r>
      <w:r w:rsidR="009564BE">
        <w:rPr>
          <w:b/>
          <w:lang w:val="en-CA" w:eastAsia="en-CA"/>
        </w:rPr>
        <w:t>(</w:t>
      </w:r>
      <w:r w:rsidR="00EF0319">
        <w:rPr>
          <w:b/>
          <w:color w:val="C45911" w:themeColor="accent2" w:themeShade="BF"/>
          <w:lang w:val="en-CA" w:eastAsia="en-CA"/>
        </w:rPr>
        <w:t xml:space="preserve">BCSA </w:t>
      </w:r>
      <w:r w:rsidR="009564BE" w:rsidRPr="00617530">
        <w:rPr>
          <w:b/>
          <w:color w:val="C45911" w:themeColor="accent2" w:themeShade="BF"/>
          <w:lang w:val="en-CA" w:eastAsia="en-CA"/>
        </w:rPr>
        <w:t>s.</w:t>
      </w:r>
      <w:r w:rsidR="009564BE">
        <w:rPr>
          <w:b/>
          <w:color w:val="C45911" w:themeColor="accent2" w:themeShade="BF"/>
          <w:lang w:val="en-CA" w:eastAsia="en-CA"/>
        </w:rPr>
        <w:t>1(1)</w:t>
      </w:r>
      <w:r w:rsidR="00BE0C68">
        <w:rPr>
          <w:b/>
          <w:color w:val="C45911" w:themeColor="accent2" w:themeShade="BF"/>
          <w:lang w:val="en-CA" w:eastAsia="en-CA"/>
        </w:rPr>
        <w:t xml:space="preserve">, </w:t>
      </w:r>
      <w:r w:rsidR="00BE0C68" w:rsidRPr="0002094E">
        <w:rPr>
          <w:b/>
          <w:color w:val="7030A0"/>
          <w:lang w:val="en-CA" w:eastAsia="en-CA"/>
        </w:rPr>
        <w:t>NP 51-201</w:t>
      </w:r>
      <w:r w:rsidR="00BE0C68">
        <w:rPr>
          <w:b/>
          <w:color w:val="7030A0"/>
          <w:lang w:val="en-CA" w:eastAsia="en-CA"/>
        </w:rPr>
        <w:t xml:space="preserve"> </w:t>
      </w:r>
      <w:r w:rsidR="00735CF8">
        <w:rPr>
          <w:b/>
          <w:color w:val="7030A0"/>
          <w:lang w:val="en-CA" w:eastAsia="en-CA"/>
        </w:rPr>
        <w:t>s.</w:t>
      </w:r>
      <w:r w:rsidR="00BE0C68">
        <w:rPr>
          <w:b/>
          <w:color w:val="7030A0"/>
          <w:lang w:val="en-CA" w:eastAsia="en-CA"/>
        </w:rPr>
        <w:t>4.1</w:t>
      </w:r>
      <w:r w:rsidR="009564BE" w:rsidRPr="00E230FC">
        <w:rPr>
          <w:b/>
          <w:lang w:val="en-CA" w:eastAsia="en-CA"/>
        </w:rPr>
        <w:t>)</w:t>
      </w:r>
      <w:r w:rsidR="00EA115D">
        <w:rPr>
          <w:b/>
          <w:lang w:val="en-CA" w:eastAsia="en-CA"/>
        </w:rPr>
        <w:t xml:space="preserve">: </w:t>
      </w:r>
      <w:r w:rsidR="00FB2BB2">
        <w:rPr>
          <w:lang w:val="en-CA" w:eastAsia="en-CA"/>
        </w:rPr>
        <w:t>A</w:t>
      </w:r>
      <w:r w:rsidR="00B25E00" w:rsidRPr="00B25E00">
        <w:rPr>
          <w:lang w:val="en-CA" w:eastAsia="en-CA"/>
        </w:rPr>
        <w:t xml:space="preserve"> fact that</w:t>
      </w:r>
      <w:r w:rsidR="00FE2947">
        <w:rPr>
          <w:lang w:val="en-CA" w:eastAsia="en-CA"/>
        </w:rPr>
        <w:t xml:space="preserve"> (</w:t>
      </w:r>
      <w:r w:rsidR="00FE2947">
        <w:rPr>
          <w:b/>
          <w:i/>
          <w:lang w:val="en-CA" w:eastAsia="en-CA"/>
        </w:rPr>
        <w:t>when it arises</w:t>
      </w:r>
      <w:r w:rsidR="00FE2947">
        <w:rPr>
          <w:lang w:val="en-CA" w:eastAsia="en-CA"/>
        </w:rPr>
        <w:t>)</w:t>
      </w:r>
      <w:r w:rsidR="00B25E00" w:rsidRPr="00B25E00">
        <w:rPr>
          <w:lang w:val="en-CA" w:eastAsia="en-CA"/>
        </w:rPr>
        <w:t xml:space="preserve"> </w:t>
      </w:r>
      <w:r w:rsidR="000210B5">
        <w:rPr>
          <w:lang w:val="en-CA" w:eastAsia="en-CA"/>
        </w:rPr>
        <w:t xml:space="preserve">that </w:t>
      </w:r>
      <w:r w:rsidR="00B25E00" w:rsidRPr="00B25E00">
        <w:rPr>
          <w:lang w:val="en-CA" w:eastAsia="en-CA"/>
        </w:rPr>
        <w:t xml:space="preserve">would </w:t>
      </w:r>
      <w:r w:rsidR="00B25E00" w:rsidRPr="00FB2BB2">
        <w:rPr>
          <w:b/>
          <w:lang w:val="en-CA" w:eastAsia="en-CA"/>
        </w:rPr>
        <w:t>reasonably</w:t>
      </w:r>
      <w:r w:rsidR="00B25E00" w:rsidRPr="00B25E00">
        <w:rPr>
          <w:lang w:val="en-CA" w:eastAsia="en-CA"/>
        </w:rPr>
        <w:t xml:space="preserve"> be expected to have </w:t>
      </w:r>
      <w:r w:rsidR="00B25E00" w:rsidRPr="00D5225C">
        <w:rPr>
          <w:u w:val="single"/>
          <w:lang w:val="en-CA" w:eastAsia="en-CA"/>
        </w:rPr>
        <w:t>a significant</w:t>
      </w:r>
      <w:r w:rsidR="00B25E00" w:rsidRPr="00B25E00">
        <w:rPr>
          <w:lang w:val="en-CA" w:eastAsia="en-CA"/>
        </w:rPr>
        <w:t xml:space="preserve"> </w:t>
      </w:r>
      <w:r w:rsidR="00B25E00" w:rsidRPr="00FB2BB2">
        <w:rPr>
          <w:b/>
          <w:i/>
          <w:lang w:val="en-CA" w:eastAsia="en-CA"/>
        </w:rPr>
        <w:t>effect on the market price or value of the securities</w:t>
      </w:r>
      <w:r w:rsidR="000D79C6">
        <w:rPr>
          <w:b/>
          <w:lang w:val="en-CA" w:eastAsia="en-CA"/>
        </w:rPr>
        <w:t xml:space="preserve">. </w:t>
      </w:r>
    </w:p>
    <w:p w:rsidR="000A4702" w:rsidRDefault="000A4702" w:rsidP="00FF0B61">
      <w:pPr>
        <w:pStyle w:val="ListParagraph"/>
        <w:numPr>
          <w:ilvl w:val="0"/>
          <w:numId w:val="19"/>
        </w:numPr>
        <w:spacing w:after="0"/>
        <w:rPr>
          <w:lang w:val="en-CA" w:eastAsia="en-CA"/>
        </w:rPr>
      </w:pPr>
      <w:r w:rsidRPr="000A4702">
        <w:rPr>
          <w:lang w:val="en-CA" w:eastAsia="en-CA"/>
        </w:rPr>
        <w:t>Material fact is a broader idea than material change (</w:t>
      </w:r>
      <w:r w:rsidRPr="000A4702">
        <w:rPr>
          <w:b/>
          <w:i/>
          <w:color w:val="1006E0"/>
          <w:lang w:val="en-CA" w:eastAsia="en-CA"/>
        </w:rPr>
        <w:t>Pezim</w:t>
      </w:r>
      <w:r w:rsidRPr="000A4702">
        <w:rPr>
          <w:lang w:val="en-CA" w:eastAsia="en-CA"/>
        </w:rPr>
        <w:t xml:space="preserve">). </w:t>
      </w:r>
    </w:p>
    <w:p w:rsidR="009F1104" w:rsidRDefault="009F1104" w:rsidP="00FF0B61">
      <w:pPr>
        <w:pStyle w:val="ListParagraph"/>
        <w:numPr>
          <w:ilvl w:val="0"/>
          <w:numId w:val="19"/>
        </w:numPr>
        <w:spacing w:after="0"/>
        <w:rPr>
          <w:lang w:val="en-CA" w:eastAsia="en-CA"/>
        </w:rPr>
      </w:pPr>
      <w:r>
        <w:t xml:space="preserve">A change to a material fact is not necessarily a material change. It will only be if it concern’s an issuers business, operations or capital (i.e. </w:t>
      </w:r>
      <w:r w:rsidRPr="00CB51F4">
        <w:rPr>
          <w:b/>
          <w:lang w:val="en-CA" w:eastAsia="en-CA"/>
        </w:rPr>
        <w:t>Do not confuse a material change</w:t>
      </w:r>
      <w:r>
        <w:rPr>
          <w:b/>
          <w:lang w:val="en-CA" w:eastAsia="en-CA"/>
        </w:rPr>
        <w:t xml:space="preserve"> with a change in material fact).</w:t>
      </w:r>
    </w:p>
    <w:p w:rsidR="007758F7" w:rsidRPr="000A4702" w:rsidRDefault="007758F7" w:rsidP="00FF0B61">
      <w:pPr>
        <w:pStyle w:val="ListParagraph"/>
        <w:numPr>
          <w:ilvl w:val="0"/>
          <w:numId w:val="19"/>
        </w:numPr>
        <w:spacing w:after="0"/>
        <w:rPr>
          <w:lang w:val="en-CA" w:eastAsia="en-CA"/>
        </w:rPr>
      </w:pPr>
      <w:r>
        <w:rPr>
          <w:b/>
          <w:i/>
          <w:lang w:val="en-CA" w:eastAsia="en-CA"/>
        </w:rPr>
        <w:t xml:space="preserve">Letter advising of concerns </w:t>
      </w:r>
      <w:r>
        <w:rPr>
          <w:lang w:val="en-CA" w:eastAsia="en-CA"/>
        </w:rPr>
        <w:t xml:space="preserve">by sole creditor before IPO </w:t>
      </w:r>
      <w:r w:rsidRPr="00965DA2">
        <w:rPr>
          <w:u w:val="single"/>
          <w:lang w:val="en-CA" w:eastAsia="en-CA"/>
        </w:rPr>
        <w:t>was not a material fact</w:t>
      </w:r>
      <w:r w:rsidR="000471CA">
        <w:rPr>
          <w:lang w:val="en-CA" w:eastAsia="en-CA"/>
        </w:rPr>
        <w:t>, thus did not need disclosure in IPO</w:t>
      </w:r>
      <w:r>
        <w:rPr>
          <w:lang w:val="en-CA" w:eastAsia="en-CA"/>
        </w:rPr>
        <w:t xml:space="preserve"> (</w:t>
      </w:r>
      <w:r w:rsidRPr="007758F7">
        <w:rPr>
          <w:b/>
          <w:i/>
          <w:color w:val="1006E0"/>
          <w:lang w:val="en-CA" w:eastAsia="en-CA"/>
        </w:rPr>
        <w:t>Coventree</w:t>
      </w:r>
      <w:r>
        <w:rPr>
          <w:lang w:val="en-CA" w:eastAsia="en-CA"/>
        </w:rPr>
        <w:t>)</w:t>
      </w:r>
    </w:p>
    <w:p w:rsidR="00C80F41" w:rsidRPr="009A2C8B" w:rsidRDefault="00195274" w:rsidP="00FF0B61">
      <w:pPr>
        <w:pStyle w:val="ListParagraph"/>
        <w:numPr>
          <w:ilvl w:val="0"/>
          <w:numId w:val="19"/>
        </w:numPr>
        <w:rPr>
          <w:lang w:val="en-CA" w:eastAsia="en-CA"/>
        </w:rPr>
      </w:pPr>
      <w:r w:rsidRPr="00FB0478">
        <w:rPr>
          <w:b/>
          <w:i/>
          <w:lang w:val="en-CA" w:eastAsia="en-CA"/>
        </w:rPr>
        <w:t>Negot</w:t>
      </w:r>
      <w:r w:rsidR="00273505" w:rsidRPr="00FB0478">
        <w:rPr>
          <w:b/>
          <w:i/>
          <w:lang w:val="en-CA" w:eastAsia="en-CA"/>
        </w:rPr>
        <w:t>iations can be a material fact</w:t>
      </w:r>
      <w:r w:rsidR="00273505">
        <w:rPr>
          <w:lang w:val="en-CA" w:eastAsia="en-CA"/>
        </w:rPr>
        <w:t xml:space="preserve"> – they may be material at an early stage, “well before the negotiations have reached a point of commitment to be characterized as”</w:t>
      </w:r>
      <w:r w:rsidR="00FB0478">
        <w:rPr>
          <w:lang w:val="en-CA" w:eastAsia="en-CA"/>
        </w:rPr>
        <w:t xml:space="preserve"> a material change (</w:t>
      </w:r>
      <w:r w:rsidR="00FB0478" w:rsidRPr="00493D19">
        <w:rPr>
          <w:b/>
          <w:i/>
          <w:color w:val="1006E0"/>
          <w:lang w:val="en-CA" w:eastAsia="en-CA"/>
        </w:rPr>
        <w:t>AiT</w:t>
      </w:r>
      <w:r w:rsidR="00FB0478">
        <w:rPr>
          <w:color w:val="1006E0"/>
          <w:lang w:val="en-CA" w:eastAsia="en-CA"/>
        </w:rPr>
        <w:t xml:space="preserve">). </w:t>
      </w:r>
    </w:p>
    <w:p w:rsidR="009A2C8B" w:rsidRDefault="009A2C8B" w:rsidP="00FF0B61">
      <w:pPr>
        <w:pStyle w:val="ListParagraph"/>
        <w:numPr>
          <w:ilvl w:val="0"/>
          <w:numId w:val="19"/>
        </w:numPr>
        <w:rPr>
          <w:lang w:val="en-CA" w:eastAsia="en-CA"/>
        </w:rPr>
      </w:pPr>
      <w:r>
        <w:rPr>
          <w:b/>
          <w:i/>
          <w:lang w:val="en-CA" w:eastAsia="en-CA"/>
        </w:rPr>
        <w:t xml:space="preserve">Real Potential for acquisition </w:t>
      </w:r>
      <w:r>
        <w:rPr>
          <w:lang w:val="en-CA" w:eastAsia="en-CA"/>
        </w:rPr>
        <w:t>is a material fact (</w:t>
      </w:r>
      <w:r w:rsidRPr="009A2C8B">
        <w:rPr>
          <w:b/>
          <w:i/>
          <w:color w:val="1006E0"/>
          <w:lang w:val="en-CA" w:eastAsia="en-CA"/>
        </w:rPr>
        <w:t>Re Holtby</w:t>
      </w:r>
      <w:r>
        <w:rPr>
          <w:lang w:val="en-CA" w:eastAsia="en-CA"/>
        </w:rPr>
        <w:t xml:space="preserve">). </w:t>
      </w:r>
    </w:p>
    <w:p w:rsidR="005909B3" w:rsidRPr="00FD5D7A" w:rsidRDefault="005909B3" w:rsidP="00FF0B61">
      <w:pPr>
        <w:pStyle w:val="ListParagraph"/>
        <w:numPr>
          <w:ilvl w:val="0"/>
          <w:numId w:val="19"/>
        </w:numPr>
        <w:rPr>
          <w:lang w:val="en-CA" w:eastAsia="en-CA"/>
        </w:rPr>
      </w:pPr>
      <w:r>
        <w:rPr>
          <w:b/>
          <w:i/>
          <w:lang w:val="en-CA" w:eastAsia="en-CA"/>
        </w:rPr>
        <w:t xml:space="preserve">Subsequent events alone cannot determine whether something is material at the time that it occurred, </w:t>
      </w:r>
      <w:r>
        <w:rPr>
          <w:lang w:val="en-CA" w:eastAsia="en-CA"/>
        </w:rPr>
        <w:t xml:space="preserve">but they may </w:t>
      </w:r>
      <w:r>
        <w:rPr>
          <w:u w:val="single"/>
          <w:lang w:val="en-CA" w:eastAsia="en-CA"/>
        </w:rPr>
        <w:t>support or corroborate</w:t>
      </w:r>
      <w:r>
        <w:rPr>
          <w:lang w:val="en-CA" w:eastAsia="en-CA"/>
        </w:rPr>
        <w:t xml:space="preserve"> a finding of materiality made on other grou</w:t>
      </w:r>
      <w:r w:rsidRPr="00D23F4F">
        <w:rPr>
          <w:lang w:val="en-CA" w:eastAsia="en-CA"/>
        </w:rPr>
        <w:t>nds (</w:t>
      </w:r>
      <w:r w:rsidRPr="00D23F4F">
        <w:rPr>
          <w:b/>
          <w:i/>
          <w:color w:val="1006E0"/>
          <w:lang w:val="en-CA" w:eastAsia="en-CA"/>
        </w:rPr>
        <w:t>Re Kapusta</w:t>
      </w:r>
      <w:r w:rsidRPr="00D23F4F">
        <w:rPr>
          <w:color w:val="1006E0"/>
          <w:lang w:val="en-CA" w:eastAsia="en-CA"/>
        </w:rPr>
        <w:t>)</w:t>
      </w:r>
      <w:r>
        <w:rPr>
          <w:color w:val="1006E0"/>
          <w:lang w:val="en-CA" w:eastAsia="en-CA"/>
        </w:rPr>
        <w:t xml:space="preserve"> </w:t>
      </w:r>
    </w:p>
    <w:p w:rsidR="000A4702" w:rsidRPr="000A4702" w:rsidRDefault="000A4702" w:rsidP="00FF0B61">
      <w:pPr>
        <w:spacing w:after="0" w:line="240" w:lineRule="auto"/>
        <w:rPr>
          <w:lang w:val="en-CA" w:eastAsia="en-CA"/>
        </w:rPr>
      </w:pPr>
      <w:r w:rsidRPr="000A4702">
        <w:rPr>
          <w:b/>
          <w:lang w:val="en-CA" w:eastAsia="en-CA"/>
        </w:rPr>
        <w:t xml:space="preserve">Timing: </w:t>
      </w:r>
      <w:r w:rsidRPr="000A4702">
        <w:rPr>
          <w:lang w:val="en-CA" w:eastAsia="en-CA"/>
        </w:rPr>
        <w:t xml:space="preserve">Must consider what could have been reasonably expected </w:t>
      </w:r>
      <w:r w:rsidRPr="000A4702">
        <w:rPr>
          <w:u w:val="single"/>
          <w:lang w:val="en-CA" w:eastAsia="en-CA"/>
        </w:rPr>
        <w:t>at the time</w:t>
      </w:r>
      <w:r w:rsidRPr="000A4702">
        <w:rPr>
          <w:lang w:val="en-CA" w:eastAsia="en-CA"/>
        </w:rPr>
        <w:t xml:space="preserve"> the fact came to light, not what happened after). </w:t>
      </w:r>
    </w:p>
    <w:p w:rsidR="0070519B" w:rsidRPr="000A4702" w:rsidRDefault="0070519B" w:rsidP="00FF0B61">
      <w:pPr>
        <w:spacing w:line="240" w:lineRule="auto"/>
        <w:rPr>
          <w:lang w:val="en-CA" w:eastAsia="en-CA"/>
        </w:rPr>
      </w:pPr>
      <w:r w:rsidRPr="000A4702">
        <w:rPr>
          <w:b/>
          <w:lang w:val="en-CA" w:eastAsia="en-CA"/>
        </w:rPr>
        <w:t>External Developments</w:t>
      </w:r>
      <w:r w:rsidRPr="000A4702">
        <w:rPr>
          <w:lang w:val="en-CA" w:eastAsia="en-CA"/>
        </w:rPr>
        <w:t xml:space="preserve"> (political, economic, geographic or social – such as political coup, natural disaster, etc): may be a material fact, generally it will </w:t>
      </w:r>
      <w:r w:rsidRPr="000A4702">
        <w:rPr>
          <w:u w:val="single"/>
          <w:lang w:val="en-CA" w:eastAsia="en-CA"/>
        </w:rPr>
        <w:t>be a material change only</w:t>
      </w:r>
      <w:r w:rsidRPr="000A4702">
        <w:rPr>
          <w:lang w:val="en-CA" w:eastAsia="en-CA"/>
        </w:rPr>
        <w:t xml:space="preserve"> if its effect on the particular issuer is </w:t>
      </w:r>
      <w:r w:rsidRPr="000A4702">
        <w:rPr>
          <w:b/>
          <w:i/>
          <w:lang w:val="en-CA" w:eastAsia="en-CA"/>
        </w:rPr>
        <w:t>both significant and uncharacteristic for the industry</w:t>
      </w:r>
      <w:r w:rsidRPr="000A4702">
        <w:rPr>
          <w:lang w:val="en-CA" w:eastAsia="en-CA"/>
        </w:rPr>
        <w:t xml:space="preserve"> (</w:t>
      </w:r>
      <w:r w:rsidRPr="000A4702">
        <w:rPr>
          <w:b/>
          <w:color w:val="7030A0"/>
          <w:lang w:val="en-CA" w:eastAsia="en-CA"/>
        </w:rPr>
        <w:t>NP 51-201, s.4.4</w:t>
      </w:r>
      <w:r w:rsidRPr="000A4702">
        <w:rPr>
          <w:b/>
          <w:lang w:val="en-CA" w:eastAsia="en-CA"/>
        </w:rPr>
        <w:t>)</w:t>
      </w:r>
    </w:p>
    <w:p w:rsidR="00EB4D79" w:rsidRPr="000210B5" w:rsidRDefault="00EB4D79" w:rsidP="00FF0B61">
      <w:pPr>
        <w:spacing w:after="0" w:line="240" w:lineRule="auto"/>
        <w:rPr>
          <w:b/>
          <w:lang w:val="en-CA" w:eastAsia="en-CA"/>
        </w:rPr>
      </w:pPr>
      <w:r w:rsidRPr="00372CFF">
        <w:rPr>
          <w:b/>
          <w:highlight w:val="lightGray"/>
          <w:u w:val="single"/>
          <w:lang w:val="en-CA" w:eastAsia="en-CA"/>
        </w:rPr>
        <w:t xml:space="preserve">“MATERIAL </w:t>
      </w:r>
      <w:r w:rsidR="00A57E6A" w:rsidRPr="00372CFF">
        <w:rPr>
          <w:b/>
          <w:highlight w:val="lightGray"/>
          <w:u w:val="single"/>
          <w:lang w:val="en-CA" w:eastAsia="en-CA"/>
        </w:rPr>
        <w:t xml:space="preserve">CHANGE” </w:t>
      </w:r>
      <w:r w:rsidR="00A57E6A" w:rsidRPr="0056674D">
        <w:rPr>
          <w:b/>
          <w:lang w:val="en-CA" w:eastAsia="en-CA"/>
        </w:rPr>
        <w:t>(</w:t>
      </w:r>
      <w:r w:rsidR="009564BE">
        <w:rPr>
          <w:b/>
          <w:color w:val="C45911" w:themeColor="accent2" w:themeShade="BF"/>
          <w:lang w:val="en-CA" w:eastAsia="en-CA"/>
        </w:rPr>
        <w:t>B</w:t>
      </w:r>
      <w:r w:rsidR="009564BE" w:rsidRPr="00617530">
        <w:rPr>
          <w:b/>
          <w:color w:val="C45911" w:themeColor="accent2" w:themeShade="BF"/>
          <w:lang w:val="en-CA" w:eastAsia="en-CA"/>
        </w:rPr>
        <w:t>CSA s.</w:t>
      </w:r>
      <w:r w:rsidR="009564BE">
        <w:rPr>
          <w:b/>
          <w:color w:val="C45911" w:themeColor="accent2" w:themeShade="BF"/>
          <w:lang w:val="en-CA" w:eastAsia="en-CA"/>
        </w:rPr>
        <w:t>1(1))</w:t>
      </w:r>
      <w:r w:rsidR="00245A5A">
        <w:rPr>
          <w:b/>
          <w:lang w:val="en-CA" w:eastAsia="en-CA"/>
        </w:rPr>
        <w:t>:</w:t>
      </w:r>
      <w:r w:rsidR="000210B5">
        <w:rPr>
          <w:b/>
          <w:lang w:val="en-CA" w:eastAsia="en-CA"/>
        </w:rPr>
        <w:t xml:space="preserve"> </w:t>
      </w:r>
    </w:p>
    <w:p w:rsidR="001E7870" w:rsidRDefault="003D2A66" w:rsidP="00FF0B61">
      <w:pPr>
        <w:pStyle w:val="ListParagraph"/>
        <w:numPr>
          <w:ilvl w:val="0"/>
          <w:numId w:val="19"/>
        </w:numPr>
        <w:spacing w:after="0"/>
        <w:rPr>
          <w:lang w:val="en-CA" w:eastAsia="en-CA"/>
        </w:rPr>
      </w:pPr>
      <w:r w:rsidRPr="00342624">
        <w:rPr>
          <w:b/>
          <w:lang w:val="en-CA" w:eastAsia="en-CA"/>
        </w:rPr>
        <w:t>(i)</w:t>
      </w:r>
      <w:r>
        <w:rPr>
          <w:lang w:val="en-CA" w:eastAsia="en-CA"/>
        </w:rPr>
        <w:t xml:space="preserve"> </w:t>
      </w:r>
      <w:r w:rsidR="00EB4D79" w:rsidRPr="003D2A66">
        <w:rPr>
          <w:lang w:val="en-CA" w:eastAsia="en-CA"/>
        </w:rPr>
        <w:t xml:space="preserve">a </w:t>
      </w:r>
      <w:r w:rsidR="00EB4D79" w:rsidRPr="003D2A66">
        <w:rPr>
          <w:b/>
          <w:lang w:val="en-CA" w:eastAsia="en-CA"/>
        </w:rPr>
        <w:t>change</w:t>
      </w:r>
      <w:r w:rsidR="00EB4D79" w:rsidRPr="003D2A66">
        <w:rPr>
          <w:lang w:val="en-CA" w:eastAsia="en-CA"/>
        </w:rPr>
        <w:t xml:space="preserve"> in the </w:t>
      </w:r>
      <w:r w:rsidR="00852E87" w:rsidRPr="003D2A66">
        <w:rPr>
          <w:b/>
          <w:u w:val="single"/>
          <w:lang w:val="en-CA" w:eastAsia="en-CA"/>
        </w:rPr>
        <w:t xml:space="preserve">BUSINESS, OPERATIONS OR CAPITAL </w:t>
      </w:r>
      <w:r w:rsidR="00EB4D79" w:rsidRPr="003D2A66">
        <w:rPr>
          <w:b/>
          <w:u w:val="single"/>
          <w:lang w:val="en-CA" w:eastAsia="en-CA"/>
        </w:rPr>
        <w:t>of the issuer</w:t>
      </w:r>
      <w:r w:rsidR="00EB4D79" w:rsidRPr="003D2A66">
        <w:rPr>
          <w:lang w:val="en-CA" w:eastAsia="en-CA"/>
        </w:rPr>
        <w:t xml:space="preserve"> that would reasonably be expected to have a significant effect on the market price or value of a security of the issuer, or</w:t>
      </w:r>
    </w:p>
    <w:p w:rsidR="00AF528D" w:rsidRDefault="00AF528D" w:rsidP="00FF0B61">
      <w:pPr>
        <w:pStyle w:val="ListParagraph"/>
        <w:numPr>
          <w:ilvl w:val="0"/>
          <w:numId w:val="19"/>
        </w:numPr>
        <w:spacing w:after="0"/>
        <w:rPr>
          <w:lang w:val="en-CA" w:eastAsia="en-CA"/>
        </w:rPr>
      </w:pPr>
      <w:r w:rsidRPr="00342624">
        <w:rPr>
          <w:b/>
          <w:lang w:val="en-CA" w:eastAsia="en-CA"/>
        </w:rPr>
        <w:t>(ii)</w:t>
      </w:r>
      <w:r w:rsidRPr="003D2A66">
        <w:rPr>
          <w:lang w:val="en-CA" w:eastAsia="en-CA"/>
        </w:rPr>
        <w:t xml:space="preserve"> a decision to </w:t>
      </w:r>
      <w:r w:rsidRPr="00CA3323">
        <w:rPr>
          <w:b/>
          <w:i/>
          <w:lang w:val="en-CA" w:eastAsia="en-CA"/>
        </w:rPr>
        <w:t>implement a change referred to in subparagraph (i)</w:t>
      </w:r>
      <w:r w:rsidRPr="003D2A66">
        <w:rPr>
          <w:lang w:val="en-CA" w:eastAsia="en-CA"/>
        </w:rPr>
        <w:t xml:space="preserve"> made by</w:t>
      </w:r>
      <w:r w:rsidR="003D2A66">
        <w:rPr>
          <w:lang w:val="en-CA" w:eastAsia="en-CA"/>
        </w:rPr>
        <w:t xml:space="preserve"> </w:t>
      </w:r>
      <w:r w:rsidRPr="003D2A66">
        <w:rPr>
          <w:b/>
          <w:lang w:val="en-CA" w:eastAsia="en-CA"/>
        </w:rPr>
        <w:t xml:space="preserve">(A) </w:t>
      </w:r>
      <w:r w:rsidR="00AF1E7E">
        <w:rPr>
          <w:lang w:val="en-CA" w:eastAsia="en-CA"/>
        </w:rPr>
        <w:t xml:space="preserve">the DIRs </w:t>
      </w:r>
      <w:r w:rsidRPr="003D2A66">
        <w:rPr>
          <w:lang w:val="en-CA" w:eastAsia="en-CA"/>
        </w:rPr>
        <w:t>of the issuer, or</w:t>
      </w:r>
      <w:r w:rsidR="003D2A66">
        <w:rPr>
          <w:lang w:val="en-CA" w:eastAsia="en-CA"/>
        </w:rPr>
        <w:t xml:space="preserve"> </w:t>
      </w:r>
      <w:r w:rsidRPr="003D2A66">
        <w:rPr>
          <w:b/>
          <w:lang w:val="en-CA" w:eastAsia="en-CA"/>
        </w:rPr>
        <w:t>(B)</w:t>
      </w:r>
      <w:r w:rsidRPr="003D2A66">
        <w:rPr>
          <w:lang w:val="en-CA" w:eastAsia="en-CA"/>
        </w:rPr>
        <w:t xml:space="preserve"> senior m</w:t>
      </w:r>
      <w:r w:rsidR="0068705F">
        <w:rPr>
          <w:lang w:val="en-CA" w:eastAsia="en-CA"/>
        </w:rPr>
        <w:t>gt</w:t>
      </w:r>
      <w:r w:rsidRPr="003D2A66">
        <w:rPr>
          <w:lang w:val="en-CA" w:eastAsia="en-CA"/>
        </w:rPr>
        <w:t xml:space="preserve"> of the issuer who believe </w:t>
      </w:r>
      <w:r w:rsidRPr="006A6B0B">
        <w:rPr>
          <w:b/>
          <w:lang w:val="en-CA" w:eastAsia="en-CA"/>
        </w:rPr>
        <w:t xml:space="preserve">that confirmation of the decision by the </w:t>
      </w:r>
      <w:r w:rsidR="00342624" w:rsidRPr="006A6B0B">
        <w:rPr>
          <w:b/>
          <w:lang w:val="en-CA" w:eastAsia="en-CA"/>
        </w:rPr>
        <w:t>DIRs is probable</w:t>
      </w:r>
      <w:r w:rsidR="00342624">
        <w:rPr>
          <w:lang w:val="en-CA" w:eastAsia="en-CA"/>
        </w:rPr>
        <w:t xml:space="preserve"> … </w:t>
      </w:r>
    </w:p>
    <w:p w:rsidR="00131DAC" w:rsidRPr="00131DAC" w:rsidRDefault="00131DAC" w:rsidP="00FF0B61">
      <w:pPr>
        <w:pStyle w:val="ListParagraph"/>
        <w:numPr>
          <w:ilvl w:val="1"/>
          <w:numId w:val="19"/>
        </w:numPr>
        <w:rPr>
          <w:lang w:val="en-CA" w:eastAsia="en-CA"/>
        </w:rPr>
      </w:pPr>
      <w:r>
        <w:rPr>
          <w:b/>
          <w:lang w:val="en-CA" w:eastAsia="en-CA"/>
        </w:rPr>
        <w:t xml:space="preserve">NOT: </w:t>
      </w:r>
      <w:r>
        <w:rPr>
          <w:lang w:val="en-CA" w:eastAsia="en-CA"/>
        </w:rPr>
        <w:t xml:space="preserve">External political, economic or social developments. </w:t>
      </w:r>
    </w:p>
    <w:p w:rsidR="00285C32" w:rsidRDefault="00285C32" w:rsidP="00FF0B61">
      <w:pPr>
        <w:pStyle w:val="ListParagraph"/>
        <w:numPr>
          <w:ilvl w:val="1"/>
          <w:numId w:val="19"/>
        </w:numPr>
        <w:rPr>
          <w:lang w:val="en-CA" w:eastAsia="en-CA"/>
        </w:rPr>
      </w:pPr>
      <w:r w:rsidRPr="00F5298C">
        <w:rPr>
          <w:lang w:val="en-CA" w:eastAsia="en-CA"/>
        </w:rPr>
        <w:t xml:space="preserve">Do not engage in “super critical interpretation of the meaning of material change.” Should be </w:t>
      </w:r>
      <w:r w:rsidR="00FB35AE">
        <w:rPr>
          <w:lang w:val="en-CA" w:eastAsia="en-CA"/>
        </w:rPr>
        <w:t xml:space="preserve">willing to interpret it broadly </w:t>
      </w:r>
      <w:r w:rsidRPr="00F5298C">
        <w:rPr>
          <w:lang w:val="en-CA" w:eastAsia="en-CA"/>
        </w:rPr>
        <w:t>(</w:t>
      </w:r>
      <w:r w:rsidRPr="00F5298C">
        <w:rPr>
          <w:b/>
          <w:i/>
          <w:color w:val="1006E0"/>
          <w:lang w:val="en-CA" w:eastAsia="en-CA"/>
        </w:rPr>
        <w:t>Coventree</w:t>
      </w:r>
      <w:r w:rsidRPr="00F5298C">
        <w:rPr>
          <w:lang w:val="en-CA" w:eastAsia="en-CA"/>
        </w:rPr>
        <w:t>)</w:t>
      </w:r>
      <w:r>
        <w:rPr>
          <w:lang w:val="en-CA" w:eastAsia="en-CA"/>
        </w:rPr>
        <w:t xml:space="preserve">. </w:t>
      </w:r>
    </w:p>
    <w:p w:rsidR="00FB35AE" w:rsidRPr="00285C32" w:rsidRDefault="00FB35AE" w:rsidP="00FF0B61">
      <w:pPr>
        <w:pStyle w:val="ListParagraph"/>
        <w:numPr>
          <w:ilvl w:val="1"/>
          <w:numId w:val="19"/>
        </w:numPr>
        <w:rPr>
          <w:lang w:val="en-CA" w:eastAsia="en-CA"/>
        </w:rPr>
      </w:pPr>
      <w:r>
        <w:rPr>
          <w:b/>
          <w:i/>
          <w:lang w:val="en-CA" w:eastAsia="en-CA"/>
        </w:rPr>
        <w:t xml:space="preserve">Letter by sole crediting agency re policy change to not stop providing ratings for certain type of securities issued </w:t>
      </w:r>
      <w:r>
        <w:rPr>
          <w:b/>
          <w:lang w:val="en-CA" w:eastAsia="en-CA"/>
        </w:rPr>
        <w:t xml:space="preserve">= </w:t>
      </w:r>
      <w:r>
        <w:rPr>
          <w:lang w:val="en-CA" w:eastAsia="en-CA"/>
        </w:rPr>
        <w:t>Material Change (</w:t>
      </w:r>
      <w:r w:rsidR="00031298" w:rsidRPr="00031298">
        <w:rPr>
          <w:b/>
          <w:i/>
          <w:color w:val="1006E0"/>
          <w:lang w:val="en-CA" w:eastAsia="en-CA"/>
        </w:rPr>
        <w:t>Coventree</w:t>
      </w:r>
      <w:r w:rsidR="00031298">
        <w:rPr>
          <w:b/>
          <w:i/>
          <w:lang w:val="en-CA" w:eastAsia="en-CA"/>
        </w:rPr>
        <w:t xml:space="preserve"> </w:t>
      </w:r>
      <w:r w:rsidR="00595D90">
        <w:rPr>
          <w:b/>
          <w:i/>
          <w:lang w:val="en-CA" w:eastAsia="en-CA"/>
        </w:rPr>
        <w:t>–</w:t>
      </w:r>
      <w:r w:rsidR="00031298">
        <w:rPr>
          <w:b/>
          <w:i/>
          <w:lang w:val="en-CA" w:eastAsia="en-CA"/>
        </w:rPr>
        <w:t xml:space="preserve"> </w:t>
      </w:r>
      <w:r w:rsidR="00595D90">
        <w:rPr>
          <w:lang w:val="en-CA" w:eastAsia="en-CA"/>
        </w:rPr>
        <w:t xml:space="preserve">this was a </w:t>
      </w:r>
      <w:r w:rsidR="005D450C">
        <w:rPr>
          <w:lang w:val="en-CA" w:eastAsia="en-CA"/>
        </w:rPr>
        <w:t xml:space="preserve">major </w:t>
      </w:r>
      <w:r w:rsidR="00595D90">
        <w:rPr>
          <w:lang w:val="en-CA" w:eastAsia="en-CA"/>
        </w:rPr>
        <w:t>change in C’</w:t>
      </w:r>
      <w:r w:rsidR="005D450C">
        <w:rPr>
          <w:lang w:val="en-CA" w:eastAsia="en-CA"/>
        </w:rPr>
        <w:t>s biz</w:t>
      </w:r>
      <w:r w:rsidR="00595D90">
        <w:rPr>
          <w:lang w:val="en-CA" w:eastAsia="en-CA"/>
        </w:rPr>
        <w:t xml:space="preserve">). </w:t>
      </w:r>
    </w:p>
    <w:p w:rsidR="004A7393" w:rsidRDefault="004A7393" w:rsidP="00FF0B61">
      <w:pPr>
        <w:pStyle w:val="ListParagraph"/>
        <w:numPr>
          <w:ilvl w:val="1"/>
          <w:numId w:val="19"/>
        </w:numPr>
        <w:spacing w:after="0"/>
        <w:rPr>
          <w:lang w:val="en-CA" w:eastAsia="en-CA"/>
        </w:rPr>
      </w:pPr>
      <w:r w:rsidRPr="00DA4CE5">
        <w:rPr>
          <w:b/>
          <w:i/>
          <w:lang w:val="en-CA" w:eastAsia="en-CA"/>
        </w:rPr>
        <w:lastRenderedPageBreak/>
        <w:t>Change in mineral assay results</w:t>
      </w:r>
      <w:r>
        <w:rPr>
          <w:lang w:val="en-CA" w:eastAsia="en-CA"/>
        </w:rPr>
        <w:t xml:space="preserve"> constitute material changes (</w:t>
      </w:r>
      <w:r w:rsidRPr="0002083C">
        <w:rPr>
          <w:b/>
          <w:i/>
          <w:color w:val="1006E0"/>
          <w:lang w:val="en-CA" w:eastAsia="en-CA"/>
        </w:rPr>
        <w:t>Pezim</w:t>
      </w:r>
      <w:r>
        <w:rPr>
          <w:b/>
          <w:i/>
          <w:color w:val="1006E0"/>
          <w:lang w:val="en-CA" w:eastAsia="en-CA"/>
        </w:rPr>
        <w:t xml:space="preserve">, </w:t>
      </w:r>
      <w:r>
        <w:rPr>
          <w:b/>
          <w:color w:val="1006E0"/>
          <w:lang w:val="en-CA" w:eastAsia="en-CA"/>
        </w:rPr>
        <w:t>SCC</w:t>
      </w:r>
      <w:r>
        <w:rPr>
          <w:b/>
          <w:i/>
          <w:color w:val="1006E0"/>
          <w:lang w:val="en-CA" w:eastAsia="en-CA"/>
        </w:rPr>
        <w:t xml:space="preserve"> - </w:t>
      </w:r>
      <w:r w:rsidRPr="001F203B">
        <w:rPr>
          <w:i/>
          <w:lang w:val="en-CA" w:eastAsia="en-CA"/>
        </w:rPr>
        <w:t>From the point of view of investors, new information relating to a mining property (which is an ass</w:t>
      </w:r>
      <w:r>
        <w:rPr>
          <w:i/>
          <w:lang w:val="en-CA" w:eastAsia="en-CA"/>
        </w:rPr>
        <w:t>et) bears significantly on the Q</w:t>
      </w:r>
      <w:r w:rsidRPr="001F203B">
        <w:rPr>
          <w:i/>
          <w:lang w:val="en-CA" w:eastAsia="en-CA"/>
        </w:rPr>
        <w:t xml:space="preserve"> of that property’s value</w:t>
      </w:r>
      <w:r>
        <w:rPr>
          <w:lang w:val="en-CA" w:eastAsia="en-CA"/>
        </w:rPr>
        <w:t xml:space="preserve">). </w:t>
      </w:r>
    </w:p>
    <w:p w:rsidR="004A7393" w:rsidRDefault="004A7393" w:rsidP="00FF0B61">
      <w:pPr>
        <w:pStyle w:val="ListParagraph"/>
        <w:numPr>
          <w:ilvl w:val="1"/>
          <w:numId w:val="19"/>
        </w:numPr>
        <w:spacing w:after="0"/>
        <w:rPr>
          <w:lang w:val="en-CA" w:eastAsia="en-CA"/>
        </w:rPr>
      </w:pPr>
      <w:r w:rsidRPr="00DA4CE5">
        <w:rPr>
          <w:b/>
          <w:i/>
          <w:lang w:val="en-CA" w:eastAsia="en-CA"/>
        </w:rPr>
        <w:t>Negotiations</w:t>
      </w:r>
      <w:r w:rsidRPr="007B14E7">
        <w:rPr>
          <w:lang w:val="en-CA" w:eastAsia="en-CA"/>
        </w:rPr>
        <w:t xml:space="preserve"> are a material change when there is a </w:t>
      </w:r>
      <w:r w:rsidRPr="007B14E7">
        <w:rPr>
          <w:u w:val="single"/>
          <w:lang w:val="en-CA" w:eastAsia="en-CA"/>
        </w:rPr>
        <w:t>sufficient degree of certainty</w:t>
      </w:r>
      <w:r w:rsidRPr="007B14E7">
        <w:rPr>
          <w:lang w:val="en-CA" w:eastAsia="en-CA"/>
        </w:rPr>
        <w:t xml:space="preserve"> that th</w:t>
      </w:r>
      <w:r>
        <w:rPr>
          <w:lang w:val="en-CA" w:eastAsia="en-CA"/>
        </w:rPr>
        <w:t>e transaction will be completed (</w:t>
      </w:r>
      <w:r w:rsidRPr="007B14E7">
        <w:rPr>
          <w:b/>
          <w:i/>
          <w:color w:val="1006E0"/>
          <w:lang w:val="en-CA" w:eastAsia="en-CA"/>
        </w:rPr>
        <w:t>S</w:t>
      </w:r>
      <w:r w:rsidR="00D80886">
        <w:rPr>
          <w:b/>
          <w:i/>
          <w:color w:val="1006E0"/>
          <w:lang w:val="en-CA" w:eastAsia="en-CA"/>
        </w:rPr>
        <w:t>i</w:t>
      </w:r>
      <w:r w:rsidRPr="007B14E7">
        <w:rPr>
          <w:b/>
          <w:i/>
          <w:color w:val="1006E0"/>
          <w:lang w:val="en-CA" w:eastAsia="en-CA"/>
        </w:rPr>
        <w:t>ddiqi</w:t>
      </w:r>
      <w:r w:rsidR="004B774B">
        <w:rPr>
          <w:b/>
          <w:i/>
          <w:color w:val="1006E0"/>
          <w:lang w:val="en-CA" w:eastAsia="en-CA"/>
        </w:rPr>
        <w:t xml:space="preserve"> – </w:t>
      </w:r>
      <w:r w:rsidR="004B774B">
        <w:rPr>
          <w:i/>
          <w:lang w:val="en-CA" w:eastAsia="en-CA"/>
        </w:rPr>
        <w:t>“sufficient degree of certainty” reached when parties made an informal hand shake deal</w:t>
      </w:r>
      <w:r>
        <w:rPr>
          <w:lang w:val="en-CA" w:eastAsia="en-CA"/>
        </w:rPr>
        <w:t xml:space="preserve">).  </w:t>
      </w:r>
    </w:p>
    <w:p w:rsidR="003E2390" w:rsidRDefault="00EF483E" w:rsidP="00FF0B61">
      <w:pPr>
        <w:pStyle w:val="ListParagraph"/>
        <w:numPr>
          <w:ilvl w:val="2"/>
          <w:numId w:val="19"/>
        </w:numPr>
        <w:spacing w:after="0"/>
        <w:rPr>
          <w:lang w:val="en-CA" w:eastAsia="en-CA"/>
        </w:rPr>
      </w:pPr>
      <w:r>
        <w:rPr>
          <w:lang w:val="en-CA" w:eastAsia="en-CA"/>
        </w:rPr>
        <w:t xml:space="preserve">A commitment from </w:t>
      </w:r>
      <w:r w:rsidRPr="00774720">
        <w:rPr>
          <w:u w:val="single"/>
          <w:lang w:val="en-CA" w:eastAsia="en-CA"/>
        </w:rPr>
        <w:t>one party to proceed</w:t>
      </w:r>
      <w:r>
        <w:rPr>
          <w:lang w:val="en-CA" w:eastAsia="en-CA"/>
        </w:rPr>
        <w:t xml:space="preserve"> will </w:t>
      </w:r>
      <w:r w:rsidRPr="00774720">
        <w:rPr>
          <w:b/>
          <w:i/>
          <w:lang w:val="en-CA" w:eastAsia="en-CA"/>
        </w:rPr>
        <w:t>not be sufficient</w:t>
      </w:r>
      <w:r>
        <w:rPr>
          <w:lang w:val="en-CA" w:eastAsia="en-CA"/>
        </w:rPr>
        <w:t xml:space="preserve"> to constitute material change</w:t>
      </w:r>
      <w:r w:rsidR="002A5E55">
        <w:rPr>
          <w:lang w:val="en-CA" w:eastAsia="en-CA"/>
        </w:rPr>
        <w:t xml:space="preserve"> (need both parties)</w:t>
      </w:r>
      <w:r w:rsidR="00C401CA">
        <w:rPr>
          <w:lang w:val="en-CA" w:eastAsia="en-CA"/>
        </w:rPr>
        <w:t xml:space="preserve"> (</w:t>
      </w:r>
      <w:r w:rsidR="00C401CA" w:rsidRPr="00A00012">
        <w:rPr>
          <w:b/>
          <w:i/>
          <w:color w:val="1006E0"/>
          <w:lang w:val="en-CA" w:eastAsia="en-CA"/>
        </w:rPr>
        <w:t>AiT</w:t>
      </w:r>
      <w:r w:rsidR="00C401CA">
        <w:rPr>
          <w:lang w:val="en-CA" w:eastAsia="en-CA"/>
        </w:rPr>
        <w:t xml:space="preserve">). </w:t>
      </w:r>
    </w:p>
    <w:p w:rsidR="005B5F08" w:rsidRDefault="005B5F08" w:rsidP="00FF0B61">
      <w:pPr>
        <w:pStyle w:val="ListParagraph"/>
        <w:numPr>
          <w:ilvl w:val="1"/>
          <w:numId w:val="19"/>
        </w:numPr>
        <w:spacing w:after="0"/>
        <w:rPr>
          <w:lang w:val="en-CA" w:eastAsia="en-CA"/>
        </w:rPr>
      </w:pPr>
      <w:r>
        <w:rPr>
          <w:b/>
          <w:i/>
          <w:lang w:val="en-CA" w:eastAsia="en-CA"/>
        </w:rPr>
        <w:t xml:space="preserve">Intra-quarter results are not a material change </w:t>
      </w:r>
      <w:r w:rsidR="00C47749">
        <w:rPr>
          <w:lang w:val="en-CA" w:eastAsia="en-CA"/>
        </w:rPr>
        <w:t xml:space="preserve">as they are temporary. </w:t>
      </w:r>
      <w:r w:rsidR="00C47749" w:rsidRPr="00C47749">
        <w:rPr>
          <w:lang w:val="en-CA" w:eastAsia="en-CA"/>
        </w:rPr>
        <w:t xml:space="preserve">Only material changes needed to be disclosed b/w the prospectus receipt </w:t>
      </w:r>
      <w:r w:rsidR="00EA6F7D">
        <w:rPr>
          <w:lang w:val="en-CA" w:eastAsia="en-CA"/>
        </w:rPr>
        <w:t xml:space="preserve">date and the distribution date. </w:t>
      </w:r>
      <w:r w:rsidR="006D38E0">
        <w:rPr>
          <w:lang w:val="en-CA" w:eastAsia="en-CA"/>
        </w:rPr>
        <w:t>I</w:t>
      </w:r>
      <w:r w:rsidR="00EA6F7D" w:rsidRPr="00EA6F7D">
        <w:rPr>
          <w:lang w:val="en-CA" w:eastAsia="en-CA"/>
        </w:rPr>
        <w:t>f it is a material change there is a legal obligation to disclose, if not a material cha</w:t>
      </w:r>
      <w:r w:rsidR="00EA6F7D">
        <w:rPr>
          <w:lang w:val="en-CA" w:eastAsia="en-CA"/>
        </w:rPr>
        <w:t xml:space="preserve">nge do not have to disclose it </w:t>
      </w:r>
      <w:r w:rsidR="00A00012" w:rsidRPr="00EA6F7D">
        <w:rPr>
          <w:lang w:val="en-CA" w:eastAsia="en-CA"/>
        </w:rPr>
        <w:t>(</w:t>
      </w:r>
      <w:r w:rsidR="00A00012" w:rsidRPr="00F13DD4">
        <w:rPr>
          <w:b/>
          <w:i/>
          <w:color w:val="1006E0"/>
          <w:lang w:val="en-CA" w:eastAsia="en-CA"/>
        </w:rPr>
        <w:t xml:space="preserve">Kerr, </w:t>
      </w:r>
      <w:r w:rsidR="00A00012" w:rsidRPr="00F13DD4">
        <w:rPr>
          <w:b/>
          <w:color w:val="1006E0"/>
          <w:lang w:val="en-CA" w:eastAsia="en-CA"/>
        </w:rPr>
        <w:t xml:space="preserve">SCC </w:t>
      </w:r>
      <w:r w:rsidR="006D38E0" w:rsidRPr="00F13DD4">
        <w:rPr>
          <w:b/>
          <w:lang w:val="en-CA" w:eastAsia="en-CA"/>
        </w:rPr>
        <w:t>–</w:t>
      </w:r>
      <w:r w:rsidR="00A00012" w:rsidRPr="00F13DD4">
        <w:rPr>
          <w:b/>
          <w:lang w:val="en-CA" w:eastAsia="en-CA"/>
        </w:rPr>
        <w:t xml:space="preserve"> </w:t>
      </w:r>
      <w:r w:rsidR="006D38E0" w:rsidRPr="00F13DD4">
        <w:rPr>
          <w:i/>
          <w:lang w:val="en-CA" w:eastAsia="en-CA"/>
        </w:rPr>
        <w:t>Reduced jacket sales b/c warm weather</w:t>
      </w:r>
      <w:r w:rsidR="006D38E0" w:rsidRPr="00F13DD4">
        <w:rPr>
          <w:lang w:val="en-CA" w:eastAsia="en-CA"/>
        </w:rPr>
        <w:t>).</w:t>
      </w:r>
      <w:r w:rsidR="006D38E0">
        <w:rPr>
          <w:lang w:val="en-CA" w:eastAsia="en-CA"/>
        </w:rPr>
        <w:t xml:space="preserve"> </w:t>
      </w:r>
    </w:p>
    <w:p w:rsidR="00F359A7" w:rsidRPr="00B83807" w:rsidRDefault="00B83807" w:rsidP="00FF0B61">
      <w:pPr>
        <w:pStyle w:val="ListParagraph"/>
        <w:numPr>
          <w:ilvl w:val="0"/>
          <w:numId w:val="19"/>
        </w:numPr>
        <w:spacing w:after="0"/>
        <w:rPr>
          <w:i/>
          <w:lang w:val="en-CA" w:eastAsia="en-CA"/>
        </w:rPr>
      </w:pPr>
      <w:r w:rsidRPr="000C611E">
        <w:rPr>
          <w:b/>
          <w:lang w:val="en-CA" w:eastAsia="en-CA"/>
        </w:rPr>
        <w:t>Subsequent events alone cannot determine that a change is material at the time that it occurred</w:t>
      </w:r>
      <w:r>
        <w:rPr>
          <w:b/>
          <w:i/>
          <w:lang w:val="en-CA" w:eastAsia="en-CA"/>
        </w:rPr>
        <w:t xml:space="preserve">, </w:t>
      </w:r>
      <w:r>
        <w:rPr>
          <w:lang w:val="en-CA" w:eastAsia="en-CA"/>
        </w:rPr>
        <w:t xml:space="preserve">but they may </w:t>
      </w:r>
      <w:r>
        <w:rPr>
          <w:u w:val="single"/>
          <w:lang w:val="en-CA" w:eastAsia="en-CA"/>
        </w:rPr>
        <w:t>support or corroborate</w:t>
      </w:r>
      <w:r>
        <w:rPr>
          <w:lang w:val="en-CA" w:eastAsia="en-CA"/>
        </w:rPr>
        <w:t xml:space="preserve"> a finding of materiality made on other grounds</w:t>
      </w:r>
      <w:r w:rsidR="009A2DB0">
        <w:rPr>
          <w:lang w:val="en-CA" w:eastAsia="en-CA"/>
        </w:rPr>
        <w:t xml:space="preserve"> (e.g. found material based on all the E with increase in share price corroborating the determination </w:t>
      </w:r>
      <w:r w:rsidR="00680494">
        <w:rPr>
          <w:b/>
          <w:lang w:val="en-CA" w:eastAsia="en-CA"/>
        </w:rPr>
        <w:t>(</w:t>
      </w:r>
      <w:r w:rsidRPr="00B83807">
        <w:rPr>
          <w:b/>
          <w:i/>
          <w:color w:val="1006E0"/>
          <w:lang w:val="en-CA" w:eastAsia="en-CA"/>
        </w:rPr>
        <w:t xml:space="preserve">Re Kapusta </w:t>
      </w:r>
      <w:r w:rsidR="001A62C7">
        <w:rPr>
          <w:b/>
          <w:i/>
          <w:lang w:val="en-CA" w:eastAsia="en-CA"/>
        </w:rPr>
        <w:t>–</w:t>
      </w:r>
      <w:r>
        <w:rPr>
          <w:b/>
          <w:i/>
          <w:lang w:val="en-CA" w:eastAsia="en-CA"/>
        </w:rPr>
        <w:t xml:space="preserve"> </w:t>
      </w:r>
      <w:r w:rsidR="001A62C7">
        <w:rPr>
          <w:i/>
          <w:lang w:val="en-CA" w:eastAsia="en-CA"/>
        </w:rPr>
        <w:t>Public Oil co found oil, withheld results awaiting more test, insiders bought shares</w:t>
      </w:r>
      <w:r w:rsidR="000C24EA">
        <w:rPr>
          <w:i/>
          <w:lang w:val="en-CA" w:eastAsia="en-CA"/>
        </w:rPr>
        <w:t>. Share prices jump when discovery disclosed</w:t>
      </w:r>
      <w:r w:rsidR="00680494">
        <w:rPr>
          <w:i/>
          <w:lang w:val="en-CA" w:eastAsia="en-CA"/>
        </w:rPr>
        <w:t xml:space="preserve"> </w:t>
      </w:r>
      <w:r w:rsidR="00680494">
        <w:rPr>
          <w:b/>
          <w:lang w:val="en-CA" w:eastAsia="en-CA"/>
        </w:rPr>
        <w:t>//</w:t>
      </w:r>
      <w:r w:rsidR="001A62C7">
        <w:rPr>
          <w:i/>
          <w:lang w:val="en-CA" w:eastAsia="en-CA"/>
        </w:rPr>
        <w:t xml:space="preserve"> </w:t>
      </w:r>
      <w:r w:rsidR="001A62C7">
        <w:rPr>
          <w:b/>
          <w:lang w:val="en-CA" w:eastAsia="en-CA"/>
        </w:rPr>
        <w:t xml:space="preserve">Held: </w:t>
      </w:r>
      <w:r w:rsidR="001A62C7">
        <w:rPr>
          <w:lang w:val="en-CA" w:eastAsia="en-CA"/>
        </w:rPr>
        <w:t>The test results had been sufficiently certain to give rise to a material change before some of the impugned trades by insiders</w:t>
      </w:r>
      <w:r w:rsidR="00A03BF0">
        <w:rPr>
          <w:lang w:val="en-CA" w:eastAsia="en-CA"/>
        </w:rPr>
        <w:t xml:space="preserve"> (thus some engaged in insider trading)</w:t>
      </w:r>
      <w:r w:rsidR="001A62C7">
        <w:rPr>
          <w:lang w:val="en-CA" w:eastAsia="en-CA"/>
        </w:rPr>
        <w:t xml:space="preserve">). </w:t>
      </w:r>
    </w:p>
    <w:p w:rsidR="0002094E" w:rsidRDefault="0002094E" w:rsidP="00FF0B61">
      <w:pPr>
        <w:pStyle w:val="ListParagraph"/>
        <w:spacing w:after="0"/>
        <w:rPr>
          <w:lang w:val="en-CA" w:eastAsia="en-CA"/>
        </w:rPr>
      </w:pPr>
    </w:p>
    <w:p w:rsidR="0002094E" w:rsidRPr="0002094E" w:rsidRDefault="0002094E" w:rsidP="00FF0B61">
      <w:pPr>
        <w:spacing w:after="0" w:line="240" w:lineRule="auto"/>
        <w:rPr>
          <w:b/>
          <w:lang w:val="en-CA" w:eastAsia="en-CA"/>
        </w:rPr>
      </w:pPr>
      <w:r>
        <w:rPr>
          <w:b/>
          <w:lang w:val="en-CA" w:eastAsia="en-CA"/>
        </w:rPr>
        <w:t xml:space="preserve">Events that </w:t>
      </w:r>
      <w:r>
        <w:rPr>
          <w:b/>
          <w:i/>
          <w:lang w:val="en-CA" w:eastAsia="en-CA"/>
        </w:rPr>
        <w:t xml:space="preserve">may </w:t>
      </w:r>
      <w:r>
        <w:rPr>
          <w:b/>
          <w:lang w:val="en-CA" w:eastAsia="en-CA"/>
        </w:rPr>
        <w:t xml:space="preserve">give </w:t>
      </w:r>
      <w:r w:rsidRPr="008F6270">
        <w:rPr>
          <w:b/>
          <w:u w:val="single"/>
          <w:lang w:val="en-CA" w:eastAsia="en-CA"/>
        </w:rPr>
        <w:t xml:space="preserve">rise to Material </w:t>
      </w:r>
      <w:r w:rsidRPr="00260266">
        <w:rPr>
          <w:b/>
          <w:u w:val="single"/>
          <w:lang w:val="en-CA" w:eastAsia="en-CA"/>
        </w:rPr>
        <w:t>Change</w:t>
      </w:r>
      <w:r w:rsidRPr="00260266">
        <w:rPr>
          <w:b/>
          <w:lang w:val="en-CA" w:eastAsia="en-CA"/>
        </w:rPr>
        <w:t xml:space="preserve"> (</w:t>
      </w:r>
      <w:r w:rsidRPr="00260266">
        <w:rPr>
          <w:b/>
          <w:color w:val="7030A0"/>
          <w:lang w:val="en-CA" w:eastAsia="en-CA"/>
        </w:rPr>
        <w:t>NP 51-201</w:t>
      </w:r>
      <w:r w:rsidR="0022340C" w:rsidRPr="00260266">
        <w:rPr>
          <w:b/>
          <w:color w:val="7030A0"/>
          <w:lang w:val="en-CA" w:eastAsia="en-CA"/>
        </w:rPr>
        <w:t xml:space="preserve"> </w:t>
      </w:r>
      <w:r w:rsidR="00735CF8" w:rsidRPr="00260266">
        <w:rPr>
          <w:b/>
          <w:color w:val="7030A0"/>
          <w:lang w:val="en-CA" w:eastAsia="en-CA"/>
        </w:rPr>
        <w:t>s.</w:t>
      </w:r>
      <w:r w:rsidR="0022340C" w:rsidRPr="00260266">
        <w:rPr>
          <w:b/>
          <w:color w:val="7030A0"/>
          <w:lang w:val="en-CA" w:eastAsia="en-CA"/>
        </w:rPr>
        <w:t>4.3</w:t>
      </w:r>
      <w:r w:rsidRPr="00260266">
        <w:rPr>
          <w:b/>
          <w:lang w:val="en-CA" w:eastAsia="en-CA"/>
        </w:rPr>
        <w:t>):</w:t>
      </w:r>
      <w:r>
        <w:rPr>
          <w:b/>
          <w:lang w:val="en-CA" w:eastAsia="en-CA"/>
        </w:rPr>
        <w:t xml:space="preserve"> </w:t>
      </w:r>
    </w:p>
    <w:p w:rsidR="00372CFF" w:rsidRDefault="00C32C32" w:rsidP="00FF0B61">
      <w:pPr>
        <w:pStyle w:val="ListParagraph"/>
        <w:numPr>
          <w:ilvl w:val="0"/>
          <w:numId w:val="22"/>
        </w:numPr>
        <w:spacing w:after="0"/>
        <w:rPr>
          <w:lang w:val="en-CA" w:eastAsia="en-CA"/>
        </w:rPr>
      </w:pPr>
      <w:r>
        <w:rPr>
          <w:lang w:val="en-CA" w:eastAsia="en-CA"/>
        </w:rPr>
        <w:t xml:space="preserve">Changes in </w:t>
      </w:r>
      <w:r w:rsidRPr="000B6AC2">
        <w:rPr>
          <w:b/>
          <w:i/>
          <w:lang w:val="en-CA" w:eastAsia="en-CA"/>
        </w:rPr>
        <w:t>corporate structure,</w:t>
      </w:r>
      <w:r>
        <w:rPr>
          <w:lang w:val="en-CA" w:eastAsia="en-CA"/>
        </w:rPr>
        <w:t xml:space="preserve"> such as take-overs, mergers or changes in share ownership that may affect control of the corp;</w:t>
      </w:r>
    </w:p>
    <w:p w:rsidR="00C32C32" w:rsidRDefault="00C32C32" w:rsidP="00FF0B61">
      <w:pPr>
        <w:pStyle w:val="ListParagraph"/>
        <w:numPr>
          <w:ilvl w:val="0"/>
          <w:numId w:val="22"/>
        </w:numPr>
        <w:spacing w:after="0"/>
        <w:rPr>
          <w:lang w:val="en-CA" w:eastAsia="en-CA"/>
        </w:rPr>
      </w:pPr>
      <w:r>
        <w:rPr>
          <w:lang w:val="en-CA" w:eastAsia="en-CA"/>
        </w:rPr>
        <w:t xml:space="preserve">Changes in </w:t>
      </w:r>
      <w:r w:rsidRPr="000B6AC2">
        <w:rPr>
          <w:b/>
          <w:i/>
          <w:lang w:val="en-CA" w:eastAsia="en-CA"/>
        </w:rPr>
        <w:t>capital structure</w:t>
      </w:r>
      <w:r w:rsidR="00BA6287">
        <w:rPr>
          <w:lang w:val="en-CA" w:eastAsia="en-CA"/>
        </w:rPr>
        <w:t xml:space="preserve"> (e.g. Poison</w:t>
      </w:r>
      <w:r w:rsidR="00DA45B7">
        <w:rPr>
          <w:lang w:val="en-CA" w:eastAsia="en-CA"/>
        </w:rPr>
        <w:t xml:space="preserve"> Pill); </w:t>
      </w:r>
    </w:p>
    <w:p w:rsidR="00C32C32" w:rsidRDefault="00C32C32" w:rsidP="00FF0B61">
      <w:pPr>
        <w:pStyle w:val="ListParagraph"/>
        <w:numPr>
          <w:ilvl w:val="0"/>
          <w:numId w:val="22"/>
        </w:numPr>
        <w:spacing w:after="0"/>
        <w:rPr>
          <w:lang w:val="en-CA" w:eastAsia="en-CA"/>
        </w:rPr>
      </w:pPr>
      <w:r>
        <w:rPr>
          <w:lang w:val="en-CA" w:eastAsia="en-CA"/>
        </w:rPr>
        <w:t xml:space="preserve">Changes </w:t>
      </w:r>
      <w:r w:rsidRPr="000B6AC2">
        <w:rPr>
          <w:b/>
          <w:i/>
          <w:lang w:val="en-CA" w:eastAsia="en-CA"/>
        </w:rPr>
        <w:t>in financial results</w:t>
      </w:r>
      <w:r>
        <w:rPr>
          <w:lang w:val="en-CA" w:eastAsia="en-CA"/>
        </w:rPr>
        <w:t>, such as significant inc or dec in earnings projections, changes in assets or in accounting policies,</w:t>
      </w:r>
    </w:p>
    <w:p w:rsidR="00C32C32" w:rsidRDefault="00252A42" w:rsidP="00FF0B61">
      <w:pPr>
        <w:pStyle w:val="ListParagraph"/>
        <w:numPr>
          <w:ilvl w:val="0"/>
          <w:numId w:val="22"/>
        </w:numPr>
        <w:spacing w:after="0"/>
        <w:rPr>
          <w:lang w:val="en-CA" w:eastAsia="en-CA"/>
        </w:rPr>
      </w:pPr>
      <w:r>
        <w:rPr>
          <w:lang w:val="en-CA" w:eastAsia="en-CA"/>
        </w:rPr>
        <w:t xml:space="preserve">Changes in </w:t>
      </w:r>
      <w:r w:rsidRPr="000B6AC2">
        <w:rPr>
          <w:b/>
          <w:i/>
          <w:lang w:val="en-CA" w:eastAsia="en-CA"/>
        </w:rPr>
        <w:t>biz and operations</w:t>
      </w:r>
      <w:r>
        <w:rPr>
          <w:lang w:val="en-CA" w:eastAsia="en-CA"/>
        </w:rPr>
        <w:t xml:space="preserve"> (e.g. sign</w:t>
      </w:r>
      <w:r w:rsidR="00EF2CBA">
        <w:rPr>
          <w:lang w:val="en-CA" w:eastAsia="en-CA"/>
        </w:rPr>
        <w:t>ificant</w:t>
      </w:r>
      <w:r>
        <w:rPr>
          <w:lang w:val="en-CA" w:eastAsia="en-CA"/>
        </w:rPr>
        <w:t xml:space="preserve"> change in corp objectives, loss or gain of significant K’s, sign resource discoveries)</w:t>
      </w:r>
    </w:p>
    <w:p w:rsidR="00252A42" w:rsidRDefault="00252A42" w:rsidP="00FF0B61">
      <w:pPr>
        <w:pStyle w:val="ListParagraph"/>
        <w:numPr>
          <w:ilvl w:val="0"/>
          <w:numId w:val="22"/>
        </w:numPr>
        <w:spacing w:after="0"/>
        <w:rPr>
          <w:lang w:val="en-CA" w:eastAsia="en-CA"/>
        </w:rPr>
      </w:pPr>
      <w:r w:rsidRPr="000B6AC2">
        <w:rPr>
          <w:b/>
          <w:i/>
          <w:lang w:val="en-CA" w:eastAsia="en-CA"/>
        </w:rPr>
        <w:t>Acquisition or disposition</w:t>
      </w:r>
      <w:r>
        <w:rPr>
          <w:lang w:val="en-CA" w:eastAsia="en-CA"/>
        </w:rPr>
        <w:t>, and</w:t>
      </w:r>
    </w:p>
    <w:p w:rsidR="00252A42" w:rsidRDefault="00CD5873" w:rsidP="00FF0B61">
      <w:pPr>
        <w:pStyle w:val="ListParagraph"/>
        <w:numPr>
          <w:ilvl w:val="0"/>
          <w:numId w:val="22"/>
        </w:numPr>
        <w:spacing w:after="0"/>
        <w:rPr>
          <w:lang w:val="en-CA" w:eastAsia="en-CA"/>
        </w:rPr>
      </w:pPr>
      <w:r w:rsidRPr="000B6AC2">
        <w:rPr>
          <w:b/>
          <w:i/>
          <w:lang w:val="en-CA" w:eastAsia="en-CA"/>
        </w:rPr>
        <w:t>Changes in Credit arrangements</w:t>
      </w:r>
      <w:r>
        <w:rPr>
          <w:lang w:val="en-CA" w:eastAsia="en-CA"/>
        </w:rPr>
        <w:t xml:space="preserve"> (e.g. </w:t>
      </w:r>
      <w:r w:rsidRPr="00CD5873">
        <w:rPr>
          <w:b/>
          <w:i/>
          <w:color w:val="1006E0"/>
          <w:lang w:val="en-CA" w:eastAsia="en-CA"/>
        </w:rPr>
        <w:t>Coventree</w:t>
      </w:r>
      <w:r>
        <w:rPr>
          <w:lang w:val="en-CA" w:eastAsia="en-CA"/>
        </w:rPr>
        <w:t xml:space="preserve">). </w:t>
      </w:r>
    </w:p>
    <w:p w:rsidR="00131DAC" w:rsidRPr="00C32C32" w:rsidRDefault="00131DAC" w:rsidP="00FF0B61">
      <w:pPr>
        <w:pStyle w:val="ListParagraph"/>
        <w:spacing w:after="0"/>
        <w:rPr>
          <w:lang w:val="en-CA" w:eastAsia="en-CA"/>
        </w:rPr>
      </w:pPr>
    </w:p>
    <w:p w:rsidR="004A20F1" w:rsidRDefault="001C7796" w:rsidP="00FF0B61">
      <w:pPr>
        <w:pStyle w:val="Heading1"/>
        <w:spacing w:after="0"/>
        <w:rPr>
          <w:lang w:val="en-CA" w:eastAsia="en-CA"/>
        </w:rPr>
      </w:pPr>
      <w:bookmarkStart w:id="17" w:name="_Toc468980396"/>
      <w:r w:rsidRPr="004654C9">
        <w:rPr>
          <w:lang w:val="en-CA" w:eastAsia="en-CA"/>
        </w:rPr>
        <w:t>Machinery</w:t>
      </w:r>
      <w:bookmarkEnd w:id="17"/>
    </w:p>
    <w:p w:rsidR="00BC1B2E" w:rsidRDefault="00BC1B2E" w:rsidP="00FF0B61">
      <w:pPr>
        <w:pStyle w:val="ListParagraph"/>
        <w:numPr>
          <w:ilvl w:val="0"/>
          <w:numId w:val="167"/>
        </w:numPr>
        <w:rPr>
          <w:lang w:val="en-CA" w:eastAsia="en-CA"/>
        </w:rPr>
      </w:pPr>
      <w:r w:rsidRPr="00BC1B2E">
        <w:rPr>
          <w:b/>
          <w:lang w:val="en-CA" w:eastAsia="en-CA"/>
        </w:rPr>
        <w:t>BCSCn</w:t>
      </w:r>
      <w:r>
        <w:rPr>
          <w:lang w:val="en-CA" w:eastAsia="en-CA"/>
        </w:rPr>
        <w:t xml:space="preserve"> – for administrative/regulatory matters including compliance and enforcement</w:t>
      </w:r>
    </w:p>
    <w:p w:rsidR="00BC1B2E" w:rsidRDefault="00BC1B2E" w:rsidP="00FF0B61">
      <w:pPr>
        <w:pStyle w:val="ListParagraph"/>
        <w:numPr>
          <w:ilvl w:val="0"/>
          <w:numId w:val="167"/>
        </w:numPr>
        <w:rPr>
          <w:lang w:val="en-CA" w:eastAsia="en-CA"/>
        </w:rPr>
      </w:pPr>
      <w:r w:rsidRPr="00BC1B2E">
        <w:rPr>
          <w:b/>
          <w:lang w:val="en-CA" w:eastAsia="en-CA"/>
        </w:rPr>
        <w:t>BCSC</w:t>
      </w:r>
      <w:r>
        <w:rPr>
          <w:lang w:val="en-CA" w:eastAsia="en-CA"/>
        </w:rPr>
        <w:t xml:space="preserve"> – adjudicates on criminal &amp; quasi-criminal matters</w:t>
      </w:r>
    </w:p>
    <w:p w:rsidR="00BC1B2E" w:rsidRPr="00BC1B2E" w:rsidRDefault="00BC1B2E" w:rsidP="00FF0B61">
      <w:pPr>
        <w:pStyle w:val="ListParagraph"/>
        <w:numPr>
          <w:ilvl w:val="0"/>
          <w:numId w:val="167"/>
        </w:numPr>
        <w:rPr>
          <w:lang w:val="en-CA" w:eastAsia="en-CA"/>
        </w:rPr>
      </w:pPr>
      <w:r w:rsidRPr="00BC1B2E">
        <w:rPr>
          <w:b/>
          <w:lang w:val="en-CA" w:eastAsia="en-CA"/>
        </w:rPr>
        <w:t>BCSC</w:t>
      </w:r>
      <w:r>
        <w:rPr>
          <w:lang w:val="en-CA" w:eastAsia="en-CA"/>
        </w:rPr>
        <w:t xml:space="preserve"> – adjudicates on civil liability (i.e. investor lawsuits) incl under BCSA Part 16, 16.1 </w:t>
      </w:r>
    </w:p>
    <w:p w:rsidR="000C197C" w:rsidRPr="000C197C" w:rsidRDefault="007139B9" w:rsidP="00FF0B61">
      <w:pPr>
        <w:pStyle w:val="Heading3"/>
        <w:spacing w:line="240" w:lineRule="auto"/>
        <w:rPr>
          <w:lang w:val="en-CA" w:eastAsia="en-CA"/>
        </w:rPr>
      </w:pPr>
      <w:bookmarkStart w:id="18" w:name="_Toc468980397"/>
      <w:r>
        <w:rPr>
          <w:lang w:val="en-CA" w:eastAsia="en-CA"/>
        </w:rPr>
        <w:t xml:space="preserve">BC Securities </w:t>
      </w:r>
      <w:r w:rsidR="000C197C">
        <w:rPr>
          <w:lang w:val="en-CA" w:eastAsia="en-CA"/>
        </w:rPr>
        <w:t>Commission</w:t>
      </w:r>
      <w:bookmarkEnd w:id="18"/>
    </w:p>
    <w:p w:rsidR="002A3132" w:rsidRDefault="002A3132" w:rsidP="00FF0B61">
      <w:pPr>
        <w:pStyle w:val="ListParagraph"/>
        <w:numPr>
          <w:ilvl w:val="0"/>
          <w:numId w:val="23"/>
        </w:numPr>
        <w:rPr>
          <w:lang w:val="en-CA" w:eastAsia="en-CA"/>
        </w:rPr>
      </w:pPr>
      <w:r w:rsidRPr="000C197C">
        <w:rPr>
          <w:lang w:val="en-CA" w:eastAsia="en-CA"/>
        </w:rPr>
        <w:t>Regulatory commission can make Rules that are very similar to government regulations but they can be created w/o going through legislative process.</w:t>
      </w:r>
    </w:p>
    <w:p w:rsidR="00DC7596" w:rsidRPr="00DC7596" w:rsidRDefault="00DC7596" w:rsidP="00FF0B61">
      <w:pPr>
        <w:pStyle w:val="ListParagraph"/>
        <w:numPr>
          <w:ilvl w:val="0"/>
          <w:numId w:val="23"/>
        </w:numPr>
        <w:spacing w:before="240"/>
        <w:rPr>
          <w:lang w:val="en-CA" w:eastAsia="en-CA"/>
        </w:rPr>
      </w:pPr>
      <w:r>
        <w:rPr>
          <w:b/>
          <w:lang w:val="en-CA" w:eastAsia="en-CA"/>
        </w:rPr>
        <w:t xml:space="preserve">2 Tier Structure: </w:t>
      </w:r>
      <w:r w:rsidR="00EB512E">
        <w:rPr>
          <w:lang w:val="en-CA" w:eastAsia="en-CA"/>
        </w:rPr>
        <w:t>Separates Advocate</w:t>
      </w:r>
      <w:r w:rsidR="00BB0BE4">
        <w:rPr>
          <w:lang w:val="en-CA" w:eastAsia="en-CA"/>
        </w:rPr>
        <w:t xml:space="preserve"> (Staff</w:t>
      </w:r>
      <w:r w:rsidR="00DB20CA">
        <w:rPr>
          <w:lang w:val="en-CA" w:eastAsia="en-CA"/>
        </w:rPr>
        <w:t xml:space="preserve"> – may </w:t>
      </w:r>
      <w:r w:rsidR="00DB20CA">
        <w:rPr>
          <w:i/>
          <w:lang w:val="en-CA" w:eastAsia="en-CA"/>
        </w:rPr>
        <w:t xml:space="preserve">seek </w:t>
      </w:r>
      <w:r w:rsidR="00DB20CA">
        <w:rPr>
          <w:lang w:val="en-CA" w:eastAsia="en-CA"/>
        </w:rPr>
        <w:t>order against some</w:t>
      </w:r>
      <w:r w:rsidR="00BB0BE4">
        <w:rPr>
          <w:lang w:val="en-CA" w:eastAsia="en-CA"/>
        </w:rPr>
        <w:t>) + Judge (Commission</w:t>
      </w:r>
      <w:r w:rsidR="00DB20CA">
        <w:rPr>
          <w:lang w:val="en-CA" w:eastAsia="en-CA"/>
        </w:rPr>
        <w:t xml:space="preserve"> – make </w:t>
      </w:r>
      <w:r w:rsidR="00DB20CA">
        <w:rPr>
          <w:i/>
          <w:lang w:val="en-CA" w:eastAsia="en-CA"/>
        </w:rPr>
        <w:t>order</w:t>
      </w:r>
      <w:r w:rsidR="00BB0BE4">
        <w:rPr>
          <w:lang w:val="en-CA" w:eastAsia="en-CA"/>
        </w:rPr>
        <w:t>)</w:t>
      </w:r>
    </w:p>
    <w:p w:rsidR="00DC7596" w:rsidRPr="006972B6" w:rsidRDefault="00DC7596" w:rsidP="00FF0B61">
      <w:pPr>
        <w:pStyle w:val="ListParagraph"/>
        <w:numPr>
          <w:ilvl w:val="1"/>
          <w:numId w:val="23"/>
        </w:numPr>
        <w:rPr>
          <w:lang w:val="en-CA" w:eastAsia="en-CA"/>
        </w:rPr>
      </w:pPr>
      <w:r>
        <w:rPr>
          <w:b/>
          <w:lang w:val="en-CA" w:eastAsia="en-CA"/>
        </w:rPr>
        <w:t>Level 1 – “Official Commission”</w:t>
      </w:r>
      <w:r w:rsidR="00876E97">
        <w:rPr>
          <w:b/>
          <w:lang w:val="en-CA" w:eastAsia="en-CA"/>
        </w:rPr>
        <w:t xml:space="preserve">: </w:t>
      </w:r>
      <w:r w:rsidR="00876E97">
        <w:rPr>
          <w:lang w:val="en-CA" w:eastAsia="en-CA"/>
        </w:rPr>
        <w:t>Describes the first level of the commission which consists of up to 11 staff members.</w:t>
      </w:r>
      <w:r w:rsidR="003E4FCE">
        <w:rPr>
          <w:lang w:val="en-CA" w:eastAsia="en-CA"/>
        </w:rPr>
        <w:t xml:space="preserve"> Appointed.</w:t>
      </w:r>
      <w:r w:rsidR="00876E97">
        <w:rPr>
          <w:lang w:val="en-CA" w:eastAsia="en-CA"/>
        </w:rPr>
        <w:t xml:space="preserve"> </w:t>
      </w:r>
      <w:r w:rsidR="00876E97" w:rsidRPr="00F24FA2">
        <w:rPr>
          <w:b/>
          <w:lang w:val="en-CA" w:eastAsia="en-CA"/>
        </w:rPr>
        <w:t>They hear appeals and hearings</w:t>
      </w:r>
      <w:r w:rsidR="00876E97">
        <w:rPr>
          <w:b/>
          <w:lang w:val="en-CA" w:eastAsia="en-CA"/>
        </w:rPr>
        <w:t xml:space="preserve"> (</w:t>
      </w:r>
      <w:r w:rsidR="00876E97" w:rsidRPr="00876E97">
        <w:rPr>
          <w:b/>
          <w:color w:val="C45911" w:themeColor="accent2" w:themeShade="BF"/>
          <w:lang w:val="en-CA" w:eastAsia="en-CA"/>
        </w:rPr>
        <w:t>BCSA s.4</w:t>
      </w:r>
      <w:r w:rsidR="00876E97">
        <w:rPr>
          <w:b/>
          <w:lang w:val="en-CA" w:eastAsia="en-CA"/>
        </w:rPr>
        <w:t>)</w:t>
      </w:r>
    </w:p>
    <w:p w:rsidR="006972B6" w:rsidRPr="00A23BAF" w:rsidRDefault="006972B6" w:rsidP="00FF0B61">
      <w:pPr>
        <w:pStyle w:val="ListParagraph"/>
        <w:numPr>
          <w:ilvl w:val="1"/>
          <w:numId w:val="23"/>
        </w:numPr>
        <w:rPr>
          <w:lang w:val="en-CA" w:eastAsia="en-CA"/>
        </w:rPr>
      </w:pPr>
      <w:r>
        <w:rPr>
          <w:b/>
          <w:lang w:val="en-CA" w:eastAsia="en-CA"/>
        </w:rPr>
        <w:t xml:space="preserve">Level 2 – </w:t>
      </w:r>
      <w:r w:rsidR="00BE60A8">
        <w:rPr>
          <w:b/>
          <w:lang w:val="en-CA" w:eastAsia="en-CA"/>
        </w:rPr>
        <w:t xml:space="preserve">Staff: </w:t>
      </w:r>
      <w:r w:rsidR="00BE60A8">
        <w:rPr>
          <w:lang w:val="en-CA" w:eastAsia="en-CA"/>
        </w:rPr>
        <w:t xml:space="preserve">Commission must appoint a person to be the executive director </w:t>
      </w:r>
      <w:r w:rsidR="00BE60A8" w:rsidRPr="00BE60A8">
        <w:rPr>
          <w:lang w:val="en-CA" w:eastAsia="en-CA"/>
        </w:rPr>
        <w:t>and chief administrative officer, who runs staff.</w:t>
      </w:r>
      <w:r w:rsidR="0047383B">
        <w:rPr>
          <w:lang w:val="en-CA" w:eastAsia="en-CA"/>
        </w:rPr>
        <w:t xml:space="preserve"> Staff employed through K.</w:t>
      </w:r>
      <w:r w:rsidR="00BE60A8" w:rsidRPr="00BE60A8">
        <w:rPr>
          <w:lang w:val="en-CA" w:eastAsia="en-CA"/>
        </w:rPr>
        <w:t xml:space="preserve"> Powers include investigation, supervising registrants, trading, prospectuses, distribution, continuous disclosure, proxies, TOBs, insider trading, self-dealing, enforcement of legislation including sanctions, and delegating responsibility to SROs</w:t>
      </w:r>
      <w:r w:rsidR="00BE60A8">
        <w:rPr>
          <w:lang w:val="en-CA" w:eastAsia="en-CA"/>
        </w:rPr>
        <w:t xml:space="preserve"> (</w:t>
      </w:r>
      <w:r w:rsidR="00BE60A8" w:rsidRPr="00BE60A8">
        <w:rPr>
          <w:b/>
          <w:color w:val="C45911" w:themeColor="accent2" w:themeShade="BF"/>
          <w:lang w:val="en-CA" w:eastAsia="en-CA"/>
        </w:rPr>
        <w:t>BCSA s.8</w:t>
      </w:r>
      <w:r w:rsidR="00BE60A8">
        <w:rPr>
          <w:lang w:val="en-CA" w:eastAsia="en-CA"/>
        </w:rPr>
        <w:t xml:space="preserve">). </w:t>
      </w:r>
    </w:p>
    <w:p w:rsidR="00A23BAF" w:rsidRPr="00B41FE8" w:rsidRDefault="00A23BAF" w:rsidP="00FF0B61">
      <w:pPr>
        <w:spacing w:after="0" w:line="240" w:lineRule="auto"/>
        <w:rPr>
          <w:lang w:val="en-CA" w:eastAsia="en-CA"/>
        </w:rPr>
      </w:pPr>
      <w:r>
        <w:rPr>
          <w:b/>
          <w:lang w:val="en-CA" w:eastAsia="en-CA"/>
        </w:rPr>
        <w:t>Rule Making Authority</w:t>
      </w:r>
      <w:r w:rsidR="00E21C92">
        <w:rPr>
          <w:b/>
          <w:lang w:val="en-CA" w:eastAsia="en-CA"/>
        </w:rPr>
        <w:t xml:space="preserve"> (</w:t>
      </w:r>
      <w:r w:rsidR="00E21C92" w:rsidRPr="00E21C92">
        <w:rPr>
          <w:b/>
          <w:color w:val="C45911" w:themeColor="accent2" w:themeShade="BF"/>
          <w:lang w:val="en-CA" w:eastAsia="en-CA"/>
        </w:rPr>
        <w:t>BCSA 184-188</w:t>
      </w:r>
      <w:r w:rsidR="00E21C92">
        <w:rPr>
          <w:b/>
          <w:lang w:val="en-CA" w:eastAsia="en-CA"/>
        </w:rPr>
        <w:t>)</w:t>
      </w:r>
      <w:r>
        <w:rPr>
          <w:b/>
          <w:lang w:val="en-CA" w:eastAsia="en-CA"/>
        </w:rPr>
        <w:t xml:space="preserve">: </w:t>
      </w:r>
      <w:r w:rsidR="00B41FE8" w:rsidRPr="00F24FA2">
        <w:rPr>
          <w:b/>
          <w:lang w:val="en-CA" w:eastAsia="en-CA"/>
        </w:rPr>
        <w:t xml:space="preserve">BC Sec Commission given rule making authority following the </w:t>
      </w:r>
      <w:r w:rsidR="00B41FE8" w:rsidRPr="00F24FA2">
        <w:rPr>
          <w:b/>
          <w:i/>
          <w:color w:val="1006E0"/>
          <w:lang w:val="en-CA" w:eastAsia="en-CA"/>
        </w:rPr>
        <w:t xml:space="preserve">Ainsley Corp </w:t>
      </w:r>
      <w:r w:rsidR="00B41FE8" w:rsidRPr="00F24FA2">
        <w:rPr>
          <w:b/>
          <w:lang w:val="en-CA" w:eastAsia="en-CA"/>
        </w:rPr>
        <w:t>decision</w:t>
      </w:r>
      <w:r w:rsidR="00B41FE8">
        <w:rPr>
          <w:lang w:val="en-CA" w:eastAsia="en-CA"/>
        </w:rPr>
        <w:t xml:space="preserve">. </w:t>
      </w:r>
    </w:p>
    <w:p w:rsidR="002A3132" w:rsidRDefault="002A3132" w:rsidP="00FF0B61">
      <w:pPr>
        <w:pStyle w:val="ListParagraph"/>
        <w:numPr>
          <w:ilvl w:val="0"/>
          <w:numId w:val="24"/>
        </w:numPr>
        <w:rPr>
          <w:lang w:val="en-CA" w:eastAsia="en-CA"/>
        </w:rPr>
      </w:pPr>
      <w:r w:rsidRPr="002A3132">
        <w:rPr>
          <w:b/>
          <w:color w:val="C45911" w:themeColor="accent2" w:themeShade="BF"/>
          <w:lang w:val="en-CA" w:eastAsia="en-CA"/>
        </w:rPr>
        <w:t>BCSA 184</w:t>
      </w:r>
      <w:r w:rsidRPr="002A3132">
        <w:rPr>
          <w:color w:val="C45911" w:themeColor="accent2" w:themeShade="BF"/>
          <w:lang w:val="en-CA" w:eastAsia="en-CA"/>
        </w:rPr>
        <w:t xml:space="preserve"> </w:t>
      </w:r>
      <w:r>
        <w:rPr>
          <w:lang w:val="en-CA" w:eastAsia="en-CA"/>
        </w:rPr>
        <w:t xml:space="preserve">– Commission </w:t>
      </w:r>
      <w:r w:rsidR="006A1135">
        <w:rPr>
          <w:lang w:val="en-CA" w:eastAsia="en-CA"/>
        </w:rPr>
        <w:t>can make binding law themselves (i.e. if signing onto a MI and NI)</w:t>
      </w:r>
      <w:r>
        <w:rPr>
          <w:lang w:val="en-CA" w:eastAsia="en-CA"/>
        </w:rPr>
        <w:t xml:space="preserve"> </w:t>
      </w:r>
      <w:r w:rsidR="00B06FDA">
        <w:rPr>
          <w:lang w:val="en-CA" w:eastAsia="en-CA"/>
        </w:rPr>
        <w:t>“Notice-and-comment” rule making</w:t>
      </w:r>
      <w:r w:rsidR="001C1FC0">
        <w:rPr>
          <w:lang w:val="en-CA" w:eastAsia="en-CA"/>
        </w:rPr>
        <w:t xml:space="preserve"> (faster than legislation)</w:t>
      </w:r>
      <w:r w:rsidR="00B06FDA">
        <w:rPr>
          <w:lang w:val="en-CA" w:eastAsia="en-CA"/>
        </w:rPr>
        <w:t xml:space="preserve">: </w:t>
      </w:r>
    </w:p>
    <w:p w:rsidR="002A3132" w:rsidRPr="002A3132" w:rsidRDefault="002A3132" w:rsidP="00FF0B61">
      <w:pPr>
        <w:pStyle w:val="ListParagraph"/>
        <w:numPr>
          <w:ilvl w:val="1"/>
          <w:numId w:val="24"/>
        </w:numPr>
        <w:rPr>
          <w:lang w:val="en-CA" w:eastAsia="en-CA"/>
        </w:rPr>
      </w:pPr>
      <w:r w:rsidRPr="002A3132">
        <w:rPr>
          <w:lang w:val="en-CA" w:eastAsia="en-CA"/>
        </w:rPr>
        <w:t>Propose a rule and have to wait a certain amount of time (e.g. 60</w:t>
      </w:r>
      <w:r w:rsidR="008B4252">
        <w:rPr>
          <w:lang w:val="en-CA" w:eastAsia="en-CA"/>
        </w:rPr>
        <w:t xml:space="preserve"> days</w:t>
      </w:r>
      <w:r w:rsidRPr="002A3132">
        <w:rPr>
          <w:lang w:val="en-CA" w:eastAsia="en-CA"/>
        </w:rPr>
        <w:t>) for comments from people.</w:t>
      </w:r>
    </w:p>
    <w:p w:rsidR="002A3132" w:rsidRDefault="002A3132" w:rsidP="00FF0B61">
      <w:pPr>
        <w:pStyle w:val="ListParagraph"/>
        <w:numPr>
          <w:ilvl w:val="1"/>
          <w:numId w:val="24"/>
        </w:numPr>
        <w:rPr>
          <w:lang w:val="en-CA" w:eastAsia="en-CA"/>
        </w:rPr>
      </w:pPr>
      <w:r w:rsidRPr="002A3132">
        <w:rPr>
          <w:lang w:val="en-CA" w:eastAsia="en-CA"/>
        </w:rPr>
        <w:t xml:space="preserve">At end of comment period must </w:t>
      </w:r>
      <w:r>
        <w:rPr>
          <w:lang w:val="en-CA" w:eastAsia="en-CA"/>
        </w:rPr>
        <w:t xml:space="preserve">issue another </w:t>
      </w:r>
      <w:r w:rsidR="00180F3D">
        <w:rPr>
          <w:lang w:val="en-CA" w:eastAsia="en-CA"/>
        </w:rPr>
        <w:t xml:space="preserve">version of the </w:t>
      </w:r>
      <w:r>
        <w:rPr>
          <w:lang w:val="en-CA" w:eastAsia="en-CA"/>
        </w:rPr>
        <w:t>rule and justify.</w:t>
      </w:r>
    </w:p>
    <w:p w:rsidR="002A3132" w:rsidRDefault="002A3132" w:rsidP="00FF0B61">
      <w:pPr>
        <w:pStyle w:val="ListParagraph"/>
        <w:numPr>
          <w:ilvl w:val="1"/>
          <w:numId w:val="24"/>
        </w:numPr>
        <w:rPr>
          <w:lang w:val="en-CA" w:eastAsia="en-CA"/>
        </w:rPr>
      </w:pPr>
      <w:r>
        <w:rPr>
          <w:lang w:val="en-CA" w:eastAsia="en-CA"/>
        </w:rPr>
        <w:t>Publish the rule again and go through another comment period.</w:t>
      </w:r>
    </w:p>
    <w:p w:rsidR="002A3132" w:rsidRDefault="002A3132" w:rsidP="00FF0B61">
      <w:pPr>
        <w:pStyle w:val="ListParagraph"/>
        <w:numPr>
          <w:ilvl w:val="1"/>
          <w:numId w:val="24"/>
        </w:numPr>
        <w:rPr>
          <w:lang w:val="en-CA" w:eastAsia="en-CA"/>
        </w:rPr>
      </w:pPr>
      <w:r>
        <w:rPr>
          <w:lang w:val="en-CA" w:eastAsia="en-CA"/>
        </w:rPr>
        <w:t xml:space="preserve">Then issue the rule and it becomes a binding piece of law. </w:t>
      </w:r>
    </w:p>
    <w:p w:rsidR="00B846EC" w:rsidRDefault="00B846EC" w:rsidP="00FF0B61">
      <w:pPr>
        <w:pStyle w:val="ListParagraph"/>
        <w:numPr>
          <w:ilvl w:val="0"/>
          <w:numId w:val="24"/>
        </w:numPr>
        <w:rPr>
          <w:lang w:val="en-CA" w:eastAsia="en-CA"/>
        </w:rPr>
      </w:pPr>
      <w:r w:rsidRPr="00B846EC">
        <w:rPr>
          <w:b/>
          <w:color w:val="C45911" w:themeColor="accent2" w:themeShade="BF"/>
          <w:lang w:val="en-CA" w:eastAsia="en-CA"/>
        </w:rPr>
        <w:t>BCSA 187</w:t>
      </w:r>
      <w:r w:rsidRPr="00B846EC">
        <w:rPr>
          <w:color w:val="C45911" w:themeColor="accent2" w:themeShade="BF"/>
          <w:lang w:val="en-CA" w:eastAsia="en-CA"/>
        </w:rPr>
        <w:t xml:space="preserve"> </w:t>
      </w:r>
      <w:r w:rsidR="00981079">
        <w:rPr>
          <w:lang w:val="en-CA" w:eastAsia="en-CA"/>
        </w:rPr>
        <w:t xml:space="preserve">– Administrative powers re: </w:t>
      </w:r>
      <w:r>
        <w:rPr>
          <w:lang w:val="en-CA" w:eastAsia="en-CA"/>
        </w:rPr>
        <w:t xml:space="preserve">Commission rules. </w:t>
      </w:r>
    </w:p>
    <w:p w:rsidR="00543CC2" w:rsidRDefault="004E2467" w:rsidP="00FF0B61">
      <w:pPr>
        <w:spacing w:line="240" w:lineRule="auto"/>
        <w:rPr>
          <w:lang w:val="en-CA" w:eastAsia="en-CA"/>
        </w:rPr>
      </w:pPr>
      <w:r>
        <w:rPr>
          <w:b/>
          <w:lang w:val="en-CA" w:eastAsia="en-CA"/>
        </w:rPr>
        <w:t>Organizational</w:t>
      </w:r>
      <w:r w:rsidR="00B733F8">
        <w:rPr>
          <w:b/>
          <w:lang w:val="en-CA" w:eastAsia="en-CA"/>
        </w:rPr>
        <w:t xml:space="preserve"> Bias Concerns:</w:t>
      </w:r>
      <w:r>
        <w:rPr>
          <w:lang w:val="en-CA" w:eastAsia="en-CA"/>
        </w:rPr>
        <w:t xml:space="preserve"> </w:t>
      </w:r>
      <w:r w:rsidRPr="00B733F8">
        <w:rPr>
          <w:b/>
          <w:lang w:val="en-CA" w:eastAsia="en-CA"/>
        </w:rPr>
        <w:t>1)</w:t>
      </w:r>
      <w:r>
        <w:rPr>
          <w:lang w:val="en-CA" w:eastAsia="en-CA"/>
        </w:rPr>
        <w:t xml:space="preserve"> Regulators attempt to increase their own power and influence, even if such expansion goes beyond their justifiable scope of authority, </w:t>
      </w:r>
      <w:r w:rsidRPr="00B733F8">
        <w:rPr>
          <w:b/>
          <w:lang w:val="en-CA" w:eastAsia="en-CA"/>
        </w:rPr>
        <w:t>2)</w:t>
      </w:r>
      <w:r>
        <w:rPr>
          <w:lang w:val="en-CA" w:eastAsia="en-CA"/>
        </w:rPr>
        <w:t xml:space="preserve"> Agencies may over-regulate and be over-conservativ</w:t>
      </w:r>
      <w:r w:rsidR="00AA0F41">
        <w:rPr>
          <w:lang w:val="en-CA" w:eastAsia="en-CA"/>
        </w:rPr>
        <w:t xml:space="preserve">e to protect themselves from failure, </w:t>
      </w:r>
      <w:r w:rsidR="00AA0F41" w:rsidRPr="00B733F8">
        <w:rPr>
          <w:b/>
          <w:lang w:val="en-CA" w:eastAsia="en-CA"/>
        </w:rPr>
        <w:t>3)</w:t>
      </w:r>
      <w:r w:rsidR="00AA0F41">
        <w:rPr>
          <w:lang w:val="en-CA" w:eastAsia="en-CA"/>
        </w:rPr>
        <w:t xml:space="preserve"> Policy will tend to focus on unquestioned internal rhetoric, perhaps discarding useful ideas from outside. </w:t>
      </w:r>
    </w:p>
    <w:p w:rsidR="00213C14" w:rsidRDefault="00213C14" w:rsidP="00FF0B61">
      <w:pPr>
        <w:spacing w:line="240" w:lineRule="auto"/>
        <w:rPr>
          <w:lang w:val="en-CA" w:eastAsia="en-CA"/>
        </w:rPr>
      </w:pPr>
      <w:r>
        <w:rPr>
          <w:b/>
          <w:lang w:val="en-CA" w:eastAsia="en-CA"/>
        </w:rPr>
        <w:t xml:space="preserve">NB: </w:t>
      </w:r>
      <w:r w:rsidRPr="00D12F38">
        <w:rPr>
          <w:b/>
          <w:i/>
          <w:lang w:val="en-CA" w:eastAsia="en-CA"/>
        </w:rPr>
        <w:t>Efforts to harmonize</w:t>
      </w:r>
      <w:r w:rsidRPr="00D12F38">
        <w:rPr>
          <w:lang w:val="en-CA" w:eastAsia="en-CA"/>
        </w:rPr>
        <w:t xml:space="preserve"> regulation across provinces (e.g. harmonizing d</w:t>
      </w:r>
      <w:r>
        <w:rPr>
          <w:lang w:val="en-CA" w:eastAsia="en-CA"/>
        </w:rPr>
        <w:t>efinition of “insider trading”).</w:t>
      </w:r>
    </w:p>
    <w:p w:rsidR="00990F04" w:rsidRPr="00A75D28" w:rsidRDefault="00990F04" w:rsidP="00FF0B61">
      <w:pPr>
        <w:pStyle w:val="Heading3"/>
        <w:spacing w:line="240" w:lineRule="auto"/>
        <w:rPr>
          <w:lang w:val="en-CA" w:eastAsia="en-CA"/>
        </w:rPr>
      </w:pPr>
      <w:bookmarkStart w:id="19" w:name="_Toc468980398"/>
      <w:r w:rsidRPr="00AF5C65">
        <w:rPr>
          <w:lang w:val="en-CA" w:eastAsia="en-CA"/>
        </w:rPr>
        <w:t>Enforcement Procedure of Commissions</w:t>
      </w:r>
      <w:bookmarkEnd w:id="19"/>
    </w:p>
    <w:p w:rsidR="00990F04" w:rsidRDefault="00990F04" w:rsidP="00FF0B61">
      <w:pPr>
        <w:spacing w:after="0" w:line="240" w:lineRule="auto"/>
        <w:rPr>
          <w:lang w:val="en-CA" w:eastAsia="en-CA"/>
        </w:rPr>
      </w:pPr>
      <w:r w:rsidRPr="000053A9">
        <w:rPr>
          <w:lang w:val="en-CA" w:eastAsia="en-CA"/>
        </w:rPr>
        <w:t>Complai</w:t>
      </w:r>
      <w:r>
        <w:rPr>
          <w:lang w:val="en-CA" w:eastAsia="en-CA"/>
        </w:rPr>
        <w:t xml:space="preserve">nt </w:t>
      </w:r>
      <w:r w:rsidRPr="002A3192">
        <w:rPr>
          <w:b/>
          <w:lang w:val="en-CA" w:eastAsia="en-CA"/>
        </w:rPr>
        <w:sym w:font="Wingdings" w:char="F0E0"/>
      </w:r>
      <w:r>
        <w:rPr>
          <w:lang w:val="en-CA" w:eastAsia="en-CA"/>
        </w:rPr>
        <w:t xml:space="preserve"> Informal Investigation </w:t>
      </w:r>
      <w:r w:rsidRPr="002A3192">
        <w:rPr>
          <w:b/>
          <w:lang w:val="en-CA" w:eastAsia="en-CA"/>
        </w:rPr>
        <w:sym w:font="Wingdings" w:char="F0E0"/>
      </w:r>
      <w:r>
        <w:rPr>
          <w:lang w:val="en-CA" w:eastAsia="en-CA"/>
        </w:rPr>
        <w:t xml:space="preserve"> </w:t>
      </w:r>
      <w:r w:rsidRPr="000053A9">
        <w:rPr>
          <w:lang w:val="en-CA" w:eastAsia="en-CA"/>
        </w:rPr>
        <w:t>F</w:t>
      </w:r>
      <w:r>
        <w:rPr>
          <w:lang w:val="en-CA" w:eastAsia="en-CA"/>
        </w:rPr>
        <w:t xml:space="preserve">ormal Investigation </w:t>
      </w:r>
      <w:r w:rsidRPr="002A3192">
        <w:rPr>
          <w:b/>
          <w:lang w:val="en-CA" w:eastAsia="en-CA"/>
        </w:rPr>
        <w:sym w:font="Wingdings" w:char="F0E0"/>
      </w:r>
      <w:r w:rsidRPr="002A3192">
        <w:rPr>
          <w:b/>
          <w:lang w:val="en-CA" w:eastAsia="en-CA"/>
        </w:rPr>
        <w:t xml:space="preserve"> </w:t>
      </w:r>
      <w:r>
        <w:rPr>
          <w:lang w:val="en-CA" w:eastAsia="en-CA"/>
        </w:rPr>
        <w:t xml:space="preserve">Hearing </w:t>
      </w:r>
      <w:r w:rsidRPr="002A3192">
        <w:rPr>
          <w:b/>
          <w:lang w:val="en-CA" w:eastAsia="en-CA"/>
        </w:rPr>
        <w:sym w:font="Wingdings" w:char="F0E0"/>
      </w:r>
      <w:r w:rsidRPr="002A3192">
        <w:rPr>
          <w:b/>
          <w:lang w:val="en-CA" w:eastAsia="en-CA"/>
        </w:rPr>
        <w:t xml:space="preserve"> </w:t>
      </w:r>
      <w:r w:rsidRPr="000053A9">
        <w:rPr>
          <w:lang w:val="en-CA" w:eastAsia="en-CA"/>
        </w:rPr>
        <w:t>Appeal to Court of Appeal.</w:t>
      </w:r>
    </w:p>
    <w:p w:rsidR="00C312E5" w:rsidRDefault="00C312E5" w:rsidP="00FF0B61">
      <w:pPr>
        <w:spacing w:after="0" w:line="240" w:lineRule="auto"/>
        <w:rPr>
          <w:lang w:val="en-CA" w:eastAsia="en-CA"/>
        </w:rPr>
      </w:pPr>
    </w:p>
    <w:p w:rsidR="00213C14" w:rsidRDefault="00213C14" w:rsidP="00FF0B61">
      <w:pPr>
        <w:pStyle w:val="Heading3"/>
        <w:spacing w:line="240" w:lineRule="auto"/>
        <w:rPr>
          <w:lang w:val="en-CA" w:eastAsia="en-CA"/>
        </w:rPr>
      </w:pPr>
      <w:bookmarkStart w:id="20" w:name="_Toc468980399"/>
      <w:r>
        <w:rPr>
          <w:lang w:val="en-CA" w:eastAsia="en-CA"/>
        </w:rPr>
        <w:t>Reviews and Appeals (</w:t>
      </w:r>
      <w:r w:rsidRPr="007A65CF">
        <w:rPr>
          <w:color w:val="C45911" w:themeColor="accent2" w:themeShade="BF"/>
          <w:lang w:val="en-CA" w:eastAsia="en-CA"/>
        </w:rPr>
        <w:t>Part 19 BCSA</w:t>
      </w:r>
      <w:r>
        <w:rPr>
          <w:lang w:val="en-CA" w:eastAsia="en-CA"/>
        </w:rPr>
        <w:t>)</w:t>
      </w:r>
      <w:bookmarkEnd w:id="20"/>
    </w:p>
    <w:p w:rsidR="00213C14" w:rsidRPr="00DF16AD" w:rsidRDefault="00213C14" w:rsidP="00FF0B61">
      <w:pPr>
        <w:spacing w:after="0" w:line="240" w:lineRule="auto"/>
        <w:rPr>
          <w:lang w:val="en-CA" w:eastAsia="en-CA"/>
        </w:rPr>
      </w:pPr>
      <w:r w:rsidRPr="00DF16AD">
        <w:rPr>
          <w:b/>
          <w:u w:val="single"/>
          <w:lang w:val="en-CA" w:eastAsia="en-CA"/>
        </w:rPr>
        <w:t>OVERVIEW:</w:t>
      </w:r>
      <w:r w:rsidRPr="00DF16AD">
        <w:rPr>
          <w:b/>
          <w:lang w:val="en-CA" w:eastAsia="en-CA"/>
        </w:rPr>
        <w:t xml:space="preserve"> </w:t>
      </w:r>
      <w:r w:rsidR="00575184">
        <w:rPr>
          <w:lang w:val="en-CA" w:eastAsia="en-CA"/>
        </w:rPr>
        <w:t xml:space="preserve">Enforcement by staff </w:t>
      </w:r>
      <w:r w:rsidR="00575184" w:rsidRPr="00575184">
        <w:rPr>
          <w:b/>
          <w:lang w:val="en-CA" w:eastAsia="en-CA"/>
        </w:rPr>
        <w:sym w:font="Wingdings" w:char="F0E0"/>
      </w:r>
      <w:r w:rsidRPr="00DF16AD">
        <w:rPr>
          <w:lang w:val="en-CA" w:eastAsia="en-CA"/>
        </w:rPr>
        <w:t xml:space="preserve"> Appeal to BC Sec Comm (</w:t>
      </w:r>
      <w:r w:rsidRPr="00DF16AD">
        <w:rPr>
          <w:b/>
          <w:color w:val="C45911" w:themeColor="accent2" w:themeShade="BF"/>
          <w:lang w:val="en-CA" w:eastAsia="en-CA"/>
        </w:rPr>
        <w:t>BCSA 165</w:t>
      </w:r>
      <w:r>
        <w:rPr>
          <w:lang w:val="en-CA" w:eastAsia="en-CA"/>
        </w:rPr>
        <w:t xml:space="preserve">) </w:t>
      </w:r>
      <w:r w:rsidRPr="00575184">
        <w:rPr>
          <w:b/>
          <w:lang w:val="en-CA" w:eastAsia="en-CA"/>
        </w:rPr>
        <w:sym w:font="Wingdings" w:char="F0E0"/>
      </w:r>
      <w:r w:rsidRPr="00DF16AD">
        <w:rPr>
          <w:lang w:val="en-CA" w:eastAsia="en-CA"/>
        </w:rPr>
        <w:t xml:space="preserve"> Appeal to BCCA (</w:t>
      </w:r>
      <w:r w:rsidRPr="00DF16AD">
        <w:rPr>
          <w:b/>
          <w:color w:val="C45911" w:themeColor="accent2" w:themeShade="BF"/>
          <w:lang w:val="en-CA" w:eastAsia="en-CA"/>
        </w:rPr>
        <w:t>BCSA 167</w:t>
      </w:r>
      <w:r>
        <w:rPr>
          <w:lang w:val="en-CA" w:eastAsia="en-CA"/>
        </w:rPr>
        <w:t xml:space="preserve">) </w:t>
      </w:r>
      <w:r w:rsidRPr="00575184">
        <w:rPr>
          <w:b/>
          <w:lang w:val="en-CA" w:eastAsia="en-CA"/>
        </w:rPr>
        <w:sym w:font="Wingdings" w:char="F0E0"/>
      </w:r>
      <w:r w:rsidRPr="00DF16AD">
        <w:rPr>
          <w:lang w:val="en-CA" w:eastAsia="en-CA"/>
        </w:rPr>
        <w:t xml:space="preserve"> Appeal to SCC</w:t>
      </w:r>
    </w:p>
    <w:p w:rsidR="00213C14" w:rsidRDefault="00213C14" w:rsidP="00FF0B61">
      <w:pPr>
        <w:widowControl w:val="0"/>
        <w:autoSpaceDE w:val="0"/>
        <w:autoSpaceDN w:val="0"/>
        <w:adjustRightInd w:val="0"/>
        <w:spacing w:after="0" w:line="240" w:lineRule="auto"/>
        <w:rPr>
          <w:rFonts w:cs="Times New Roman"/>
          <w:szCs w:val="24"/>
        </w:rPr>
      </w:pPr>
      <w:r>
        <w:rPr>
          <w:rFonts w:cs="Times New Roman"/>
          <w:b/>
          <w:szCs w:val="24"/>
        </w:rPr>
        <w:t xml:space="preserve">[1] Internal Review: </w:t>
      </w:r>
      <w:r>
        <w:rPr>
          <w:rFonts w:cs="Times New Roman"/>
          <w:szCs w:val="24"/>
        </w:rPr>
        <w:t>Commission may review a decision of the executive director (</w:t>
      </w:r>
      <w:r w:rsidRPr="0044171D">
        <w:rPr>
          <w:rFonts w:cs="Times New Roman"/>
          <w:b/>
          <w:color w:val="C45911" w:themeColor="accent2" w:themeShade="BF"/>
          <w:szCs w:val="24"/>
        </w:rPr>
        <w:t>BCSA 165(2)</w:t>
      </w:r>
      <w:r>
        <w:rPr>
          <w:rFonts w:cs="Times New Roman"/>
          <w:szCs w:val="24"/>
        </w:rPr>
        <w:t>)</w:t>
      </w:r>
    </w:p>
    <w:p w:rsidR="00213C14" w:rsidRPr="00CF7D02" w:rsidRDefault="00213C14" w:rsidP="00FF0B61">
      <w:pPr>
        <w:widowControl w:val="0"/>
        <w:autoSpaceDE w:val="0"/>
        <w:autoSpaceDN w:val="0"/>
        <w:adjustRightInd w:val="0"/>
        <w:spacing w:after="0" w:line="240" w:lineRule="auto"/>
        <w:rPr>
          <w:rFonts w:cs="Times New Roman"/>
          <w:b/>
          <w:szCs w:val="24"/>
        </w:rPr>
      </w:pPr>
      <w:r>
        <w:rPr>
          <w:rFonts w:cs="Times New Roman"/>
          <w:b/>
          <w:szCs w:val="24"/>
        </w:rPr>
        <w:t xml:space="preserve">[2] Review of SRO or Exchange Decision: </w:t>
      </w:r>
      <w:r>
        <w:rPr>
          <w:rFonts w:cs="Times New Roman"/>
          <w:szCs w:val="24"/>
        </w:rPr>
        <w:t>Executive Dir or person “directly affected” by a decision or instrument of an exchange or SRO may apply to the Commission for a hearing and review or appeal (</w:t>
      </w:r>
      <w:r w:rsidRPr="00CF7D02">
        <w:rPr>
          <w:rFonts w:cs="Times New Roman"/>
          <w:b/>
          <w:color w:val="C45911" w:themeColor="accent2" w:themeShade="BF"/>
          <w:szCs w:val="24"/>
        </w:rPr>
        <w:t>BCSA 28</w:t>
      </w:r>
      <w:r>
        <w:rPr>
          <w:rFonts w:cs="Times New Roman"/>
          <w:b/>
          <w:szCs w:val="24"/>
        </w:rPr>
        <w:t>)</w:t>
      </w:r>
    </w:p>
    <w:p w:rsidR="00213C14" w:rsidRPr="00C46828" w:rsidRDefault="00213C14" w:rsidP="00FF0B61">
      <w:pPr>
        <w:widowControl w:val="0"/>
        <w:autoSpaceDE w:val="0"/>
        <w:autoSpaceDN w:val="0"/>
        <w:adjustRightInd w:val="0"/>
        <w:spacing w:after="0" w:line="240" w:lineRule="auto"/>
        <w:rPr>
          <w:rFonts w:cs="Times New Roman"/>
          <w:szCs w:val="24"/>
        </w:rPr>
      </w:pPr>
      <w:r>
        <w:rPr>
          <w:rFonts w:cs="Times New Roman"/>
          <w:b/>
          <w:szCs w:val="24"/>
        </w:rPr>
        <w:t xml:space="preserve">[3] Judicial Review of Commissions’ Decisions: </w:t>
      </w:r>
      <w:r>
        <w:rPr>
          <w:rFonts w:cs="Times New Roman"/>
          <w:szCs w:val="24"/>
        </w:rPr>
        <w:t xml:space="preserve">Limited use given must exhaust statutory right of appeal (below). </w:t>
      </w:r>
    </w:p>
    <w:p w:rsidR="00213C14" w:rsidRPr="00C46828" w:rsidRDefault="00213C14" w:rsidP="00FF0B61">
      <w:pPr>
        <w:widowControl w:val="0"/>
        <w:autoSpaceDE w:val="0"/>
        <w:autoSpaceDN w:val="0"/>
        <w:adjustRightInd w:val="0"/>
        <w:spacing w:after="0" w:line="240" w:lineRule="auto"/>
        <w:rPr>
          <w:rFonts w:cs="Times New Roman"/>
          <w:b/>
          <w:szCs w:val="24"/>
        </w:rPr>
      </w:pPr>
      <w:r w:rsidRPr="005210E4">
        <w:rPr>
          <w:rFonts w:cs="Times New Roman"/>
          <w:b/>
          <w:szCs w:val="24"/>
          <w:u w:val="single"/>
        </w:rPr>
        <w:lastRenderedPageBreak/>
        <w:t>[4] Statutory Right of Appeal</w:t>
      </w:r>
      <w:r>
        <w:rPr>
          <w:rFonts w:cs="Times New Roman"/>
          <w:b/>
          <w:szCs w:val="24"/>
          <w:u w:val="single"/>
        </w:rPr>
        <w:t xml:space="preserve"> to BCCA</w:t>
      </w:r>
      <w:r>
        <w:rPr>
          <w:rFonts w:cs="Times New Roman"/>
          <w:b/>
          <w:szCs w:val="24"/>
        </w:rPr>
        <w:t>* (</w:t>
      </w:r>
      <w:r w:rsidRPr="00763247">
        <w:rPr>
          <w:rFonts w:cs="Times New Roman"/>
          <w:b/>
          <w:color w:val="C45911" w:themeColor="accent2" w:themeShade="BF"/>
          <w:szCs w:val="24"/>
        </w:rPr>
        <w:t>BCSA 167(1)</w:t>
      </w:r>
      <w:r>
        <w:rPr>
          <w:rFonts w:cs="Times New Roman"/>
          <w:b/>
          <w:color w:val="C45911" w:themeColor="accent2" w:themeShade="BF"/>
          <w:szCs w:val="24"/>
        </w:rPr>
        <w:t>)</w:t>
      </w:r>
      <w:r w:rsidRPr="00763247">
        <w:rPr>
          <w:rFonts w:cs="Times New Roman"/>
          <w:color w:val="C45911" w:themeColor="accent2" w:themeShade="BF"/>
          <w:szCs w:val="24"/>
        </w:rPr>
        <w:t xml:space="preserve">: </w:t>
      </w:r>
      <w:r w:rsidRPr="006D5692">
        <w:rPr>
          <w:rFonts w:cs="Times New Roman"/>
          <w:szCs w:val="24"/>
        </w:rPr>
        <w:t xml:space="preserve">A person directly affected by a </w:t>
      </w:r>
      <w:r w:rsidRPr="006D5692">
        <w:rPr>
          <w:rFonts w:cs="Times New Roman"/>
          <w:b/>
          <w:szCs w:val="24"/>
        </w:rPr>
        <w:t xml:space="preserve">decision of the commission </w:t>
      </w:r>
      <w:r w:rsidRPr="006D5692">
        <w:rPr>
          <w:rFonts w:cs="Times New Roman"/>
          <w:szCs w:val="24"/>
        </w:rPr>
        <w:t xml:space="preserve">may appeal to the </w:t>
      </w:r>
      <w:r w:rsidRPr="006D5692">
        <w:rPr>
          <w:rFonts w:cs="Times New Roman"/>
          <w:b/>
          <w:szCs w:val="24"/>
        </w:rPr>
        <w:t>Court of Appeal</w:t>
      </w:r>
      <w:r w:rsidRPr="006D5692">
        <w:rPr>
          <w:rFonts w:cs="Times New Roman"/>
          <w:szCs w:val="24"/>
        </w:rPr>
        <w:t xml:space="preserve"> with leave of a justice of that court.</w:t>
      </w:r>
      <w:r>
        <w:rPr>
          <w:rFonts w:cs="Times New Roman"/>
          <w:szCs w:val="24"/>
        </w:rPr>
        <w:t xml:space="preserve"> </w:t>
      </w:r>
      <w:r w:rsidRPr="004A02A3">
        <w:rPr>
          <w:rFonts w:cs="Times New Roman"/>
          <w:b/>
          <w:i/>
          <w:szCs w:val="24"/>
        </w:rPr>
        <w:t>Exception:</w:t>
      </w:r>
      <w:r>
        <w:rPr>
          <w:rFonts w:cs="Times New Roman"/>
          <w:szCs w:val="24"/>
        </w:rPr>
        <w:t xml:space="preserve"> Cannot review a decision under 165 if connection w/ review of Ex Dir decision under s.48 or 76. </w:t>
      </w:r>
    </w:p>
    <w:p w:rsidR="00213C14" w:rsidRDefault="00213C14" w:rsidP="00FF0B61">
      <w:pPr>
        <w:widowControl w:val="0"/>
        <w:autoSpaceDE w:val="0"/>
        <w:autoSpaceDN w:val="0"/>
        <w:adjustRightInd w:val="0"/>
        <w:spacing w:after="0" w:line="240" w:lineRule="auto"/>
        <w:rPr>
          <w:rFonts w:cs="Times New Roman"/>
          <w:szCs w:val="24"/>
        </w:rPr>
      </w:pPr>
    </w:p>
    <w:p w:rsidR="00213C14" w:rsidRPr="003120AC" w:rsidRDefault="00213C14" w:rsidP="00FF0B61">
      <w:pPr>
        <w:widowControl w:val="0"/>
        <w:autoSpaceDE w:val="0"/>
        <w:autoSpaceDN w:val="0"/>
        <w:adjustRightInd w:val="0"/>
        <w:spacing w:after="0" w:line="240" w:lineRule="auto"/>
        <w:rPr>
          <w:rFonts w:cs="Times New Roman"/>
          <w:szCs w:val="24"/>
        </w:rPr>
      </w:pPr>
      <w:r w:rsidRPr="00C87F99">
        <w:rPr>
          <w:rFonts w:cs="Times New Roman"/>
          <w:b/>
          <w:szCs w:val="24"/>
        </w:rPr>
        <w:t xml:space="preserve">6 Factors </w:t>
      </w:r>
      <w:r>
        <w:rPr>
          <w:rFonts w:cs="Times New Roman"/>
          <w:szCs w:val="24"/>
        </w:rPr>
        <w:t xml:space="preserve">the appellate body considers </w:t>
      </w:r>
      <w:r w:rsidRPr="007A520C">
        <w:rPr>
          <w:rFonts w:cs="Times New Roman"/>
          <w:szCs w:val="24"/>
          <w:u w:val="single"/>
        </w:rPr>
        <w:t xml:space="preserve">whether to grant leave to </w:t>
      </w:r>
      <w:r w:rsidRPr="00A4604F">
        <w:rPr>
          <w:rFonts w:cs="Times New Roman"/>
          <w:b/>
          <w:szCs w:val="24"/>
          <w:u w:val="single"/>
        </w:rPr>
        <w:t>appeal from securities tribunal</w:t>
      </w:r>
      <w:r w:rsidRPr="003120AC">
        <w:rPr>
          <w:rFonts w:cs="Times New Roman"/>
          <w:szCs w:val="24"/>
        </w:rPr>
        <w:t xml:space="preserve"> (</w:t>
      </w:r>
      <w:r w:rsidRPr="00763247">
        <w:rPr>
          <w:rFonts w:cs="Times New Roman"/>
          <w:b/>
          <w:i/>
          <w:color w:val="1006E0"/>
          <w:szCs w:val="24"/>
        </w:rPr>
        <w:t>Walker v. BCSCn</w:t>
      </w:r>
      <w:r w:rsidRPr="003120AC">
        <w:rPr>
          <w:rFonts w:cs="Times New Roman"/>
          <w:i/>
          <w:szCs w:val="24"/>
        </w:rPr>
        <w:t>)</w:t>
      </w:r>
      <w:r w:rsidRPr="003120AC">
        <w:rPr>
          <w:rFonts w:cs="Times New Roman"/>
          <w:szCs w:val="24"/>
        </w:rPr>
        <w:t>:</w:t>
      </w:r>
    </w:p>
    <w:p w:rsidR="00213C14" w:rsidRDefault="00213C14" w:rsidP="00FF0B61">
      <w:pPr>
        <w:pStyle w:val="ListParagraph"/>
        <w:widowControl w:val="0"/>
        <w:numPr>
          <w:ilvl w:val="0"/>
          <w:numId w:val="30"/>
        </w:numPr>
        <w:autoSpaceDE w:val="0"/>
        <w:autoSpaceDN w:val="0"/>
        <w:adjustRightInd w:val="0"/>
        <w:spacing w:after="0"/>
        <w:rPr>
          <w:rFonts w:cs="Times New Roman"/>
          <w:szCs w:val="24"/>
        </w:rPr>
      </w:pPr>
      <w:r>
        <w:rPr>
          <w:rFonts w:cs="Times New Roman"/>
          <w:szCs w:val="24"/>
        </w:rPr>
        <w:t xml:space="preserve">Whether there is a Q of general importance as to the tribunals jurisdiction; </w:t>
      </w:r>
    </w:p>
    <w:p w:rsidR="00213C14" w:rsidRDefault="00213C14" w:rsidP="00FF0B61">
      <w:pPr>
        <w:pStyle w:val="ListParagraph"/>
        <w:widowControl w:val="0"/>
        <w:numPr>
          <w:ilvl w:val="0"/>
          <w:numId w:val="30"/>
        </w:numPr>
        <w:autoSpaceDE w:val="0"/>
        <w:autoSpaceDN w:val="0"/>
        <w:adjustRightInd w:val="0"/>
        <w:spacing w:after="0"/>
        <w:rPr>
          <w:rFonts w:cs="Times New Roman"/>
          <w:szCs w:val="24"/>
        </w:rPr>
      </w:pPr>
      <w:r>
        <w:rPr>
          <w:rFonts w:cs="Times New Roman"/>
          <w:szCs w:val="24"/>
        </w:rPr>
        <w:t>Whether appeal is on Qs of law involving statutory application, interpretation important to parties or interpretation of standard statutory wording</w:t>
      </w:r>
      <w:r w:rsidRPr="00285F6E">
        <w:rPr>
          <w:rFonts w:cs="Times New Roman"/>
          <w:szCs w:val="24"/>
        </w:rPr>
        <w:t>,</w:t>
      </w:r>
    </w:p>
    <w:p w:rsidR="00213C14" w:rsidRDefault="00213C14" w:rsidP="00FF0B61">
      <w:pPr>
        <w:pStyle w:val="ListParagraph"/>
        <w:widowControl w:val="0"/>
        <w:numPr>
          <w:ilvl w:val="0"/>
          <w:numId w:val="30"/>
        </w:numPr>
        <w:autoSpaceDE w:val="0"/>
        <w:autoSpaceDN w:val="0"/>
        <w:adjustRightInd w:val="0"/>
        <w:spacing w:after="0"/>
        <w:rPr>
          <w:rFonts w:cs="Times New Roman"/>
          <w:szCs w:val="24"/>
        </w:rPr>
      </w:pPr>
      <w:r>
        <w:rPr>
          <w:rFonts w:cs="Times New Roman"/>
          <w:szCs w:val="24"/>
        </w:rPr>
        <w:t>Whether previous decisions show marked differences of opinion,</w:t>
      </w:r>
    </w:p>
    <w:p w:rsidR="00213C14" w:rsidRDefault="00213C14" w:rsidP="00FF0B61">
      <w:pPr>
        <w:pStyle w:val="ListParagraph"/>
        <w:widowControl w:val="0"/>
        <w:numPr>
          <w:ilvl w:val="0"/>
          <w:numId w:val="30"/>
        </w:numPr>
        <w:autoSpaceDE w:val="0"/>
        <w:autoSpaceDN w:val="0"/>
        <w:adjustRightInd w:val="0"/>
        <w:spacing w:after="0"/>
        <w:rPr>
          <w:rFonts w:cs="Times New Roman"/>
          <w:szCs w:val="24"/>
        </w:rPr>
      </w:pPr>
      <w:r>
        <w:rPr>
          <w:rFonts w:cs="Times New Roman"/>
          <w:szCs w:val="24"/>
        </w:rPr>
        <w:t>Whether prospect of success,</w:t>
      </w:r>
    </w:p>
    <w:p w:rsidR="00213C14" w:rsidRDefault="00213C14" w:rsidP="00FF0B61">
      <w:pPr>
        <w:pStyle w:val="ListParagraph"/>
        <w:widowControl w:val="0"/>
        <w:numPr>
          <w:ilvl w:val="0"/>
          <w:numId w:val="30"/>
        </w:numPr>
        <w:autoSpaceDE w:val="0"/>
        <w:autoSpaceDN w:val="0"/>
        <w:adjustRightInd w:val="0"/>
        <w:spacing w:after="0"/>
        <w:rPr>
          <w:rFonts w:cs="Times New Roman"/>
          <w:szCs w:val="24"/>
        </w:rPr>
      </w:pPr>
      <w:r>
        <w:rPr>
          <w:rFonts w:cs="Times New Roman"/>
          <w:szCs w:val="24"/>
        </w:rPr>
        <w:t>Whether appeal will lead to any clear benefit, and</w:t>
      </w:r>
    </w:p>
    <w:p w:rsidR="00213C14" w:rsidRDefault="00213C14" w:rsidP="00FF0B61">
      <w:pPr>
        <w:pStyle w:val="ListParagraph"/>
        <w:widowControl w:val="0"/>
        <w:numPr>
          <w:ilvl w:val="0"/>
          <w:numId w:val="30"/>
        </w:numPr>
        <w:autoSpaceDE w:val="0"/>
        <w:autoSpaceDN w:val="0"/>
        <w:adjustRightInd w:val="0"/>
        <w:spacing w:after="0"/>
        <w:rPr>
          <w:rFonts w:cs="Times New Roman"/>
          <w:szCs w:val="24"/>
        </w:rPr>
      </w:pPr>
      <w:r w:rsidRPr="003F635B">
        <w:rPr>
          <w:rFonts w:cs="Times New Roman"/>
          <w:szCs w:val="24"/>
        </w:rPr>
        <w:t xml:space="preserve">Whether the issue has been considered by numerous appellate bodies. </w:t>
      </w:r>
    </w:p>
    <w:p w:rsidR="00213C14" w:rsidRDefault="00213C14" w:rsidP="00FF0B61">
      <w:pPr>
        <w:widowControl w:val="0"/>
        <w:autoSpaceDE w:val="0"/>
        <w:autoSpaceDN w:val="0"/>
        <w:adjustRightInd w:val="0"/>
        <w:spacing w:after="0" w:line="240" w:lineRule="auto"/>
        <w:rPr>
          <w:rFonts w:cs="Times New Roman"/>
          <w:szCs w:val="24"/>
        </w:rPr>
      </w:pPr>
    </w:p>
    <w:p w:rsidR="00213C14" w:rsidRDefault="004654C9" w:rsidP="00FF0B61">
      <w:pPr>
        <w:widowControl w:val="0"/>
        <w:autoSpaceDE w:val="0"/>
        <w:autoSpaceDN w:val="0"/>
        <w:adjustRightInd w:val="0"/>
        <w:spacing w:after="0" w:line="240" w:lineRule="auto"/>
        <w:rPr>
          <w:rFonts w:cs="Times New Roman"/>
          <w:b/>
          <w:szCs w:val="24"/>
        </w:rPr>
      </w:pPr>
      <w:r>
        <w:rPr>
          <w:rFonts w:cs="Times New Roman"/>
          <w:b/>
          <w:szCs w:val="24"/>
        </w:rPr>
        <w:t>SofR:</w:t>
      </w:r>
      <w:r w:rsidR="00213C14">
        <w:rPr>
          <w:rFonts w:cs="Times New Roman"/>
          <w:b/>
          <w:szCs w:val="24"/>
        </w:rPr>
        <w:t xml:space="preserve"> </w:t>
      </w:r>
      <w:r w:rsidR="00213C14">
        <w:rPr>
          <w:rFonts w:cs="Times New Roman"/>
          <w:szCs w:val="24"/>
        </w:rPr>
        <w:t xml:space="preserve">that </w:t>
      </w:r>
      <w:r w:rsidR="00213C14" w:rsidRPr="001B53B4">
        <w:rPr>
          <w:rFonts w:cs="Times New Roman"/>
          <w:szCs w:val="24"/>
        </w:rPr>
        <w:t xml:space="preserve">normally apply to Judicial Reviews have been imported into the statutory appeal context: </w:t>
      </w:r>
      <w:r w:rsidR="00213C14" w:rsidRPr="001B53B4">
        <w:rPr>
          <w:rFonts w:cs="Times New Roman"/>
          <w:b/>
          <w:szCs w:val="24"/>
        </w:rPr>
        <w:t xml:space="preserve">1) Reasonableness, or 2) Correctness. </w:t>
      </w:r>
    </w:p>
    <w:p w:rsidR="00ED2F6F" w:rsidRDefault="00ED2F6F" w:rsidP="00FF0B61">
      <w:pPr>
        <w:widowControl w:val="0"/>
        <w:autoSpaceDE w:val="0"/>
        <w:autoSpaceDN w:val="0"/>
        <w:adjustRightInd w:val="0"/>
        <w:spacing w:after="0" w:line="240" w:lineRule="auto"/>
        <w:rPr>
          <w:rFonts w:cs="Times New Roman"/>
          <w:b/>
          <w:szCs w:val="24"/>
        </w:rPr>
      </w:pPr>
    </w:p>
    <w:p w:rsidR="0093094B" w:rsidRPr="0093094B" w:rsidRDefault="0093094B" w:rsidP="00FF0B61">
      <w:pPr>
        <w:pStyle w:val="Heading3"/>
        <w:spacing w:line="240" w:lineRule="auto"/>
        <w:rPr>
          <w:lang w:val="en-CA" w:eastAsia="en-CA"/>
        </w:rPr>
      </w:pPr>
      <w:bookmarkStart w:id="21" w:name="_Toc468980400"/>
      <w:r>
        <w:rPr>
          <w:lang w:val="en-CA" w:eastAsia="en-CA"/>
        </w:rPr>
        <w:t xml:space="preserve">National Instruments &amp; Policies </w:t>
      </w:r>
      <w:r w:rsidR="00795260">
        <w:rPr>
          <w:lang w:val="en-CA" w:eastAsia="en-CA"/>
        </w:rPr>
        <w:t>(have legal force under BCS</w:t>
      </w:r>
      <w:r w:rsidR="002A3192">
        <w:rPr>
          <w:lang w:val="en-CA" w:eastAsia="en-CA"/>
        </w:rPr>
        <w:t>A ss.184, 187)</w:t>
      </w:r>
      <w:bookmarkEnd w:id="21"/>
    </w:p>
    <w:p w:rsidR="00F1011E" w:rsidRPr="00F1011E" w:rsidRDefault="00F1011E" w:rsidP="00FF0B61">
      <w:pPr>
        <w:pStyle w:val="ListParagraph"/>
        <w:numPr>
          <w:ilvl w:val="0"/>
          <w:numId w:val="24"/>
        </w:numPr>
        <w:rPr>
          <w:lang w:val="en-CA" w:eastAsia="en-CA"/>
        </w:rPr>
      </w:pPr>
      <w:r w:rsidRPr="00F1011E">
        <w:rPr>
          <w:b/>
          <w:lang w:val="en-CA" w:eastAsia="en-CA"/>
        </w:rPr>
        <w:t xml:space="preserve">NI: </w:t>
      </w:r>
      <w:r w:rsidR="00C17147">
        <w:rPr>
          <w:lang w:val="en-CA" w:eastAsia="en-CA"/>
        </w:rPr>
        <w:t xml:space="preserve">Binding law effective in all jurisdictions. </w:t>
      </w:r>
    </w:p>
    <w:p w:rsidR="00F1011E" w:rsidRDefault="00F1011E" w:rsidP="00FF0B61">
      <w:pPr>
        <w:pStyle w:val="ListParagraph"/>
        <w:numPr>
          <w:ilvl w:val="0"/>
          <w:numId w:val="24"/>
        </w:numPr>
        <w:rPr>
          <w:lang w:val="en-CA" w:eastAsia="en-CA"/>
        </w:rPr>
      </w:pPr>
      <w:r w:rsidRPr="00F1011E">
        <w:rPr>
          <w:b/>
          <w:lang w:val="en-CA" w:eastAsia="en-CA"/>
        </w:rPr>
        <w:t xml:space="preserve">MI: </w:t>
      </w:r>
      <w:r>
        <w:rPr>
          <w:lang w:val="en-CA" w:eastAsia="en-CA"/>
        </w:rPr>
        <w:t xml:space="preserve">Binding law that not all the provinces have agreed to (anything on BC securities commission website has been agreed to). </w:t>
      </w:r>
    </w:p>
    <w:p w:rsidR="009D21D5" w:rsidRPr="00F1011E" w:rsidRDefault="009D21D5" w:rsidP="00FF0B61">
      <w:pPr>
        <w:pStyle w:val="ListParagraph"/>
        <w:numPr>
          <w:ilvl w:val="1"/>
          <w:numId w:val="24"/>
        </w:numPr>
        <w:rPr>
          <w:lang w:val="en-CA" w:eastAsia="en-CA"/>
        </w:rPr>
      </w:pPr>
      <w:r>
        <w:rPr>
          <w:b/>
          <w:lang w:val="en-CA" w:eastAsia="en-CA"/>
        </w:rPr>
        <w:t>CP</w:t>
      </w:r>
      <w:r w:rsidRPr="009D21D5">
        <w:rPr>
          <w:lang w:val="en-CA" w:eastAsia="en-CA"/>
        </w:rPr>
        <w:t>:</w:t>
      </w:r>
      <w:r>
        <w:rPr>
          <w:lang w:val="en-CA" w:eastAsia="en-CA"/>
        </w:rPr>
        <w:t xml:space="preserve"> </w:t>
      </w:r>
      <w:r w:rsidRPr="009D21D5">
        <w:rPr>
          <w:b/>
          <w:lang w:val="en-CA" w:eastAsia="en-CA"/>
        </w:rPr>
        <w:t>Companion Policy</w:t>
      </w:r>
      <w:r>
        <w:rPr>
          <w:lang w:val="en-CA" w:eastAsia="en-CA"/>
        </w:rPr>
        <w:t xml:space="preserve"> – Explains </w:t>
      </w:r>
      <w:r w:rsidR="00195FDF">
        <w:rPr>
          <w:lang w:val="en-CA" w:eastAsia="en-CA"/>
        </w:rPr>
        <w:t>the instrument (MI &amp; NI)</w:t>
      </w:r>
    </w:p>
    <w:p w:rsidR="00F1011E" w:rsidRPr="00F1011E" w:rsidRDefault="00F1011E" w:rsidP="00FF0B61">
      <w:pPr>
        <w:pStyle w:val="ListParagraph"/>
        <w:numPr>
          <w:ilvl w:val="0"/>
          <w:numId w:val="24"/>
        </w:numPr>
        <w:rPr>
          <w:b/>
          <w:lang w:val="en-CA" w:eastAsia="en-CA"/>
        </w:rPr>
      </w:pPr>
      <w:r w:rsidRPr="00F1011E">
        <w:rPr>
          <w:b/>
          <w:lang w:val="en-CA" w:eastAsia="en-CA"/>
        </w:rPr>
        <w:t>NP:</w:t>
      </w:r>
      <w:r w:rsidR="00195FDF">
        <w:rPr>
          <w:b/>
          <w:lang w:val="en-CA" w:eastAsia="en-CA"/>
        </w:rPr>
        <w:t xml:space="preserve"> </w:t>
      </w:r>
      <w:r w:rsidR="00195FDF">
        <w:rPr>
          <w:lang w:val="en-CA" w:eastAsia="en-CA"/>
        </w:rPr>
        <w:t xml:space="preserve">Not binding (policy) but provides guidance on how things are interpreted and it is national so everyone has agreed to it. </w:t>
      </w:r>
    </w:p>
    <w:p w:rsidR="00F1011E" w:rsidRDefault="00F1011E" w:rsidP="00FF0B61">
      <w:pPr>
        <w:pStyle w:val="ListParagraph"/>
        <w:numPr>
          <w:ilvl w:val="0"/>
          <w:numId w:val="24"/>
        </w:numPr>
        <w:rPr>
          <w:b/>
          <w:lang w:val="en-CA" w:eastAsia="en-CA"/>
        </w:rPr>
      </w:pPr>
      <w:r w:rsidRPr="00F1011E">
        <w:rPr>
          <w:b/>
          <w:lang w:val="en-CA" w:eastAsia="en-CA"/>
        </w:rPr>
        <w:t>MP:</w:t>
      </w:r>
      <w:r w:rsidR="00D32AF7">
        <w:rPr>
          <w:b/>
          <w:lang w:val="en-CA" w:eastAsia="en-CA"/>
        </w:rPr>
        <w:t xml:space="preserve"> Multilateral Policy</w:t>
      </w:r>
    </w:p>
    <w:p w:rsidR="00DC7596" w:rsidRDefault="00404A8F" w:rsidP="00FF0B61">
      <w:pPr>
        <w:pStyle w:val="Heading3"/>
        <w:spacing w:line="240" w:lineRule="auto"/>
        <w:rPr>
          <w:lang w:val="en-CA" w:eastAsia="en-CA"/>
        </w:rPr>
      </w:pPr>
      <w:bookmarkStart w:id="22" w:name="_Toc468980401"/>
      <w:r>
        <w:rPr>
          <w:lang w:val="en-CA" w:eastAsia="en-CA"/>
        </w:rPr>
        <w:t>Self-Regulatory Organizations</w:t>
      </w:r>
      <w:bookmarkEnd w:id="22"/>
    </w:p>
    <w:p w:rsidR="00E61338" w:rsidRDefault="00AD02A9" w:rsidP="00FF0B61">
      <w:pPr>
        <w:spacing w:after="0" w:line="240" w:lineRule="auto"/>
        <w:rPr>
          <w:lang w:val="en-CA" w:eastAsia="en-CA"/>
        </w:rPr>
      </w:pPr>
      <w:r>
        <w:rPr>
          <w:lang w:val="en-CA" w:eastAsia="en-CA"/>
        </w:rPr>
        <w:t>Commissions delegate substantial “front line” regulatory responsibility to Self-</w:t>
      </w:r>
      <w:r w:rsidR="00B566E4">
        <w:rPr>
          <w:lang w:val="en-CA" w:eastAsia="en-CA"/>
        </w:rPr>
        <w:t>Regulatory O</w:t>
      </w:r>
      <w:r>
        <w:rPr>
          <w:lang w:val="en-CA" w:eastAsia="en-CA"/>
        </w:rPr>
        <w:t>rganizations (SRO’</w:t>
      </w:r>
      <w:r w:rsidR="00894754">
        <w:rPr>
          <w:lang w:val="en-CA" w:eastAsia="en-CA"/>
        </w:rPr>
        <w:t>s) and to the Exchanges.</w:t>
      </w:r>
    </w:p>
    <w:p w:rsidR="00054F0C" w:rsidRPr="00E61338" w:rsidRDefault="00054F0C" w:rsidP="00FF0B61">
      <w:pPr>
        <w:spacing w:after="0" w:line="240" w:lineRule="auto"/>
        <w:rPr>
          <w:b/>
          <w:lang w:val="en-CA" w:eastAsia="en-CA"/>
        </w:rPr>
      </w:pPr>
      <w:r w:rsidRPr="00CB5436">
        <w:rPr>
          <w:b/>
          <w:color w:val="C45911" w:themeColor="accent2" w:themeShade="BF"/>
          <w:lang w:val="en-CA" w:eastAsia="en-CA"/>
        </w:rPr>
        <w:t>BCSA Part 4</w:t>
      </w:r>
      <w:r w:rsidRPr="00CB5436">
        <w:rPr>
          <w:color w:val="C45911" w:themeColor="accent2" w:themeShade="BF"/>
          <w:lang w:val="en-CA" w:eastAsia="en-CA"/>
        </w:rPr>
        <w:t xml:space="preserve"> </w:t>
      </w:r>
      <w:r w:rsidRPr="00CB5436">
        <w:rPr>
          <w:lang w:val="en-CA" w:eastAsia="en-CA"/>
        </w:rPr>
        <w:t>– Self regulating bodies, exchanges, Quotation and Trade Reporting systems</w:t>
      </w:r>
      <w:r w:rsidR="003B0387">
        <w:rPr>
          <w:lang w:val="en-CA" w:eastAsia="en-CA"/>
        </w:rPr>
        <w:t xml:space="preserve"> and Clearing Agencies</w:t>
      </w:r>
    </w:p>
    <w:p w:rsidR="00E61338" w:rsidRPr="003B0387" w:rsidRDefault="00E61338" w:rsidP="00FF0B61">
      <w:pPr>
        <w:pStyle w:val="ListParagraph"/>
        <w:numPr>
          <w:ilvl w:val="0"/>
          <w:numId w:val="28"/>
        </w:numPr>
      </w:pPr>
      <w:r w:rsidRPr="00E61338">
        <w:rPr>
          <w:b/>
          <w:color w:val="C45911" w:themeColor="accent2" w:themeShade="BF"/>
        </w:rPr>
        <w:t>s.23</w:t>
      </w:r>
      <w:r w:rsidRPr="00E61338">
        <w:rPr>
          <w:b/>
        </w:rPr>
        <w:t xml:space="preserve">: </w:t>
      </w:r>
      <w:r w:rsidRPr="003120AC">
        <w:t>Self-regulatory bodies include exchanges, self-regulating organizations, quotation and trade reporting</w:t>
      </w:r>
      <w:r w:rsidR="00B054F2">
        <w:t xml:space="preserve"> systems, and clearing agencies </w:t>
      </w:r>
      <w:r w:rsidR="00B054F2">
        <w:rPr>
          <w:b/>
        </w:rPr>
        <w:t xml:space="preserve">// </w:t>
      </w:r>
      <w:r w:rsidRPr="00B054F2">
        <w:rPr>
          <w:b/>
          <w:color w:val="C45911" w:themeColor="accent2" w:themeShade="BF"/>
        </w:rPr>
        <w:t>s.27</w:t>
      </w:r>
      <w:r w:rsidRPr="003120AC">
        <w:t>: Powers of the Commission are broad, and c</w:t>
      </w:r>
      <w:r w:rsidR="00B054F2">
        <w:t xml:space="preserve">an take actions to control SROs </w:t>
      </w:r>
      <w:r w:rsidR="00B054F2">
        <w:rPr>
          <w:b/>
        </w:rPr>
        <w:t xml:space="preserve">// </w:t>
      </w:r>
      <w:r w:rsidRPr="00B054F2">
        <w:rPr>
          <w:b/>
          <w:color w:val="C45911" w:themeColor="accent2" w:themeShade="BF"/>
        </w:rPr>
        <w:t>s.28</w:t>
      </w:r>
      <w:r w:rsidRPr="003120AC">
        <w:t>: Appeals from a regulatory body will go to the Executive for approval, who will in turn, have it heard by th</w:t>
      </w:r>
      <w:r w:rsidR="00B054F2">
        <w:t xml:space="preserve">e upper level of the Commission </w:t>
      </w:r>
      <w:r w:rsidR="00B054F2">
        <w:rPr>
          <w:b/>
        </w:rPr>
        <w:t xml:space="preserve">// </w:t>
      </w:r>
      <w:r w:rsidRPr="00B054F2">
        <w:rPr>
          <w:b/>
          <w:color w:val="C45911" w:themeColor="accent2" w:themeShade="BF"/>
        </w:rPr>
        <w:t>s.31</w:t>
      </w:r>
      <w:r w:rsidRPr="003120AC">
        <w:t>: SROs must appoint an auditor.</w:t>
      </w:r>
    </w:p>
    <w:p w:rsidR="00404A8F" w:rsidRPr="0045646B" w:rsidRDefault="0045646B" w:rsidP="00FF0B61">
      <w:pPr>
        <w:spacing w:after="0" w:line="240" w:lineRule="auto"/>
        <w:rPr>
          <w:b/>
          <w:lang w:val="en-CA" w:eastAsia="en-CA"/>
        </w:rPr>
      </w:pPr>
      <w:r>
        <w:rPr>
          <w:b/>
          <w:lang w:val="en-CA" w:eastAsia="en-CA"/>
        </w:rPr>
        <w:t>M</w:t>
      </w:r>
      <w:r w:rsidR="00995BDF">
        <w:rPr>
          <w:b/>
          <w:lang w:val="en-CA" w:eastAsia="en-CA"/>
        </w:rPr>
        <w:t>ain SRO’s:</w:t>
      </w:r>
      <w:r>
        <w:rPr>
          <w:b/>
          <w:lang w:val="en-CA" w:eastAsia="en-CA"/>
        </w:rPr>
        <w:t xml:space="preserve"> </w:t>
      </w:r>
    </w:p>
    <w:p w:rsidR="00E3141A" w:rsidRPr="00BD6B47" w:rsidRDefault="00E3141A" w:rsidP="00FF0B61">
      <w:pPr>
        <w:pStyle w:val="ListParagraph"/>
        <w:numPr>
          <w:ilvl w:val="0"/>
          <w:numId w:val="27"/>
        </w:numPr>
      </w:pPr>
      <w:r w:rsidRPr="00BD6B47">
        <w:rPr>
          <w:b/>
          <w:lang w:val="en-CA" w:eastAsia="en-CA"/>
        </w:rPr>
        <w:t xml:space="preserve">Investment Industry Regulatory Organization of </w:t>
      </w:r>
      <w:r w:rsidRPr="00314F63">
        <w:rPr>
          <w:b/>
          <w:lang w:val="en-CA" w:eastAsia="en-CA"/>
        </w:rPr>
        <w:t>Canada (</w:t>
      </w:r>
      <w:r w:rsidRPr="00BD6B47">
        <w:rPr>
          <w:b/>
          <w:lang w:val="en-CA" w:eastAsia="en-CA"/>
        </w:rPr>
        <w:t>IIROC)</w:t>
      </w:r>
      <w:r w:rsidRPr="00BD6B47">
        <w:rPr>
          <w:lang w:val="en-CA" w:eastAsia="en-CA"/>
        </w:rPr>
        <w:t>:</w:t>
      </w:r>
      <w:r w:rsidR="006F6358">
        <w:t xml:space="preserve"> C</w:t>
      </w:r>
      <w:r w:rsidR="0054145E" w:rsidRPr="003120AC">
        <w:t xml:space="preserve">arries out its regulatory responsibilities through setting and enforcing rules regarding the proficiency, business and financial conduct of dealer firms and their registered </w:t>
      </w:r>
      <w:r w:rsidR="00BD6B47">
        <w:t>EEs</w:t>
      </w:r>
      <w:r w:rsidR="0054145E" w:rsidRPr="003120AC">
        <w:t xml:space="preserve"> and through setting and enforcing market integrity rules regarding trading activity </w:t>
      </w:r>
      <w:r w:rsidR="00FE02F0">
        <w:t xml:space="preserve">on Canadian </w:t>
      </w:r>
      <w:r w:rsidR="0054145E" w:rsidRPr="003120AC">
        <w:t xml:space="preserve">marketplaces. </w:t>
      </w:r>
    </w:p>
    <w:p w:rsidR="00E3141A" w:rsidRPr="00894754" w:rsidRDefault="00E3141A" w:rsidP="00FF0B61">
      <w:pPr>
        <w:pStyle w:val="ListParagraph"/>
        <w:numPr>
          <w:ilvl w:val="0"/>
          <w:numId w:val="26"/>
        </w:numPr>
        <w:rPr>
          <w:lang w:val="en-CA" w:eastAsia="en-CA"/>
        </w:rPr>
      </w:pPr>
      <w:r w:rsidRPr="0063084B">
        <w:rPr>
          <w:b/>
          <w:lang w:val="en-CA" w:eastAsia="en-CA"/>
        </w:rPr>
        <w:t>Mutual Fund Dealers Association</w:t>
      </w:r>
      <w:r w:rsidRPr="0063084B">
        <w:rPr>
          <w:lang w:val="en-CA" w:eastAsia="en-CA"/>
        </w:rPr>
        <w:t xml:space="preserve"> (</w:t>
      </w:r>
      <w:r w:rsidRPr="0063084B">
        <w:rPr>
          <w:b/>
          <w:lang w:val="en-CA" w:eastAsia="en-CA"/>
        </w:rPr>
        <w:t>MFDA</w:t>
      </w:r>
      <w:r w:rsidRPr="0063084B">
        <w:rPr>
          <w:lang w:val="en-CA" w:eastAsia="en-CA"/>
        </w:rPr>
        <w:t xml:space="preserve">): </w:t>
      </w:r>
      <w:r w:rsidR="00FA05AA">
        <w:rPr>
          <w:lang w:val="en-CA" w:eastAsia="en-CA"/>
        </w:rPr>
        <w:t xml:space="preserve">SRO </w:t>
      </w:r>
      <w:r w:rsidR="00FA05AA" w:rsidRPr="003120AC">
        <w:t>for the distribution side of the Canadian mutual fund industry. The MFDA is structured as a not-for-profit corporation and its Members are mutual fund dealers that are licensed with provincial securities commissions.</w:t>
      </w:r>
    </w:p>
    <w:p w:rsidR="00894754" w:rsidRDefault="00894754" w:rsidP="00FF0B61">
      <w:pPr>
        <w:spacing w:after="0" w:line="240" w:lineRule="auto"/>
        <w:rPr>
          <w:lang w:val="en-CA" w:eastAsia="en-CA"/>
        </w:rPr>
      </w:pPr>
      <w:r>
        <w:rPr>
          <w:b/>
          <w:lang w:val="en-CA" w:eastAsia="en-CA"/>
        </w:rPr>
        <w:t>Main Exchanges:</w:t>
      </w:r>
      <w:r w:rsidR="00877D44">
        <w:rPr>
          <w:b/>
          <w:lang w:val="en-CA" w:eastAsia="en-CA"/>
        </w:rPr>
        <w:t xml:space="preserve"> </w:t>
      </w:r>
      <w:r w:rsidRPr="00877D44">
        <w:rPr>
          <w:b/>
          <w:lang w:val="en-CA" w:eastAsia="en-CA"/>
        </w:rPr>
        <w:t xml:space="preserve">TSX: </w:t>
      </w:r>
      <w:r w:rsidR="005772CB" w:rsidRPr="00877D44">
        <w:rPr>
          <w:lang w:val="en-CA" w:eastAsia="en-CA"/>
        </w:rPr>
        <w:t xml:space="preserve">Main exchange for senior issuers. </w:t>
      </w:r>
      <w:r w:rsidR="00CE36D3" w:rsidRPr="00877D44">
        <w:rPr>
          <w:lang w:val="en-CA" w:eastAsia="en-CA"/>
        </w:rPr>
        <w:t>Important Listing req’s include: financial condition and prospect</w:t>
      </w:r>
      <w:r w:rsidR="00877D44">
        <w:rPr>
          <w:lang w:val="en-CA" w:eastAsia="en-CA"/>
        </w:rPr>
        <w:t xml:space="preserve">s, management, and sponsorship </w:t>
      </w:r>
      <w:r w:rsidR="00877D44">
        <w:rPr>
          <w:b/>
          <w:lang w:val="en-CA" w:eastAsia="en-CA"/>
        </w:rPr>
        <w:t xml:space="preserve">// </w:t>
      </w:r>
      <w:r w:rsidRPr="00877D44">
        <w:rPr>
          <w:b/>
          <w:lang w:val="en-CA" w:eastAsia="en-CA"/>
        </w:rPr>
        <w:t xml:space="preserve">TSX-V: </w:t>
      </w:r>
      <w:r w:rsidR="0067366A" w:rsidRPr="00877D44">
        <w:rPr>
          <w:lang w:val="en-CA" w:eastAsia="en-CA"/>
        </w:rPr>
        <w:t xml:space="preserve">Pre-dominantly for emerging companies and their venture class securities. </w:t>
      </w:r>
    </w:p>
    <w:p w:rsidR="00C87833" w:rsidRPr="00877D44" w:rsidRDefault="00C87833" w:rsidP="00FF0B61">
      <w:pPr>
        <w:spacing w:after="0" w:line="240" w:lineRule="auto"/>
        <w:rPr>
          <w:b/>
          <w:lang w:val="en-CA" w:eastAsia="en-CA"/>
        </w:rPr>
      </w:pPr>
    </w:p>
    <w:p w:rsidR="00D61040" w:rsidRDefault="00D61040" w:rsidP="00FF0B61">
      <w:pPr>
        <w:pStyle w:val="Heading3"/>
        <w:spacing w:line="240" w:lineRule="auto"/>
        <w:rPr>
          <w:lang w:val="en-CA" w:eastAsia="en-CA"/>
        </w:rPr>
      </w:pPr>
      <w:bookmarkStart w:id="23" w:name="_Toc468980402"/>
      <w:r>
        <w:rPr>
          <w:lang w:val="en-CA" w:eastAsia="en-CA"/>
        </w:rPr>
        <w:t>Industry Best Practice</w:t>
      </w:r>
      <w:bookmarkEnd w:id="23"/>
    </w:p>
    <w:p w:rsidR="00D61040" w:rsidRDefault="00D61040" w:rsidP="00FF0B61">
      <w:pPr>
        <w:spacing w:line="240" w:lineRule="auto"/>
        <w:rPr>
          <w:lang w:val="en-CA" w:eastAsia="en-CA"/>
        </w:rPr>
      </w:pPr>
      <w:r w:rsidRPr="00764AAD">
        <w:rPr>
          <w:b/>
          <w:lang w:val="en-CA" w:eastAsia="en-CA"/>
        </w:rPr>
        <w:t>Canadian Coalition of Good Governance (CCGG):</w:t>
      </w:r>
      <w:r w:rsidRPr="00764AAD">
        <w:rPr>
          <w:lang w:val="en-CA" w:eastAsia="en-CA"/>
        </w:rPr>
        <w:t xml:space="preserve"> Represents the interests of institutional inv</w:t>
      </w:r>
      <w:r w:rsidR="00F86047" w:rsidRPr="00764AAD">
        <w:rPr>
          <w:lang w:val="en-CA" w:eastAsia="en-CA"/>
        </w:rPr>
        <w:t>estors;</w:t>
      </w:r>
      <w:r w:rsidRPr="00764AAD">
        <w:rPr>
          <w:lang w:val="en-CA" w:eastAsia="en-CA"/>
        </w:rPr>
        <w:t xml:space="preserve"> CCGG promotes good governance practices in Canadian public companies and the improvement of the regulatory environment to best align the interests of boards and management with those of their shareholders, and to promote the efficiency and effectiveness of the Canadian capital markets.</w:t>
      </w:r>
    </w:p>
    <w:p w:rsidR="007F02D8" w:rsidRDefault="007F02D8" w:rsidP="00FF0B61">
      <w:pPr>
        <w:pStyle w:val="Heading1"/>
        <w:spacing w:after="0"/>
        <w:rPr>
          <w:lang w:val="en-CA" w:eastAsia="en-CA"/>
        </w:rPr>
      </w:pPr>
      <w:bookmarkStart w:id="24" w:name="_Toc468980403"/>
      <w:r>
        <w:rPr>
          <w:lang w:val="en-CA" w:eastAsia="en-CA"/>
        </w:rPr>
        <w:t xml:space="preserve">Federalism, Financial </w:t>
      </w:r>
      <w:r w:rsidR="007A65CF">
        <w:rPr>
          <w:lang w:val="en-CA" w:eastAsia="en-CA"/>
        </w:rPr>
        <w:t>Regulation,</w:t>
      </w:r>
      <w:r>
        <w:rPr>
          <w:lang w:val="en-CA" w:eastAsia="en-CA"/>
        </w:rPr>
        <w:t xml:space="preserve"> and Potential Regime Change</w:t>
      </w:r>
      <w:bookmarkEnd w:id="24"/>
    </w:p>
    <w:p w:rsidR="007F02D8" w:rsidRDefault="00A92C51" w:rsidP="00FF0B61">
      <w:pPr>
        <w:pStyle w:val="ListParagraph"/>
        <w:numPr>
          <w:ilvl w:val="0"/>
          <w:numId w:val="31"/>
        </w:numPr>
        <w:rPr>
          <w:lang w:val="en-CA" w:eastAsia="en-CA"/>
        </w:rPr>
      </w:pPr>
      <w:r>
        <w:rPr>
          <w:lang w:val="en-CA" w:eastAsia="en-CA"/>
        </w:rPr>
        <w:t xml:space="preserve">CND is the only industrialized country w/o a national securities regulator. </w:t>
      </w:r>
      <w:r w:rsidR="001B3608">
        <w:rPr>
          <w:b/>
          <w:lang w:val="en-CA" w:eastAsia="en-CA"/>
        </w:rPr>
        <w:t>“Day-to-Day” Securities regulation = provincial “property and civil rights.”</w:t>
      </w:r>
      <w:r w:rsidR="000F256E">
        <w:rPr>
          <w:b/>
          <w:lang w:val="en-CA" w:eastAsia="en-CA"/>
        </w:rPr>
        <w:t xml:space="preserve"> Federal jurisdiction over systemic risk and data collection (</w:t>
      </w:r>
      <w:r w:rsidR="000F256E" w:rsidRPr="000F256E">
        <w:rPr>
          <w:b/>
          <w:i/>
          <w:color w:val="1006E0"/>
          <w:lang w:val="en-CA" w:eastAsia="en-CA"/>
        </w:rPr>
        <w:t>Re Securities Act</w:t>
      </w:r>
      <w:r w:rsidR="000F256E">
        <w:rPr>
          <w:b/>
          <w:lang w:val="en-CA" w:eastAsia="en-CA"/>
        </w:rPr>
        <w:t xml:space="preserve">). </w:t>
      </w:r>
    </w:p>
    <w:p w:rsidR="00300736" w:rsidRDefault="004F6D0F" w:rsidP="00FF0B61">
      <w:pPr>
        <w:pStyle w:val="ListParagraph"/>
        <w:numPr>
          <w:ilvl w:val="0"/>
          <w:numId w:val="31"/>
        </w:numPr>
        <w:rPr>
          <w:lang w:val="en-CA" w:eastAsia="en-CA"/>
        </w:rPr>
      </w:pPr>
      <w:r>
        <w:rPr>
          <w:b/>
          <w:lang w:val="en-CA" w:eastAsia="en-CA"/>
        </w:rPr>
        <w:t xml:space="preserve">Cooperative Capital Market Regulator: </w:t>
      </w:r>
      <w:r w:rsidR="00D3636F">
        <w:rPr>
          <w:lang w:val="en-CA" w:eastAsia="en-CA"/>
        </w:rPr>
        <w:t>Feds + BC, ONT, SK,</w:t>
      </w:r>
      <w:r w:rsidR="007F1769">
        <w:rPr>
          <w:lang w:val="en-CA" w:eastAsia="en-CA"/>
        </w:rPr>
        <w:t xml:space="preserve"> YK,</w:t>
      </w:r>
      <w:r w:rsidR="00D3636F">
        <w:rPr>
          <w:lang w:val="en-CA" w:eastAsia="en-CA"/>
        </w:rPr>
        <w:t xml:space="preserve"> NB + PEI </w:t>
      </w:r>
      <w:r w:rsidR="007F6544">
        <w:rPr>
          <w:lang w:val="en-CA" w:eastAsia="en-CA"/>
        </w:rPr>
        <w:t>–</w:t>
      </w:r>
      <w:r w:rsidR="00D3636F">
        <w:rPr>
          <w:lang w:val="en-CA" w:eastAsia="en-CA"/>
        </w:rPr>
        <w:t xml:space="preserve"> </w:t>
      </w:r>
      <w:r w:rsidR="00246232">
        <w:rPr>
          <w:lang w:val="en-CA" w:eastAsia="en-CA"/>
        </w:rPr>
        <w:t>These</w:t>
      </w:r>
      <w:r w:rsidR="007F6544">
        <w:rPr>
          <w:lang w:val="en-CA" w:eastAsia="en-CA"/>
        </w:rPr>
        <w:t xml:space="preserve"> governments released a Memorandum of Agreement setting out the terms of conditions to establish a Cooperative System. </w:t>
      </w:r>
    </w:p>
    <w:p w:rsidR="009978BF" w:rsidRPr="009978BF" w:rsidRDefault="00E24B84" w:rsidP="00FF0B61">
      <w:pPr>
        <w:pStyle w:val="ListParagraph"/>
        <w:numPr>
          <w:ilvl w:val="0"/>
          <w:numId w:val="31"/>
        </w:numPr>
        <w:rPr>
          <w:lang w:val="en-CA" w:eastAsia="en-CA"/>
        </w:rPr>
      </w:pPr>
      <w:r w:rsidRPr="00300736">
        <w:rPr>
          <w:b/>
          <w:lang w:val="en-CA" w:eastAsia="en-CA"/>
        </w:rPr>
        <w:t>Systemic Risk</w:t>
      </w:r>
      <w:r w:rsidR="0010058C">
        <w:rPr>
          <w:b/>
          <w:lang w:val="en-CA" w:eastAsia="en-CA"/>
        </w:rPr>
        <w:t xml:space="preserve"> (topic of discussion)</w:t>
      </w:r>
      <w:r w:rsidRPr="00300736">
        <w:rPr>
          <w:b/>
          <w:lang w:val="en-CA" w:eastAsia="en-CA"/>
        </w:rPr>
        <w:t>:</w:t>
      </w:r>
      <w:r w:rsidRPr="00300736">
        <w:rPr>
          <w:lang w:val="en-CA" w:eastAsia="en-CA"/>
        </w:rPr>
        <w:t xml:space="preserve"> </w:t>
      </w:r>
      <w:r w:rsidR="00300736">
        <w:rPr>
          <w:lang w:val="en-CA" w:eastAsia="en-CA"/>
        </w:rPr>
        <w:t>“</w:t>
      </w:r>
      <w:r w:rsidR="00300736" w:rsidRPr="003120AC">
        <w:t>Risks that occasion a domino effect whereby the risk of default by one market participant will impact ability of other to fulfill their legal obligations, setting off a chain of negative economic consequences that p</w:t>
      </w:r>
      <w:r w:rsidR="00300736">
        <w:t>ervade entire financial system” (</w:t>
      </w:r>
      <w:r w:rsidR="00300736" w:rsidRPr="00300736">
        <w:rPr>
          <w:b/>
          <w:i/>
          <w:color w:val="1006E0"/>
        </w:rPr>
        <w:t>Re Securities Act</w:t>
      </w:r>
      <w:r w:rsidR="00300736">
        <w:rPr>
          <w:b/>
          <w:i/>
        </w:rPr>
        <w:t xml:space="preserve">). </w:t>
      </w:r>
    </w:p>
    <w:p w:rsidR="009978BF" w:rsidRPr="009978BF" w:rsidRDefault="00300736" w:rsidP="00FF0B61">
      <w:pPr>
        <w:pStyle w:val="ListParagraph"/>
        <w:numPr>
          <w:ilvl w:val="1"/>
          <w:numId w:val="31"/>
        </w:numPr>
        <w:rPr>
          <w:lang w:val="en-CA" w:eastAsia="en-CA"/>
        </w:rPr>
      </w:pPr>
      <w:r w:rsidRPr="003120AC">
        <w:t>It can be a function of 3 criteria to help identify the systemic importance of an institution, market or instrument:</w:t>
      </w:r>
    </w:p>
    <w:p w:rsidR="009978BF" w:rsidRPr="009978BF" w:rsidRDefault="009978BF" w:rsidP="00FF0B61">
      <w:pPr>
        <w:pStyle w:val="ListParagraph"/>
        <w:numPr>
          <w:ilvl w:val="2"/>
          <w:numId w:val="31"/>
        </w:numPr>
        <w:rPr>
          <w:lang w:val="en-CA" w:eastAsia="en-CA"/>
        </w:rPr>
      </w:pPr>
      <w:r w:rsidRPr="009978BF">
        <w:rPr>
          <w:b/>
          <w:i/>
        </w:rPr>
        <w:t>S</w:t>
      </w:r>
      <w:r w:rsidR="00300736" w:rsidRPr="009978BF">
        <w:rPr>
          <w:b/>
          <w:i/>
        </w:rPr>
        <w:t>ize</w:t>
      </w:r>
      <w:r w:rsidR="00300736" w:rsidRPr="003120AC">
        <w:t xml:space="preserve"> (volume of financial services provided by individu</w:t>
      </w:r>
      <w:r>
        <w:t>al component of the fin system</w:t>
      </w:r>
      <w:r w:rsidR="00D75ABD">
        <w:t>)</w:t>
      </w:r>
    </w:p>
    <w:p w:rsidR="009978BF" w:rsidRPr="009978BF" w:rsidRDefault="009978BF" w:rsidP="00FF0B61">
      <w:pPr>
        <w:pStyle w:val="ListParagraph"/>
        <w:numPr>
          <w:ilvl w:val="2"/>
          <w:numId w:val="31"/>
        </w:numPr>
        <w:rPr>
          <w:lang w:val="en-CA" w:eastAsia="en-CA"/>
        </w:rPr>
      </w:pPr>
      <w:r w:rsidRPr="009978BF">
        <w:rPr>
          <w:b/>
          <w:i/>
        </w:rPr>
        <w:t>S</w:t>
      </w:r>
      <w:r w:rsidR="00704B84">
        <w:rPr>
          <w:b/>
          <w:i/>
        </w:rPr>
        <w:t>ubstitut</w:t>
      </w:r>
      <w:r w:rsidR="00300736" w:rsidRPr="009978BF">
        <w:rPr>
          <w:b/>
          <w:i/>
        </w:rPr>
        <w:t>a</w:t>
      </w:r>
      <w:r w:rsidR="00704B84">
        <w:rPr>
          <w:b/>
          <w:i/>
        </w:rPr>
        <w:t>bi</w:t>
      </w:r>
      <w:r w:rsidR="00300736" w:rsidRPr="009978BF">
        <w:rPr>
          <w:b/>
          <w:i/>
        </w:rPr>
        <w:t>lity</w:t>
      </w:r>
      <w:r w:rsidR="00300736" w:rsidRPr="003120AC">
        <w:t xml:space="preserve"> (extent to which other components can provide that service in event of failu</w:t>
      </w:r>
      <w:r>
        <w:t>re</w:t>
      </w:r>
    </w:p>
    <w:p w:rsidR="00E24B84" w:rsidRPr="00C312E5" w:rsidRDefault="009978BF" w:rsidP="00FF0B61">
      <w:pPr>
        <w:pStyle w:val="ListParagraph"/>
        <w:numPr>
          <w:ilvl w:val="2"/>
          <w:numId w:val="31"/>
        </w:numPr>
        <w:rPr>
          <w:lang w:val="en-CA" w:eastAsia="en-CA"/>
        </w:rPr>
      </w:pPr>
      <w:r w:rsidRPr="009978BF">
        <w:rPr>
          <w:b/>
          <w:i/>
        </w:rPr>
        <w:t>I</w:t>
      </w:r>
      <w:r w:rsidR="00300736" w:rsidRPr="009978BF">
        <w:rPr>
          <w:b/>
          <w:i/>
        </w:rPr>
        <w:t>nterconnectedness</w:t>
      </w:r>
      <w:r w:rsidR="00300736" w:rsidRPr="003120AC">
        <w:t xml:space="preserve"> (linkages w/ other components of that system)</w:t>
      </w:r>
    </w:p>
    <w:p w:rsidR="00620C66" w:rsidRPr="00336F39" w:rsidRDefault="00620C66" w:rsidP="00FF0B61">
      <w:pPr>
        <w:pStyle w:val="Heading4"/>
        <w:rPr>
          <w:i w:val="0"/>
          <w:lang w:val="en-CA" w:eastAsia="en-CA"/>
        </w:rPr>
      </w:pPr>
      <w:r w:rsidRPr="00A4651B">
        <w:rPr>
          <w:lang w:val="en-CA" w:eastAsia="en-CA"/>
        </w:rPr>
        <w:t xml:space="preserve">Re </w:t>
      </w:r>
      <w:r w:rsidRPr="009B487F">
        <w:rPr>
          <w:lang w:val="en-CA" w:eastAsia="en-CA"/>
        </w:rPr>
        <w:t>Securities</w:t>
      </w:r>
      <w:r w:rsidRPr="00A4651B">
        <w:rPr>
          <w:lang w:val="en-CA" w:eastAsia="en-CA"/>
        </w:rPr>
        <w:t xml:space="preserve"> Act, </w:t>
      </w:r>
      <w:r w:rsidRPr="0001470D">
        <w:rPr>
          <w:i w:val="0"/>
          <w:lang w:val="en-CA" w:eastAsia="en-CA"/>
        </w:rPr>
        <w:t>2011</w:t>
      </w:r>
    </w:p>
    <w:p w:rsidR="00620C66" w:rsidRPr="00620C66" w:rsidRDefault="00620C66" w:rsidP="00FF0B61">
      <w:pPr>
        <w:spacing w:line="240" w:lineRule="auto"/>
      </w:pPr>
      <w:r>
        <w:rPr>
          <w:i/>
          <w:lang w:val="en-CA" w:eastAsia="en-CA"/>
        </w:rPr>
        <w:t xml:space="preserve">Provinces challenged federal Securities Act </w:t>
      </w:r>
      <w:r>
        <w:rPr>
          <w:b/>
          <w:lang w:val="en-CA" w:eastAsia="en-CA"/>
        </w:rPr>
        <w:t xml:space="preserve">// Held: </w:t>
      </w:r>
      <w:r w:rsidRPr="003120AC">
        <w:t xml:space="preserve">To have a federal securities regulator would be unconstitutional under the federal government’s </w:t>
      </w:r>
      <w:r w:rsidRPr="003120AC">
        <w:rPr>
          <w:b/>
        </w:rPr>
        <w:t>general trade &amp; commerce power (s. 91(2) of Constitution Act)</w:t>
      </w:r>
      <w:r w:rsidRPr="003120AC">
        <w:t>, but they could have jurisdiction over “</w:t>
      </w:r>
      <w:r w:rsidRPr="003120AC">
        <w:rPr>
          <w:b/>
        </w:rPr>
        <w:t xml:space="preserve">mgmt of systemic risk” </w:t>
      </w:r>
      <w:r w:rsidRPr="003120AC">
        <w:t>+ “</w:t>
      </w:r>
      <w:r w:rsidRPr="003120AC">
        <w:rPr>
          <w:b/>
        </w:rPr>
        <w:t>international data collection”</w:t>
      </w:r>
      <w:r w:rsidRPr="003120AC">
        <w:t xml:space="preserve"> (these are national in scope). Feds cannot have power over day to day affairs of sec, that is under prov property &amp; civil rights 92(13).</w:t>
      </w:r>
    </w:p>
    <w:p w:rsidR="005535AC" w:rsidRDefault="005535AC" w:rsidP="00FF0B61">
      <w:pPr>
        <w:pStyle w:val="Heading1"/>
        <w:spacing w:after="0"/>
        <w:rPr>
          <w:lang w:val="en-CA" w:eastAsia="en-CA"/>
        </w:rPr>
      </w:pPr>
      <w:bookmarkStart w:id="25" w:name="_Toc468980404"/>
      <w:r w:rsidRPr="000748BC">
        <w:rPr>
          <w:lang w:val="en-CA" w:eastAsia="en-CA"/>
        </w:rPr>
        <w:lastRenderedPageBreak/>
        <w:t>Prospectus Process</w:t>
      </w:r>
      <w:bookmarkEnd w:id="25"/>
    </w:p>
    <w:tbl>
      <w:tblPr>
        <w:tblStyle w:val="TableGrid"/>
        <w:tblW w:w="0" w:type="auto"/>
        <w:tblLook w:val="04A0" w:firstRow="1" w:lastRow="0" w:firstColumn="1" w:lastColumn="0" w:noHBand="0" w:noVBand="1"/>
      </w:tblPr>
      <w:tblGrid>
        <w:gridCol w:w="10528"/>
      </w:tblGrid>
      <w:tr w:rsidR="00D5311C" w:rsidTr="00BD09EA">
        <w:tc>
          <w:tcPr>
            <w:tcW w:w="10528" w:type="dxa"/>
            <w:shd w:val="clear" w:color="auto" w:fill="F2F2F2" w:themeFill="background1" w:themeFillShade="F2"/>
          </w:tcPr>
          <w:p w:rsidR="00D5311C" w:rsidRPr="00BD09EA" w:rsidRDefault="00D5311C" w:rsidP="00FF0B61">
            <w:pPr>
              <w:rPr>
                <w:b/>
                <w:lang w:val="en-CA" w:eastAsia="en-CA"/>
              </w:rPr>
            </w:pPr>
            <w:r w:rsidRPr="00BD09EA">
              <w:rPr>
                <w:b/>
                <w:lang w:val="en-CA" w:eastAsia="en-CA"/>
              </w:rPr>
              <w:t xml:space="preserve">PENALTIES FOR NON-DISCLOSURE: </w:t>
            </w:r>
          </w:p>
          <w:p w:rsidR="00D5311C" w:rsidRPr="00BD09EA" w:rsidRDefault="00D5311C" w:rsidP="00FF0B61">
            <w:pPr>
              <w:pStyle w:val="ListParagraph"/>
              <w:numPr>
                <w:ilvl w:val="0"/>
                <w:numId w:val="165"/>
              </w:numPr>
              <w:rPr>
                <w:b/>
                <w:lang w:val="en-CA" w:eastAsia="en-CA"/>
              </w:rPr>
            </w:pPr>
            <w:r w:rsidRPr="00BD09EA">
              <w:rPr>
                <w:b/>
                <w:lang w:val="en-CA" w:eastAsia="en-CA"/>
              </w:rPr>
              <w:t>s.16</w:t>
            </w:r>
            <w:r w:rsidR="00BA2BA2" w:rsidRPr="00BD09EA">
              <w:rPr>
                <w:b/>
                <w:lang w:val="en-CA" w:eastAsia="en-CA"/>
              </w:rPr>
              <w:t>2</w:t>
            </w:r>
            <w:r w:rsidRPr="00BD09EA">
              <w:rPr>
                <w:b/>
                <w:lang w:val="en-CA" w:eastAsia="en-CA"/>
              </w:rPr>
              <w:t xml:space="preserve"> Administrative Penalty: </w:t>
            </w:r>
            <w:r w:rsidRPr="00BD09EA">
              <w:rPr>
                <w:lang w:val="en-CA" w:eastAsia="en-CA"/>
              </w:rPr>
              <w:t>if (a) Contravention and (b) in the Public Interest, the commission may order a penalty of not more than $1million</w:t>
            </w:r>
          </w:p>
          <w:p w:rsidR="00D5311C" w:rsidRPr="00D5311C" w:rsidRDefault="00D5311C" w:rsidP="00FF0B61">
            <w:pPr>
              <w:pStyle w:val="ListParagraph"/>
              <w:numPr>
                <w:ilvl w:val="0"/>
                <w:numId w:val="165"/>
              </w:numPr>
              <w:rPr>
                <w:b/>
                <w:lang w:val="en-CA" w:eastAsia="en-CA"/>
              </w:rPr>
            </w:pPr>
            <w:r w:rsidRPr="00BD09EA">
              <w:rPr>
                <w:b/>
                <w:lang w:val="en-CA" w:eastAsia="en-CA"/>
              </w:rPr>
              <w:t>s.164 Failure of</w:t>
            </w:r>
            <w:r>
              <w:rPr>
                <w:b/>
                <w:lang w:val="en-CA" w:eastAsia="en-CA"/>
              </w:rPr>
              <w:t xml:space="preserve"> Filing Requirements: </w:t>
            </w:r>
            <w:r>
              <w:rPr>
                <w:lang w:val="en-CA" w:eastAsia="en-CA"/>
              </w:rPr>
              <w:t>Cease trade order w/o hearing</w:t>
            </w:r>
          </w:p>
          <w:p w:rsidR="00D5311C" w:rsidRPr="00D5311C" w:rsidRDefault="00D5311C" w:rsidP="00FF0B61">
            <w:pPr>
              <w:pStyle w:val="ListParagraph"/>
              <w:numPr>
                <w:ilvl w:val="0"/>
                <w:numId w:val="165"/>
              </w:numPr>
              <w:rPr>
                <w:b/>
                <w:lang w:val="en-CA" w:eastAsia="en-CA"/>
              </w:rPr>
            </w:pPr>
            <w:r>
              <w:rPr>
                <w:b/>
                <w:lang w:val="en-CA" w:eastAsia="en-CA"/>
              </w:rPr>
              <w:t xml:space="preserve">s.161 Enforcement Orders: </w:t>
            </w:r>
            <w:r>
              <w:rPr>
                <w:lang w:val="en-CA" w:eastAsia="en-CA"/>
              </w:rPr>
              <w:t>Doesn’t even need a breach, just a preventative tactic</w:t>
            </w:r>
          </w:p>
          <w:p w:rsidR="00D5311C" w:rsidRDefault="00D5311C" w:rsidP="00FF0B61">
            <w:pPr>
              <w:pStyle w:val="ListParagraph"/>
              <w:numPr>
                <w:ilvl w:val="0"/>
                <w:numId w:val="165"/>
              </w:numPr>
              <w:rPr>
                <w:b/>
                <w:lang w:val="en-CA" w:eastAsia="en-CA"/>
              </w:rPr>
            </w:pPr>
            <w:r>
              <w:rPr>
                <w:b/>
                <w:lang w:val="en-CA" w:eastAsia="en-CA"/>
              </w:rPr>
              <w:t>s.155.1 Restitution to Securities Commission</w:t>
            </w:r>
          </w:p>
          <w:p w:rsidR="00D5311C" w:rsidRPr="00D5311C" w:rsidRDefault="00D5311C" w:rsidP="00FF0B61">
            <w:pPr>
              <w:pStyle w:val="ListParagraph"/>
              <w:numPr>
                <w:ilvl w:val="0"/>
                <w:numId w:val="165"/>
              </w:numPr>
              <w:rPr>
                <w:b/>
                <w:lang w:val="en-CA" w:eastAsia="en-CA"/>
              </w:rPr>
            </w:pPr>
            <w:r>
              <w:rPr>
                <w:b/>
                <w:lang w:val="en-CA" w:eastAsia="en-CA"/>
              </w:rPr>
              <w:t>s.157 Orders of Compliance in the Public Interest</w:t>
            </w:r>
          </w:p>
        </w:tc>
      </w:tr>
    </w:tbl>
    <w:p w:rsidR="001708B1" w:rsidRPr="001708B1" w:rsidRDefault="001708B1" w:rsidP="00FF0B61">
      <w:pPr>
        <w:pStyle w:val="Heading2"/>
        <w:spacing w:before="240" w:line="240" w:lineRule="auto"/>
        <w:rPr>
          <w:lang w:val="en-CA" w:eastAsia="en-CA"/>
        </w:rPr>
      </w:pPr>
      <w:bookmarkStart w:id="26" w:name="_Toc468980405"/>
      <w:r>
        <w:rPr>
          <w:lang w:val="en-CA" w:eastAsia="en-CA"/>
        </w:rPr>
        <w:t>Basic Requirements</w:t>
      </w:r>
      <w:bookmarkEnd w:id="26"/>
      <w:r>
        <w:rPr>
          <w:lang w:val="en-CA" w:eastAsia="en-CA"/>
        </w:rPr>
        <w:t xml:space="preserve"> </w:t>
      </w:r>
    </w:p>
    <w:p w:rsidR="002A2CC7" w:rsidRPr="009335F6" w:rsidRDefault="00F56EBF" w:rsidP="00FF0B61">
      <w:pPr>
        <w:pStyle w:val="ListParagraph"/>
        <w:numPr>
          <w:ilvl w:val="0"/>
          <w:numId w:val="33"/>
        </w:numPr>
        <w:tabs>
          <w:tab w:val="left" w:pos="6096"/>
        </w:tabs>
        <w:spacing w:after="0"/>
        <w:ind w:left="284" w:hanging="284"/>
        <w:rPr>
          <w:b/>
        </w:rPr>
      </w:pPr>
      <w:r w:rsidRPr="009335F6">
        <w:rPr>
          <w:b/>
          <w:lang w:val="en-CA" w:eastAsia="en-CA"/>
        </w:rPr>
        <w:t>PROSPECTUS REQUIRED (</w:t>
      </w:r>
      <w:r w:rsidRPr="009335F6">
        <w:rPr>
          <w:b/>
          <w:color w:val="C45911" w:themeColor="accent2" w:themeShade="BF"/>
          <w:lang w:val="en-CA" w:eastAsia="en-CA"/>
        </w:rPr>
        <w:t>BCSA 61</w:t>
      </w:r>
      <w:r w:rsidR="002A2CC7" w:rsidRPr="009335F6">
        <w:rPr>
          <w:b/>
          <w:color w:val="C45911" w:themeColor="accent2" w:themeShade="BF"/>
          <w:lang w:val="en-CA" w:eastAsia="en-CA"/>
        </w:rPr>
        <w:t>(1)</w:t>
      </w:r>
      <w:r w:rsidRPr="009335F6">
        <w:rPr>
          <w:lang w:val="en-CA" w:eastAsia="en-CA"/>
        </w:rPr>
        <w:t>)</w:t>
      </w:r>
      <w:bookmarkStart w:id="27" w:name="d2e6385_d2e6413"/>
      <w:bookmarkEnd w:id="27"/>
      <w:r w:rsidR="002A2CC7" w:rsidRPr="009335F6">
        <w:rPr>
          <w:lang w:val="en-CA" w:eastAsia="en-CA"/>
        </w:rPr>
        <w:t xml:space="preserve"> </w:t>
      </w:r>
      <w:r w:rsidR="003316D7" w:rsidRPr="00683AF8">
        <w:rPr>
          <w:b/>
        </w:rPr>
        <w:t>UNLESS EXEMPTED</w:t>
      </w:r>
      <w:r w:rsidR="003316D7">
        <w:t xml:space="preserve"> </w:t>
      </w:r>
      <w:r w:rsidRPr="00F56EBF">
        <w:t xml:space="preserve">a person </w:t>
      </w:r>
      <w:r w:rsidRPr="009335F6">
        <w:rPr>
          <w:b/>
          <w:i/>
        </w:rPr>
        <w:t xml:space="preserve">must NOT </w:t>
      </w:r>
      <w:r w:rsidRPr="00683AF8">
        <w:rPr>
          <w:b/>
          <w:i/>
          <w:u w:val="single"/>
        </w:rPr>
        <w:t xml:space="preserve">distribute </w:t>
      </w:r>
      <w:r w:rsidRPr="0086515B">
        <w:rPr>
          <w:b/>
          <w:i/>
          <w:u w:val="single"/>
        </w:rPr>
        <w:t>a security</w:t>
      </w:r>
      <w:r w:rsidRPr="009335F6">
        <w:rPr>
          <w:b/>
          <w:i/>
        </w:rPr>
        <w:t xml:space="preserve"> </w:t>
      </w:r>
      <w:r w:rsidR="00174F96" w:rsidRPr="009335F6">
        <w:rPr>
          <w:b/>
        </w:rPr>
        <w:t>UNLESS</w:t>
      </w:r>
      <w:bookmarkStart w:id="28" w:name="d2e6394"/>
      <w:bookmarkEnd w:id="28"/>
      <w:r w:rsidR="00174F96" w:rsidRPr="009335F6">
        <w:rPr>
          <w:b/>
        </w:rPr>
        <w:t xml:space="preserve">: </w:t>
      </w:r>
      <w:r w:rsidRPr="009335F6">
        <w:rPr>
          <w:b/>
        </w:rPr>
        <w:t>(a)</w:t>
      </w:r>
      <w:r w:rsidRPr="00F56EBF">
        <w:t xml:space="preserve"> a preliminary prospectus and a (FINAL) prospectus respecting the security have been f</w:t>
      </w:r>
      <w:r w:rsidR="00164195">
        <w:t>iled with the exec</w:t>
      </w:r>
      <w:r w:rsidR="009407F0">
        <w:t xml:space="preserve"> DIR</w:t>
      </w:r>
      <w:r w:rsidRPr="00F56EBF">
        <w:t>,</w:t>
      </w:r>
      <w:bookmarkStart w:id="29" w:name="d2e6403"/>
      <w:bookmarkEnd w:id="29"/>
      <w:r w:rsidR="009407F0">
        <w:t xml:space="preserve"> </w:t>
      </w:r>
      <w:r w:rsidR="009407F0" w:rsidRPr="009335F6">
        <w:rPr>
          <w:b/>
        </w:rPr>
        <w:t>AND</w:t>
      </w:r>
      <w:r>
        <w:t xml:space="preserve"> </w:t>
      </w:r>
      <w:r w:rsidRPr="009335F6">
        <w:rPr>
          <w:b/>
        </w:rPr>
        <w:t>(b)</w:t>
      </w:r>
      <w:r w:rsidR="009407F0">
        <w:t xml:space="preserve"> the exec DIR</w:t>
      </w:r>
      <w:r w:rsidRPr="00F56EBF">
        <w:t xml:space="preserve"> </w:t>
      </w:r>
      <w:r w:rsidRPr="005D5F80">
        <w:rPr>
          <w:b/>
          <w:u w:val="single"/>
        </w:rPr>
        <w:t>has issued receipts</w:t>
      </w:r>
      <w:bookmarkStart w:id="30" w:name="d2e6413"/>
      <w:bookmarkEnd w:id="30"/>
      <w:r w:rsidR="0005740B">
        <w:t xml:space="preserve">. </w:t>
      </w:r>
    </w:p>
    <w:p w:rsidR="0030458F" w:rsidRDefault="0030458F" w:rsidP="00FF0B61">
      <w:pPr>
        <w:pStyle w:val="ListParagraph"/>
        <w:numPr>
          <w:ilvl w:val="1"/>
          <w:numId w:val="33"/>
        </w:numPr>
        <w:spacing w:after="0"/>
        <w:ind w:left="709"/>
        <w:rPr>
          <w:b/>
          <w:lang w:val="en-CA" w:eastAsia="en-CA"/>
        </w:rPr>
      </w:pPr>
      <w:r>
        <w:rPr>
          <w:b/>
          <w:lang w:val="en-CA" w:eastAsia="en-CA"/>
        </w:rPr>
        <w:t>NB: Discretionary Exemption (</w:t>
      </w:r>
      <w:r w:rsidRPr="00B2603F">
        <w:rPr>
          <w:b/>
          <w:color w:val="C45911" w:themeColor="accent2" w:themeShade="BF"/>
          <w:lang w:val="en-CA" w:eastAsia="en-CA"/>
        </w:rPr>
        <w:t>BCSA 76</w:t>
      </w:r>
      <w:r>
        <w:rPr>
          <w:b/>
          <w:lang w:val="en-CA" w:eastAsia="en-CA"/>
        </w:rPr>
        <w:t xml:space="preserve">): </w:t>
      </w:r>
      <w:r>
        <w:rPr>
          <w:lang w:val="en-CA" w:eastAsia="en-CA"/>
        </w:rPr>
        <w:t>An issuer can request a discretionary exemption. Commission may allow exemption in certain circumstances where it is not prejudicial to the public interest.</w:t>
      </w:r>
    </w:p>
    <w:p w:rsidR="001D31BD" w:rsidRPr="009335F6" w:rsidRDefault="002A2CC7" w:rsidP="00FF0B61">
      <w:pPr>
        <w:pStyle w:val="ListParagraph"/>
        <w:numPr>
          <w:ilvl w:val="0"/>
          <w:numId w:val="33"/>
        </w:numPr>
        <w:spacing w:after="0"/>
        <w:ind w:left="284" w:hanging="284"/>
        <w:rPr>
          <w:b/>
          <w:lang w:val="en-CA" w:eastAsia="en-CA"/>
        </w:rPr>
      </w:pPr>
      <w:r w:rsidRPr="009335F6">
        <w:rPr>
          <w:b/>
          <w:lang w:val="en-CA" w:eastAsia="en-CA"/>
        </w:rPr>
        <w:t>VOLUNTARY FILING (</w:t>
      </w:r>
      <w:r w:rsidRPr="009335F6">
        <w:rPr>
          <w:b/>
          <w:color w:val="C45911" w:themeColor="accent2" w:themeShade="BF"/>
          <w:lang w:val="en-CA" w:eastAsia="en-CA"/>
        </w:rPr>
        <w:t>BCSA 62</w:t>
      </w:r>
      <w:r w:rsidRPr="009335F6">
        <w:rPr>
          <w:b/>
          <w:lang w:val="en-CA" w:eastAsia="en-CA"/>
        </w:rPr>
        <w:t xml:space="preserve">): </w:t>
      </w:r>
      <w:r w:rsidRPr="008E6201">
        <w:t xml:space="preserve">Even though a person is </w:t>
      </w:r>
      <w:r w:rsidR="005B4512" w:rsidRPr="009335F6">
        <w:rPr>
          <w:b/>
          <w:u w:val="single"/>
        </w:rPr>
        <w:t>NOT DISTRIBUTING SECURITIES</w:t>
      </w:r>
      <w:r w:rsidRPr="009335F6">
        <w:rPr>
          <w:b/>
        </w:rPr>
        <w:t>,</w:t>
      </w:r>
      <w:r w:rsidRPr="008E6201">
        <w:t xml:space="preserve"> a preliminary prospectus and a prospectus that are in the required form may be filed for</w:t>
      </w:r>
      <w:bookmarkStart w:id="31" w:name="d2e6435"/>
      <w:bookmarkEnd w:id="31"/>
      <w:r w:rsidR="008E6201">
        <w:t xml:space="preserve">: </w:t>
      </w:r>
      <w:r w:rsidRPr="009335F6">
        <w:rPr>
          <w:b/>
        </w:rPr>
        <w:t>(a)</w:t>
      </w:r>
      <w:r w:rsidRPr="008E6201">
        <w:t xml:space="preserve"> the purpose of enabling the issuer to </w:t>
      </w:r>
      <w:r w:rsidRPr="009335F6">
        <w:rPr>
          <w:b/>
        </w:rPr>
        <w:t>become a reporting issuer</w:t>
      </w:r>
      <w:r w:rsidRPr="008E6201">
        <w:t>, or</w:t>
      </w:r>
      <w:bookmarkStart w:id="32" w:name="d2e6444"/>
      <w:bookmarkEnd w:id="32"/>
      <w:r w:rsidR="008E6201">
        <w:t xml:space="preserve"> </w:t>
      </w:r>
      <w:r w:rsidRPr="009335F6">
        <w:rPr>
          <w:b/>
        </w:rPr>
        <w:t>(b)</w:t>
      </w:r>
      <w:r w:rsidR="008E6201">
        <w:t xml:space="preserve"> any other prescribed purpose </w:t>
      </w:r>
      <w:r w:rsidR="008E6201" w:rsidRPr="009335F6">
        <w:rPr>
          <w:b/>
        </w:rPr>
        <w:t xml:space="preserve">// WHY </w:t>
      </w:r>
      <w:r w:rsidR="008E6201" w:rsidRPr="008E6201">
        <w:rPr>
          <w:b/>
        </w:rPr>
        <w:sym w:font="Wingdings" w:char="F0E0"/>
      </w:r>
      <w:r w:rsidR="008E6201" w:rsidRPr="009335F6">
        <w:rPr>
          <w:b/>
        </w:rPr>
        <w:t xml:space="preserve"> </w:t>
      </w:r>
      <w:r w:rsidR="008E6201">
        <w:t>C</w:t>
      </w:r>
      <w:r w:rsidR="008E6201" w:rsidRPr="009335F6">
        <w:rPr>
          <w:lang w:val="en-CA" w:eastAsia="en-CA"/>
        </w:rPr>
        <w:t>an legitimize you with your lenders (some lenders require prospectus even if you never issue shares)</w:t>
      </w:r>
    </w:p>
    <w:p w:rsidR="00A57013" w:rsidRDefault="004935C7" w:rsidP="00FF0B61">
      <w:pPr>
        <w:pStyle w:val="sec2"/>
        <w:numPr>
          <w:ilvl w:val="0"/>
          <w:numId w:val="33"/>
        </w:numPr>
        <w:spacing w:before="0" w:beforeAutospacing="0" w:after="0" w:afterAutospacing="0"/>
        <w:ind w:left="284" w:hanging="284"/>
        <w:rPr>
          <w:rFonts w:asciiTheme="minorHAnsi" w:hAnsiTheme="minorHAnsi"/>
          <w:sz w:val="18"/>
        </w:rPr>
      </w:pPr>
      <w:r w:rsidRPr="00DC35D4">
        <w:rPr>
          <w:rFonts w:asciiTheme="minorHAnsi" w:hAnsiTheme="minorHAnsi"/>
          <w:b/>
          <w:sz w:val="18"/>
          <w:u w:val="single"/>
        </w:rPr>
        <w:t>CONTENT (</w:t>
      </w:r>
      <w:r w:rsidRPr="004935C7">
        <w:rPr>
          <w:rFonts w:asciiTheme="minorHAnsi" w:hAnsiTheme="minorHAnsi"/>
          <w:b/>
          <w:color w:val="C45911" w:themeColor="accent2" w:themeShade="BF"/>
          <w:sz w:val="18"/>
        </w:rPr>
        <w:t>BCSA 63</w:t>
      </w:r>
      <w:r w:rsidR="00767069">
        <w:rPr>
          <w:rFonts w:asciiTheme="minorHAnsi" w:hAnsiTheme="minorHAnsi"/>
          <w:b/>
          <w:color w:val="C45911" w:themeColor="accent2" w:themeShade="BF"/>
          <w:sz w:val="18"/>
        </w:rPr>
        <w:t>(1)</w:t>
      </w:r>
      <w:r>
        <w:rPr>
          <w:rFonts w:asciiTheme="minorHAnsi" w:hAnsiTheme="minorHAnsi"/>
          <w:b/>
          <w:sz w:val="18"/>
        </w:rPr>
        <w:t>)</w:t>
      </w:r>
      <w:r w:rsidR="001D31BD">
        <w:rPr>
          <w:rFonts w:asciiTheme="minorHAnsi" w:hAnsiTheme="minorHAnsi"/>
          <w:b/>
          <w:sz w:val="18"/>
        </w:rPr>
        <w:t>:</w:t>
      </w:r>
      <w:r w:rsidR="001D31BD" w:rsidRPr="001D31BD">
        <w:rPr>
          <w:rFonts w:asciiTheme="minorHAnsi" w:hAnsiTheme="minorHAnsi"/>
          <w:sz w:val="18"/>
        </w:rPr>
        <w:t xml:space="preserve"> </w:t>
      </w:r>
      <w:bookmarkStart w:id="33" w:name="d2e6462_d2e6471_d2e6480"/>
      <w:bookmarkEnd w:id="33"/>
      <w:r w:rsidR="001D31BD" w:rsidRPr="001D31BD">
        <w:rPr>
          <w:rFonts w:asciiTheme="minorHAnsi" w:hAnsiTheme="minorHAnsi"/>
          <w:sz w:val="18"/>
        </w:rPr>
        <w:t xml:space="preserve">A prospectus must provide </w:t>
      </w:r>
      <w:r w:rsidR="001D31BD" w:rsidRPr="00A57013">
        <w:rPr>
          <w:rFonts w:asciiTheme="minorHAnsi" w:hAnsiTheme="minorHAnsi"/>
          <w:b/>
          <w:sz w:val="18"/>
          <w:u w:val="single"/>
        </w:rPr>
        <w:t>full, true and plain disclosure of all material facts</w:t>
      </w:r>
      <w:r w:rsidR="001D31BD" w:rsidRPr="001D31BD">
        <w:rPr>
          <w:rFonts w:asciiTheme="minorHAnsi" w:hAnsiTheme="minorHAnsi"/>
          <w:sz w:val="18"/>
        </w:rPr>
        <w:t xml:space="preserve"> </w:t>
      </w:r>
      <w:r w:rsidR="00B3735D" w:rsidRPr="00DC35D4">
        <w:rPr>
          <w:rFonts w:asciiTheme="minorHAnsi" w:hAnsiTheme="minorHAnsi"/>
          <w:b/>
          <w:sz w:val="18"/>
        </w:rPr>
        <w:t>(above)</w:t>
      </w:r>
      <w:r w:rsidR="00B3735D">
        <w:rPr>
          <w:rFonts w:asciiTheme="minorHAnsi" w:hAnsiTheme="minorHAnsi"/>
          <w:sz w:val="18"/>
        </w:rPr>
        <w:t xml:space="preserve"> </w:t>
      </w:r>
      <w:r w:rsidR="001D31BD" w:rsidRPr="001D31BD">
        <w:rPr>
          <w:rFonts w:asciiTheme="minorHAnsi" w:hAnsiTheme="minorHAnsi"/>
          <w:sz w:val="18"/>
        </w:rPr>
        <w:t>relating to the securities issued or proposed to be distributed.</w:t>
      </w:r>
      <w:bookmarkStart w:id="34" w:name="d2e6471"/>
      <w:bookmarkEnd w:id="34"/>
    </w:p>
    <w:p w:rsidR="001D31BD" w:rsidRDefault="007D1092" w:rsidP="00FF0B61">
      <w:pPr>
        <w:pStyle w:val="sec2"/>
        <w:numPr>
          <w:ilvl w:val="1"/>
          <w:numId w:val="33"/>
        </w:numPr>
        <w:spacing w:before="0" w:beforeAutospacing="0" w:after="0" w:afterAutospacing="0"/>
        <w:ind w:left="851"/>
        <w:rPr>
          <w:rFonts w:asciiTheme="minorHAnsi" w:hAnsiTheme="minorHAnsi"/>
          <w:sz w:val="18"/>
        </w:rPr>
      </w:pPr>
      <w:r>
        <w:rPr>
          <w:rFonts w:asciiTheme="minorHAnsi" w:hAnsiTheme="minorHAnsi"/>
          <w:b/>
          <w:sz w:val="18"/>
        </w:rPr>
        <w:t>“Full, True and Plain Disclosure”</w:t>
      </w:r>
      <w:r w:rsidR="0001470D">
        <w:rPr>
          <w:rFonts w:asciiTheme="minorHAnsi" w:hAnsiTheme="minorHAnsi"/>
          <w:b/>
          <w:sz w:val="18"/>
        </w:rPr>
        <w:t xml:space="preserve"> (</w:t>
      </w:r>
      <w:r w:rsidR="0001470D" w:rsidRPr="0001470D">
        <w:rPr>
          <w:rFonts w:asciiTheme="minorHAnsi" w:hAnsiTheme="minorHAnsi"/>
          <w:b/>
          <w:i/>
          <w:color w:val="1006E0"/>
          <w:sz w:val="18"/>
        </w:rPr>
        <w:t>Coventree</w:t>
      </w:r>
      <w:r w:rsidR="0001470D">
        <w:rPr>
          <w:rFonts w:asciiTheme="minorHAnsi" w:hAnsiTheme="minorHAnsi"/>
          <w:b/>
          <w:sz w:val="18"/>
        </w:rPr>
        <w:t>)</w:t>
      </w:r>
      <w:r w:rsidR="00126D01">
        <w:rPr>
          <w:rFonts w:asciiTheme="minorHAnsi" w:hAnsiTheme="minorHAnsi"/>
          <w:b/>
          <w:sz w:val="18"/>
        </w:rPr>
        <w:t xml:space="preserve">: </w:t>
      </w:r>
    </w:p>
    <w:p w:rsidR="00126D01" w:rsidRDefault="00126D01" w:rsidP="00FF0B61">
      <w:pPr>
        <w:pStyle w:val="sec2"/>
        <w:numPr>
          <w:ilvl w:val="2"/>
          <w:numId w:val="33"/>
        </w:numPr>
        <w:spacing w:before="0" w:beforeAutospacing="0" w:after="0" w:afterAutospacing="0"/>
        <w:ind w:left="1418"/>
        <w:rPr>
          <w:rFonts w:asciiTheme="minorHAnsi" w:hAnsiTheme="minorHAnsi"/>
          <w:sz w:val="18"/>
        </w:rPr>
      </w:pPr>
      <w:r w:rsidRPr="000128C9">
        <w:rPr>
          <w:rFonts w:asciiTheme="minorHAnsi" w:hAnsiTheme="minorHAnsi"/>
          <w:b/>
          <w:sz w:val="18"/>
        </w:rPr>
        <w:t>Full</w:t>
      </w:r>
      <w:r>
        <w:rPr>
          <w:rFonts w:asciiTheme="minorHAnsi" w:hAnsiTheme="minorHAnsi"/>
          <w:sz w:val="18"/>
        </w:rPr>
        <w:t xml:space="preserve"> – Achieved when disclosure is made of facts sufficient to permit investors to make an informed decision.</w:t>
      </w:r>
    </w:p>
    <w:p w:rsidR="00126D01" w:rsidRDefault="00126D01" w:rsidP="00FF0B61">
      <w:pPr>
        <w:pStyle w:val="sec2"/>
        <w:numPr>
          <w:ilvl w:val="2"/>
          <w:numId w:val="33"/>
        </w:numPr>
        <w:spacing w:before="0" w:beforeAutospacing="0" w:after="0" w:afterAutospacing="0"/>
        <w:ind w:left="1418"/>
        <w:rPr>
          <w:rFonts w:asciiTheme="minorHAnsi" w:hAnsiTheme="minorHAnsi"/>
          <w:sz w:val="18"/>
        </w:rPr>
      </w:pPr>
      <w:r w:rsidRPr="000128C9">
        <w:rPr>
          <w:rFonts w:asciiTheme="minorHAnsi" w:hAnsiTheme="minorHAnsi"/>
          <w:b/>
          <w:sz w:val="18"/>
        </w:rPr>
        <w:t>True</w:t>
      </w:r>
      <w:r>
        <w:rPr>
          <w:rFonts w:asciiTheme="minorHAnsi" w:hAnsiTheme="minorHAnsi"/>
          <w:sz w:val="18"/>
        </w:rPr>
        <w:t xml:space="preserve"> – Disclosure is accurate and not misleading and does not omit a fact that is either material itself or is necessary to under the facts that have been disclosed</w:t>
      </w:r>
    </w:p>
    <w:p w:rsidR="00126D01" w:rsidRDefault="00126D01" w:rsidP="00FF0B61">
      <w:pPr>
        <w:pStyle w:val="sec2"/>
        <w:numPr>
          <w:ilvl w:val="2"/>
          <w:numId w:val="33"/>
        </w:numPr>
        <w:spacing w:before="0" w:beforeAutospacing="0" w:after="0" w:afterAutospacing="0"/>
        <w:ind w:left="1418"/>
        <w:rPr>
          <w:rFonts w:asciiTheme="minorHAnsi" w:hAnsiTheme="minorHAnsi"/>
          <w:sz w:val="18"/>
        </w:rPr>
      </w:pPr>
      <w:r w:rsidRPr="000128C9">
        <w:rPr>
          <w:rFonts w:asciiTheme="minorHAnsi" w:hAnsiTheme="minorHAnsi"/>
          <w:b/>
          <w:sz w:val="18"/>
        </w:rPr>
        <w:t>Plain</w:t>
      </w:r>
      <w:r>
        <w:rPr>
          <w:rFonts w:asciiTheme="minorHAnsi" w:hAnsiTheme="minorHAnsi"/>
          <w:sz w:val="18"/>
        </w:rPr>
        <w:t xml:space="preserve"> – understandable to investors and in plain language </w:t>
      </w:r>
    </w:p>
    <w:p w:rsidR="00AE4209" w:rsidRPr="00AE4209" w:rsidRDefault="00AE4209" w:rsidP="00FF0B61">
      <w:pPr>
        <w:pStyle w:val="sec2"/>
        <w:spacing w:before="0" w:beforeAutospacing="0" w:after="0" w:afterAutospacing="0"/>
        <w:rPr>
          <w:rFonts w:asciiTheme="minorHAnsi" w:hAnsiTheme="minorHAnsi"/>
          <w:sz w:val="18"/>
        </w:rPr>
      </w:pPr>
      <w:r>
        <w:rPr>
          <w:rFonts w:asciiTheme="minorHAnsi" w:hAnsiTheme="minorHAnsi"/>
          <w:b/>
          <w:sz w:val="18"/>
          <w:u w:val="single"/>
        </w:rPr>
        <w:t>DETERMINE THE PRINCIPAL REGULATOR</w:t>
      </w:r>
      <w:r>
        <w:rPr>
          <w:rFonts w:asciiTheme="minorHAnsi" w:hAnsiTheme="minorHAnsi"/>
          <w:b/>
          <w:sz w:val="18"/>
        </w:rPr>
        <w:t xml:space="preserve"> (</w:t>
      </w:r>
      <w:r w:rsidRPr="00AE4209">
        <w:rPr>
          <w:rFonts w:asciiTheme="minorHAnsi" w:hAnsiTheme="minorHAnsi"/>
          <w:b/>
          <w:color w:val="7030A0"/>
          <w:sz w:val="18"/>
        </w:rPr>
        <w:t>MI 11-102 S.3.1(2)</w:t>
      </w:r>
      <w:r>
        <w:rPr>
          <w:rFonts w:asciiTheme="minorHAnsi" w:hAnsiTheme="minorHAnsi"/>
          <w:b/>
          <w:sz w:val="18"/>
        </w:rPr>
        <w:t xml:space="preserve">): </w:t>
      </w:r>
      <w:r>
        <w:rPr>
          <w:rFonts w:asciiTheme="minorHAnsi" w:hAnsiTheme="minorHAnsi"/>
          <w:sz w:val="18"/>
        </w:rPr>
        <w:t xml:space="preserve">Principal regulator is the jurisdiction with the </w:t>
      </w:r>
      <w:r w:rsidR="00372EB4">
        <w:rPr>
          <w:rFonts w:asciiTheme="minorHAnsi" w:hAnsiTheme="minorHAnsi"/>
          <w:sz w:val="18"/>
        </w:rPr>
        <w:t xml:space="preserve">issuer’s head office. If that isn’t clear, look at </w:t>
      </w:r>
      <w:r w:rsidR="00372EB4" w:rsidRPr="00372EB4">
        <w:rPr>
          <w:rFonts w:asciiTheme="minorHAnsi" w:hAnsiTheme="minorHAnsi"/>
          <w:b/>
          <w:sz w:val="18"/>
        </w:rPr>
        <w:t>1)</w:t>
      </w:r>
      <w:r w:rsidR="00372EB4">
        <w:rPr>
          <w:rFonts w:asciiTheme="minorHAnsi" w:hAnsiTheme="minorHAnsi"/>
          <w:sz w:val="18"/>
        </w:rPr>
        <w:t xml:space="preserve"> Location of issuer’s management; </w:t>
      </w:r>
      <w:r w:rsidR="00372EB4" w:rsidRPr="00372EB4">
        <w:rPr>
          <w:rFonts w:asciiTheme="minorHAnsi" w:hAnsiTheme="minorHAnsi"/>
          <w:b/>
          <w:sz w:val="18"/>
        </w:rPr>
        <w:t>2)</w:t>
      </w:r>
      <w:r w:rsidR="00372EB4">
        <w:rPr>
          <w:rFonts w:asciiTheme="minorHAnsi" w:hAnsiTheme="minorHAnsi"/>
          <w:sz w:val="18"/>
        </w:rPr>
        <w:t xml:space="preserve"> Location of the issuer’s assets and operations; </w:t>
      </w:r>
      <w:r w:rsidR="00372EB4" w:rsidRPr="00372EB4">
        <w:rPr>
          <w:rFonts w:asciiTheme="minorHAnsi" w:hAnsiTheme="minorHAnsi"/>
          <w:b/>
          <w:sz w:val="18"/>
        </w:rPr>
        <w:t>3)</w:t>
      </w:r>
      <w:r w:rsidR="00372EB4">
        <w:rPr>
          <w:rFonts w:asciiTheme="minorHAnsi" w:hAnsiTheme="minorHAnsi"/>
          <w:sz w:val="18"/>
        </w:rPr>
        <w:t xml:space="preserve"> Location of the Canadian trading market or quotation system on which the issues securities are located; </w:t>
      </w:r>
      <w:r w:rsidR="00372EB4" w:rsidRPr="00372EB4">
        <w:rPr>
          <w:rFonts w:asciiTheme="minorHAnsi" w:hAnsiTheme="minorHAnsi"/>
          <w:b/>
          <w:sz w:val="18"/>
        </w:rPr>
        <w:t>4)</w:t>
      </w:r>
      <w:r w:rsidR="00372EB4">
        <w:rPr>
          <w:rFonts w:asciiTheme="minorHAnsi" w:hAnsiTheme="minorHAnsi"/>
          <w:sz w:val="18"/>
        </w:rPr>
        <w:t xml:space="preserve"> Location of the issuers securityholders. </w:t>
      </w:r>
    </w:p>
    <w:p w:rsidR="00AE4209" w:rsidRDefault="00AE4209" w:rsidP="00FF0B61">
      <w:pPr>
        <w:pStyle w:val="sec2"/>
        <w:spacing w:before="0" w:beforeAutospacing="0" w:after="0" w:afterAutospacing="0"/>
        <w:rPr>
          <w:rFonts w:asciiTheme="minorHAnsi" w:hAnsiTheme="minorHAnsi"/>
          <w:sz w:val="18"/>
        </w:rPr>
      </w:pPr>
    </w:p>
    <w:p w:rsidR="00032C99" w:rsidRPr="00706229" w:rsidRDefault="006F5959" w:rsidP="00FF0B61">
      <w:pPr>
        <w:pStyle w:val="Heading2"/>
        <w:spacing w:line="240" w:lineRule="auto"/>
      </w:pPr>
      <w:bookmarkStart w:id="35" w:name="_Toc468980406"/>
      <w:r>
        <w:t xml:space="preserve">NI 41-101 </w:t>
      </w:r>
      <w:r>
        <w:rPr>
          <w:i/>
        </w:rPr>
        <w:t xml:space="preserve">General Prospectus Requirements </w:t>
      </w:r>
      <w:r w:rsidR="00706229">
        <w:sym w:font="Wingdings" w:char="F0E0"/>
      </w:r>
      <w:r w:rsidR="00706229">
        <w:t xml:space="preserve"> Regime to prepare, file and distribute a “long form” prospectus.</w:t>
      </w:r>
      <w:bookmarkEnd w:id="35"/>
      <w:r w:rsidR="00706229">
        <w:t xml:space="preserve"> </w:t>
      </w:r>
    </w:p>
    <w:p w:rsidR="004B5F0D" w:rsidRPr="004B5F0D" w:rsidRDefault="004B5F0D" w:rsidP="00FF0B61">
      <w:pPr>
        <w:pStyle w:val="sub"/>
        <w:spacing w:before="0" w:beforeAutospacing="0" w:after="0" w:afterAutospacing="0"/>
        <w:rPr>
          <w:rFonts w:asciiTheme="minorHAnsi" w:hAnsiTheme="minorHAnsi"/>
          <w:sz w:val="18"/>
        </w:rPr>
      </w:pPr>
      <w:r>
        <w:rPr>
          <w:rFonts w:asciiTheme="minorHAnsi" w:hAnsiTheme="minorHAnsi"/>
          <w:b/>
          <w:sz w:val="18"/>
        </w:rPr>
        <w:t>Form of Prospectus (</w:t>
      </w:r>
      <w:r w:rsidRPr="004B5F0D">
        <w:rPr>
          <w:rFonts w:asciiTheme="minorHAnsi" w:hAnsiTheme="minorHAnsi"/>
          <w:b/>
          <w:color w:val="7030A0"/>
          <w:sz w:val="18"/>
        </w:rPr>
        <w:t>s.3.1</w:t>
      </w:r>
      <w:r>
        <w:rPr>
          <w:rFonts w:asciiTheme="minorHAnsi" w:hAnsiTheme="minorHAnsi"/>
          <w:b/>
          <w:sz w:val="18"/>
        </w:rPr>
        <w:t xml:space="preserve">): </w:t>
      </w:r>
      <w:r>
        <w:rPr>
          <w:rFonts w:asciiTheme="minorHAnsi" w:hAnsiTheme="minorHAnsi"/>
          <w:sz w:val="18"/>
        </w:rPr>
        <w:t xml:space="preserve">Issuer filing a prospectus must file the prospectus in the form of </w:t>
      </w:r>
      <w:r w:rsidRPr="001174F3">
        <w:rPr>
          <w:rFonts w:asciiTheme="minorHAnsi" w:hAnsiTheme="minorHAnsi"/>
          <w:b/>
          <w:color w:val="7030A0"/>
          <w:sz w:val="18"/>
        </w:rPr>
        <w:t xml:space="preserve">Form 41-101F1. </w:t>
      </w:r>
    </w:p>
    <w:p w:rsidR="004B5F0D" w:rsidRDefault="004B5F0D" w:rsidP="00FF0B61">
      <w:pPr>
        <w:pStyle w:val="sub"/>
        <w:spacing w:before="0" w:beforeAutospacing="0" w:after="0" w:afterAutospacing="0"/>
        <w:rPr>
          <w:rFonts w:asciiTheme="minorHAnsi" w:hAnsiTheme="minorHAnsi"/>
          <w:b/>
          <w:sz w:val="18"/>
          <w:u w:val="single"/>
        </w:rPr>
      </w:pPr>
    </w:p>
    <w:p w:rsidR="000F343E" w:rsidRPr="000F343E" w:rsidRDefault="00857371" w:rsidP="00FF0B61">
      <w:pPr>
        <w:pStyle w:val="sub"/>
        <w:spacing w:before="0" w:beforeAutospacing="0" w:after="0" w:afterAutospacing="0"/>
        <w:rPr>
          <w:rFonts w:asciiTheme="minorHAnsi" w:hAnsiTheme="minorHAnsi"/>
          <w:sz w:val="18"/>
        </w:rPr>
      </w:pPr>
      <w:r w:rsidRPr="00140A42">
        <w:rPr>
          <w:rFonts w:asciiTheme="minorHAnsi" w:hAnsiTheme="minorHAnsi"/>
          <w:b/>
          <w:sz w:val="18"/>
          <w:u w:val="single"/>
        </w:rPr>
        <w:t>NON-FINANCIAL DISCLOSURE</w:t>
      </w:r>
      <w:r w:rsidR="00DF7F1E">
        <w:rPr>
          <w:rFonts w:asciiTheme="minorHAnsi" w:hAnsiTheme="minorHAnsi"/>
          <w:b/>
          <w:sz w:val="18"/>
        </w:rPr>
        <w:t xml:space="preserve"> (</w:t>
      </w:r>
      <w:r w:rsidR="00DF7F1E" w:rsidRPr="00406B99">
        <w:rPr>
          <w:rFonts w:asciiTheme="minorHAnsi" w:hAnsiTheme="minorHAnsi"/>
          <w:b/>
          <w:color w:val="7030A0"/>
          <w:sz w:val="18"/>
        </w:rPr>
        <w:t>Form 41-101F1</w:t>
      </w:r>
      <w:r w:rsidR="00DF7F1E" w:rsidRPr="00E21C04">
        <w:rPr>
          <w:rFonts w:asciiTheme="minorHAnsi" w:hAnsiTheme="minorHAnsi"/>
          <w:b/>
          <w:sz w:val="18"/>
        </w:rPr>
        <w:t>)</w:t>
      </w:r>
      <w:r w:rsidR="00B475BD" w:rsidRPr="00E21C04">
        <w:rPr>
          <w:rFonts w:asciiTheme="minorHAnsi" w:hAnsiTheme="minorHAnsi"/>
          <w:b/>
          <w:sz w:val="18"/>
        </w:rPr>
        <w:t xml:space="preserve"> </w:t>
      </w:r>
      <w:r w:rsidR="00B076A1" w:rsidRPr="00E21C04">
        <w:rPr>
          <w:rFonts w:asciiTheme="minorHAnsi" w:hAnsiTheme="minorHAnsi"/>
          <w:b/>
          <w:sz w:val="18"/>
        </w:rPr>
        <w:t>Key Items</w:t>
      </w:r>
      <w:r w:rsidR="00E21C04">
        <w:rPr>
          <w:rFonts w:asciiTheme="minorHAnsi" w:hAnsiTheme="minorHAnsi"/>
          <w:b/>
          <w:sz w:val="18"/>
        </w:rPr>
        <w:t>:</w:t>
      </w:r>
    </w:p>
    <w:p w:rsidR="000F343E" w:rsidRDefault="000F343E" w:rsidP="00FF0B61">
      <w:pPr>
        <w:pStyle w:val="sub"/>
        <w:numPr>
          <w:ilvl w:val="0"/>
          <w:numId w:val="32"/>
        </w:numPr>
        <w:spacing w:before="0" w:beforeAutospacing="0" w:after="0" w:afterAutospacing="0"/>
        <w:rPr>
          <w:rFonts w:asciiTheme="minorHAnsi" w:hAnsiTheme="minorHAnsi"/>
          <w:b/>
          <w:sz w:val="18"/>
        </w:rPr>
      </w:pPr>
      <w:r>
        <w:rPr>
          <w:rFonts w:asciiTheme="minorHAnsi" w:hAnsiTheme="minorHAnsi"/>
          <w:b/>
          <w:sz w:val="18"/>
        </w:rPr>
        <w:t xml:space="preserve">Item 8 – </w:t>
      </w:r>
      <w:r w:rsidRPr="00434BF8">
        <w:rPr>
          <w:rFonts w:asciiTheme="minorHAnsi" w:hAnsiTheme="minorHAnsi"/>
          <w:b/>
          <w:sz w:val="18"/>
        </w:rPr>
        <w:t>Management’s Discussion and Analysis</w:t>
      </w:r>
      <w:r>
        <w:rPr>
          <w:rFonts w:asciiTheme="minorHAnsi" w:hAnsiTheme="minorHAnsi"/>
          <w:b/>
          <w:sz w:val="18"/>
        </w:rPr>
        <w:t xml:space="preserve"> – </w:t>
      </w:r>
      <w:r>
        <w:rPr>
          <w:rFonts w:asciiTheme="minorHAnsi" w:hAnsiTheme="minorHAnsi"/>
          <w:sz w:val="18"/>
        </w:rPr>
        <w:t>Discusses financial statements and situations</w:t>
      </w:r>
    </w:p>
    <w:p w:rsidR="000F343E" w:rsidRPr="000F343E" w:rsidRDefault="000F343E" w:rsidP="00FF0B61">
      <w:pPr>
        <w:pStyle w:val="sub"/>
        <w:numPr>
          <w:ilvl w:val="0"/>
          <w:numId w:val="32"/>
        </w:numPr>
        <w:spacing w:before="0" w:beforeAutospacing="0" w:after="0" w:afterAutospacing="0"/>
        <w:rPr>
          <w:rFonts w:asciiTheme="minorHAnsi" w:hAnsiTheme="minorHAnsi"/>
          <w:b/>
          <w:sz w:val="18"/>
        </w:rPr>
      </w:pPr>
      <w:r w:rsidRPr="000F343E">
        <w:rPr>
          <w:rFonts w:asciiTheme="minorHAnsi" w:hAnsiTheme="minorHAnsi"/>
          <w:b/>
          <w:sz w:val="18"/>
        </w:rPr>
        <w:t xml:space="preserve">Item 21 – </w:t>
      </w:r>
      <w:r w:rsidR="00BC7795">
        <w:rPr>
          <w:rFonts w:asciiTheme="minorHAnsi" w:hAnsiTheme="minorHAnsi"/>
          <w:b/>
          <w:sz w:val="18"/>
        </w:rPr>
        <w:t>Risk Factors</w:t>
      </w:r>
      <w:r w:rsidRPr="000F343E">
        <w:rPr>
          <w:rFonts w:asciiTheme="minorHAnsi" w:hAnsiTheme="minorHAnsi"/>
          <w:b/>
          <w:sz w:val="18"/>
        </w:rPr>
        <w:t xml:space="preserve"> – </w:t>
      </w:r>
      <w:r w:rsidRPr="000F343E">
        <w:rPr>
          <w:rFonts w:asciiTheme="minorHAnsi" w:hAnsiTheme="minorHAnsi"/>
          <w:sz w:val="18"/>
        </w:rPr>
        <w:t>List of all material factors that “</w:t>
      </w:r>
      <w:r w:rsidRPr="000F343E">
        <w:rPr>
          <w:rFonts w:asciiTheme="minorHAnsi" w:hAnsiTheme="minorHAnsi"/>
          <w:b/>
          <w:sz w:val="18"/>
          <w:u w:val="single"/>
        </w:rPr>
        <w:t>a reasonable investor</w:t>
      </w:r>
      <w:r w:rsidRPr="000F343E">
        <w:rPr>
          <w:rFonts w:asciiTheme="minorHAnsi" w:hAnsiTheme="minorHAnsi"/>
          <w:sz w:val="18"/>
        </w:rPr>
        <w:t xml:space="preserve"> would consider relevant to an investment in the securities” listed in order of seriousness (21.1)</w:t>
      </w:r>
      <w:r w:rsidRPr="000F343E">
        <w:rPr>
          <w:rFonts w:asciiTheme="minorHAnsi" w:hAnsiTheme="minorHAnsi"/>
          <w:b/>
          <w:sz w:val="18"/>
        </w:rPr>
        <w:t xml:space="preserve"> </w:t>
      </w:r>
      <w:r w:rsidRPr="00406B99">
        <w:rPr>
          <w:rFonts w:asciiTheme="minorHAnsi" w:hAnsiTheme="minorHAnsi"/>
          <w:b/>
          <w:sz w:val="18"/>
        </w:rPr>
        <w:sym w:font="Wingdings" w:char="F0E0"/>
      </w:r>
      <w:r w:rsidRPr="000F343E">
        <w:rPr>
          <w:rFonts w:asciiTheme="minorHAnsi" w:hAnsiTheme="minorHAnsi"/>
          <w:b/>
          <w:sz w:val="18"/>
        </w:rPr>
        <w:t xml:space="preserve"> </w:t>
      </w:r>
      <w:r w:rsidRPr="000F343E">
        <w:rPr>
          <w:rFonts w:asciiTheme="minorHAnsi" w:hAnsiTheme="minorHAnsi"/>
          <w:sz w:val="18"/>
        </w:rPr>
        <w:t>Attracts attentions b/c explosive area for liability</w:t>
      </w:r>
    </w:p>
    <w:p w:rsidR="000F343E" w:rsidRPr="000F343E" w:rsidRDefault="000F343E" w:rsidP="00FF0B61">
      <w:pPr>
        <w:pStyle w:val="sub"/>
        <w:spacing w:before="0" w:beforeAutospacing="0" w:after="0" w:afterAutospacing="0"/>
        <w:ind w:left="720"/>
        <w:rPr>
          <w:rFonts w:asciiTheme="minorHAnsi" w:hAnsiTheme="minorHAnsi"/>
          <w:b/>
          <w:sz w:val="18"/>
        </w:rPr>
      </w:pPr>
    </w:p>
    <w:tbl>
      <w:tblPr>
        <w:tblW w:w="0" w:type="auto"/>
        <w:tblLook w:val="04A0" w:firstRow="1" w:lastRow="0" w:firstColumn="1" w:lastColumn="0" w:noHBand="0" w:noVBand="1"/>
      </w:tblPr>
      <w:tblGrid>
        <w:gridCol w:w="10188"/>
      </w:tblGrid>
      <w:tr w:rsidR="000F343E" w:rsidTr="000F343E">
        <w:tc>
          <w:tcPr>
            <w:tcW w:w="10188" w:type="dxa"/>
            <w:shd w:val="clear" w:color="auto" w:fill="F2F2F2" w:themeFill="background1" w:themeFillShade="F2"/>
          </w:tcPr>
          <w:p w:rsidR="000F343E" w:rsidRDefault="000F343E" w:rsidP="00FF0B61">
            <w:pPr>
              <w:pStyle w:val="sub"/>
              <w:spacing w:before="0" w:beforeAutospacing="0" w:after="0" w:afterAutospacing="0"/>
              <w:rPr>
                <w:rFonts w:asciiTheme="minorHAnsi" w:hAnsiTheme="minorHAnsi"/>
                <w:b/>
                <w:sz w:val="18"/>
              </w:rPr>
            </w:pPr>
            <w:r>
              <w:rPr>
                <w:rFonts w:asciiTheme="minorHAnsi" w:hAnsiTheme="minorHAnsi"/>
                <w:b/>
                <w:sz w:val="18"/>
              </w:rPr>
              <w:t>OTHERS: I</w:t>
            </w:r>
            <w:r w:rsidRPr="0011131D">
              <w:rPr>
                <w:rFonts w:asciiTheme="minorHAnsi" w:hAnsiTheme="minorHAnsi"/>
                <w:b/>
                <w:sz w:val="18"/>
              </w:rPr>
              <w:t xml:space="preserve">tem 1 – </w:t>
            </w:r>
            <w:r w:rsidRPr="0011131D">
              <w:rPr>
                <w:rFonts w:asciiTheme="minorHAnsi" w:hAnsiTheme="minorHAnsi"/>
                <w:sz w:val="18"/>
              </w:rPr>
              <w:t xml:space="preserve">Cover Page Disclosure – </w:t>
            </w:r>
            <w:r w:rsidR="00A73E0C">
              <w:rPr>
                <w:rFonts w:asciiTheme="minorHAnsi" w:hAnsiTheme="minorHAnsi"/>
                <w:sz w:val="18"/>
              </w:rPr>
              <w:t>Mu</w:t>
            </w:r>
            <w:r w:rsidR="00A73E0C" w:rsidRPr="0011131D">
              <w:rPr>
                <w:rFonts w:asciiTheme="minorHAnsi" w:hAnsiTheme="minorHAnsi"/>
                <w:sz w:val="18"/>
              </w:rPr>
              <w:t>st</w:t>
            </w:r>
            <w:r w:rsidRPr="0011131D">
              <w:rPr>
                <w:rFonts w:asciiTheme="minorHAnsi" w:hAnsiTheme="minorHAnsi"/>
                <w:sz w:val="18"/>
              </w:rPr>
              <w:t xml:space="preserve"> include specific regulatory language </w:t>
            </w:r>
            <w:r>
              <w:rPr>
                <w:rFonts w:asciiTheme="minorHAnsi" w:hAnsiTheme="minorHAnsi"/>
                <w:b/>
                <w:sz w:val="18"/>
              </w:rPr>
              <w:t xml:space="preserve">// Item 3 – </w:t>
            </w:r>
            <w:r>
              <w:rPr>
                <w:rFonts w:asciiTheme="minorHAnsi" w:hAnsiTheme="minorHAnsi"/>
                <w:sz w:val="18"/>
              </w:rPr>
              <w:t xml:space="preserve">Summary of Prospectus </w:t>
            </w:r>
            <w:r>
              <w:rPr>
                <w:rFonts w:asciiTheme="minorHAnsi" w:hAnsiTheme="minorHAnsi"/>
                <w:b/>
                <w:sz w:val="18"/>
              </w:rPr>
              <w:t xml:space="preserve">// Item 5 – </w:t>
            </w:r>
            <w:r>
              <w:rPr>
                <w:rFonts w:asciiTheme="minorHAnsi" w:hAnsiTheme="minorHAnsi"/>
                <w:sz w:val="18"/>
              </w:rPr>
              <w:t xml:space="preserve">Description of the Biz </w:t>
            </w:r>
            <w:r>
              <w:rPr>
                <w:rFonts w:asciiTheme="minorHAnsi" w:hAnsiTheme="minorHAnsi"/>
                <w:b/>
                <w:sz w:val="18"/>
              </w:rPr>
              <w:t xml:space="preserve">// Item 6 – </w:t>
            </w:r>
            <w:r>
              <w:rPr>
                <w:rFonts w:asciiTheme="minorHAnsi" w:hAnsiTheme="minorHAnsi"/>
                <w:sz w:val="18"/>
              </w:rPr>
              <w:t xml:space="preserve">Use of Proceeds </w:t>
            </w:r>
            <w:r>
              <w:rPr>
                <w:rFonts w:asciiTheme="minorHAnsi" w:hAnsiTheme="minorHAnsi"/>
                <w:b/>
                <w:sz w:val="18"/>
              </w:rPr>
              <w:t xml:space="preserve">// Item 10 – </w:t>
            </w:r>
            <w:r>
              <w:rPr>
                <w:rFonts w:asciiTheme="minorHAnsi" w:hAnsiTheme="minorHAnsi"/>
                <w:sz w:val="18"/>
              </w:rPr>
              <w:t xml:space="preserve">Descr of the Securities Distributed </w:t>
            </w:r>
            <w:r>
              <w:rPr>
                <w:rFonts w:asciiTheme="minorHAnsi" w:hAnsiTheme="minorHAnsi"/>
                <w:b/>
                <w:sz w:val="18"/>
              </w:rPr>
              <w:t xml:space="preserve">// Item 11 – </w:t>
            </w:r>
            <w:r>
              <w:rPr>
                <w:rFonts w:asciiTheme="minorHAnsi" w:hAnsiTheme="minorHAnsi"/>
                <w:sz w:val="18"/>
              </w:rPr>
              <w:t xml:space="preserve">Consolidated Capitalization </w:t>
            </w:r>
            <w:r>
              <w:rPr>
                <w:rFonts w:asciiTheme="minorHAnsi" w:hAnsiTheme="minorHAnsi"/>
                <w:b/>
                <w:sz w:val="18"/>
              </w:rPr>
              <w:t xml:space="preserve">// Item 12 – </w:t>
            </w:r>
            <w:r>
              <w:rPr>
                <w:rFonts w:asciiTheme="minorHAnsi" w:hAnsiTheme="minorHAnsi"/>
                <w:sz w:val="18"/>
              </w:rPr>
              <w:t xml:space="preserve">Options to Purchase Securities </w:t>
            </w:r>
            <w:r>
              <w:rPr>
                <w:rFonts w:asciiTheme="minorHAnsi" w:hAnsiTheme="minorHAnsi"/>
                <w:b/>
                <w:sz w:val="18"/>
              </w:rPr>
              <w:t xml:space="preserve">// Item 13 – </w:t>
            </w:r>
            <w:r>
              <w:rPr>
                <w:rFonts w:asciiTheme="minorHAnsi" w:hAnsiTheme="minorHAnsi"/>
                <w:sz w:val="18"/>
              </w:rPr>
              <w:t xml:space="preserve">Prior Sales </w:t>
            </w:r>
            <w:r>
              <w:rPr>
                <w:rFonts w:asciiTheme="minorHAnsi" w:hAnsiTheme="minorHAnsi"/>
                <w:b/>
                <w:sz w:val="18"/>
              </w:rPr>
              <w:t xml:space="preserve">// Item 15 - </w:t>
            </w:r>
            <w:r>
              <w:rPr>
                <w:rFonts w:asciiTheme="minorHAnsi" w:hAnsiTheme="minorHAnsi"/>
                <w:sz w:val="18"/>
              </w:rPr>
              <w:t xml:space="preserve"> Principal and Selling Securityholders </w:t>
            </w:r>
            <w:r>
              <w:rPr>
                <w:rFonts w:asciiTheme="minorHAnsi" w:hAnsiTheme="minorHAnsi"/>
                <w:b/>
                <w:sz w:val="18"/>
              </w:rPr>
              <w:t xml:space="preserve">// Item 16 – </w:t>
            </w:r>
            <w:r>
              <w:rPr>
                <w:rFonts w:asciiTheme="minorHAnsi" w:hAnsiTheme="minorHAnsi"/>
                <w:sz w:val="18"/>
              </w:rPr>
              <w:t xml:space="preserve">DIRs and Exec OFR’s </w:t>
            </w:r>
            <w:r>
              <w:rPr>
                <w:rFonts w:asciiTheme="minorHAnsi" w:hAnsiTheme="minorHAnsi"/>
                <w:b/>
                <w:sz w:val="18"/>
              </w:rPr>
              <w:t xml:space="preserve">// Item 17 – </w:t>
            </w:r>
            <w:r>
              <w:rPr>
                <w:rFonts w:asciiTheme="minorHAnsi" w:hAnsiTheme="minorHAnsi"/>
                <w:sz w:val="18"/>
              </w:rPr>
              <w:t xml:space="preserve">Executive Compensation </w:t>
            </w:r>
            <w:r>
              <w:rPr>
                <w:rFonts w:asciiTheme="minorHAnsi" w:hAnsiTheme="minorHAnsi"/>
                <w:b/>
                <w:sz w:val="18"/>
              </w:rPr>
              <w:t xml:space="preserve">// Item 23 – </w:t>
            </w:r>
            <w:r>
              <w:rPr>
                <w:rFonts w:asciiTheme="minorHAnsi" w:hAnsiTheme="minorHAnsi"/>
                <w:sz w:val="18"/>
              </w:rPr>
              <w:t xml:space="preserve">Legal Proceedings and Regulatory Actions </w:t>
            </w:r>
            <w:r>
              <w:rPr>
                <w:rFonts w:asciiTheme="minorHAnsi" w:hAnsiTheme="minorHAnsi"/>
                <w:b/>
                <w:sz w:val="18"/>
              </w:rPr>
              <w:t xml:space="preserve">// Item 25 – </w:t>
            </w:r>
            <w:r>
              <w:rPr>
                <w:rFonts w:asciiTheme="minorHAnsi" w:hAnsiTheme="minorHAnsi"/>
                <w:sz w:val="18"/>
              </w:rPr>
              <w:t xml:space="preserve">Relationship b/w issuer or selling Securityholder and UW </w:t>
            </w:r>
            <w:r>
              <w:rPr>
                <w:rFonts w:asciiTheme="minorHAnsi" w:hAnsiTheme="minorHAnsi"/>
                <w:b/>
                <w:sz w:val="18"/>
              </w:rPr>
              <w:t xml:space="preserve">// Item 27 – </w:t>
            </w:r>
            <w:r>
              <w:rPr>
                <w:rFonts w:asciiTheme="minorHAnsi" w:hAnsiTheme="minorHAnsi"/>
                <w:sz w:val="18"/>
              </w:rPr>
              <w:t xml:space="preserve">Material Contracts </w:t>
            </w:r>
            <w:r>
              <w:rPr>
                <w:rFonts w:asciiTheme="minorHAnsi" w:hAnsiTheme="minorHAnsi"/>
                <w:b/>
                <w:sz w:val="18"/>
              </w:rPr>
              <w:t xml:space="preserve">// Item 28 – </w:t>
            </w:r>
            <w:r>
              <w:rPr>
                <w:rFonts w:asciiTheme="minorHAnsi" w:hAnsiTheme="minorHAnsi"/>
                <w:sz w:val="18"/>
              </w:rPr>
              <w:t xml:space="preserve">Experts </w:t>
            </w:r>
            <w:r>
              <w:rPr>
                <w:rFonts w:asciiTheme="minorHAnsi" w:hAnsiTheme="minorHAnsi"/>
                <w:b/>
                <w:sz w:val="18"/>
              </w:rPr>
              <w:t xml:space="preserve">// Item 29 – </w:t>
            </w:r>
            <w:r>
              <w:rPr>
                <w:rFonts w:asciiTheme="minorHAnsi" w:hAnsiTheme="minorHAnsi"/>
                <w:sz w:val="18"/>
              </w:rPr>
              <w:t xml:space="preserve">Other material Facts </w:t>
            </w:r>
            <w:r>
              <w:rPr>
                <w:rFonts w:asciiTheme="minorHAnsi" w:hAnsiTheme="minorHAnsi"/>
                <w:b/>
                <w:sz w:val="18"/>
              </w:rPr>
              <w:t xml:space="preserve">// Item 30 – </w:t>
            </w:r>
            <w:r>
              <w:rPr>
                <w:rFonts w:asciiTheme="minorHAnsi" w:hAnsiTheme="minorHAnsi"/>
                <w:sz w:val="18"/>
              </w:rPr>
              <w:t xml:space="preserve">Rights of withdrawal and Rescission </w:t>
            </w:r>
            <w:r>
              <w:rPr>
                <w:rFonts w:asciiTheme="minorHAnsi" w:hAnsiTheme="minorHAnsi"/>
                <w:b/>
                <w:sz w:val="18"/>
              </w:rPr>
              <w:t xml:space="preserve">// Item 36A – </w:t>
            </w:r>
            <w:r>
              <w:rPr>
                <w:rFonts w:asciiTheme="minorHAnsi" w:hAnsiTheme="minorHAnsi"/>
                <w:sz w:val="18"/>
              </w:rPr>
              <w:t xml:space="preserve">Marketing Materials. </w:t>
            </w:r>
          </w:p>
        </w:tc>
      </w:tr>
    </w:tbl>
    <w:p w:rsidR="000F343E" w:rsidRPr="000F343E" w:rsidRDefault="000F343E" w:rsidP="00FF0B61">
      <w:pPr>
        <w:pStyle w:val="sub"/>
        <w:spacing w:before="0" w:beforeAutospacing="0" w:after="0" w:afterAutospacing="0"/>
        <w:rPr>
          <w:rFonts w:asciiTheme="minorHAnsi" w:hAnsiTheme="minorHAnsi"/>
          <w:b/>
          <w:sz w:val="18"/>
        </w:rPr>
      </w:pPr>
    </w:p>
    <w:p w:rsidR="00F161DA" w:rsidRDefault="00C21464" w:rsidP="00FF0B61">
      <w:pPr>
        <w:pStyle w:val="sub"/>
        <w:spacing w:before="0" w:beforeAutospacing="0" w:after="0" w:afterAutospacing="0"/>
        <w:rPr>
          <w:rFonts w:asciiTheme="minorHAnsi" w:hAnsiTheme="minorHAnsi"/>
          <w:sz w:val="18"/>
        </w:rPr>
      </w:pPr>
      <w:r>
        <w:rPr>
          <w:rFonts w:asciiTheme="minorHAnsi" w:hAnsiTheme="minorHAnsi"/>
          <w:b/>
          <w:sz w:val="18"/>
          <w:u w:val="single"/>
        </w:rPr>
        <w:t xml:space="preserve">FINANCIAL MATTERS: </w:t>
      </w:r>
      <w:r w:rsidR="00045247" w:rsidRPr="00045247">
        <w:rPr>
          <w:rFonts w:asciiTheme="minorHAnsi" w:hAnsiTheme="minorHAnsi"/>
          <w:sz w:val="18"/>
          <w:lang w:val="en-US"/>
        </w:rPr>
        <w:t xml:space="preserve">Each prospectus must file </w:t>
      </w:r>
      <w:r w:rsidR="00045247" w:rsidRPr="00045247">
        <w:rPr>
          <w:rFonts w:asciiTheme="minorHAnsi" w:hAnsiTheme="minorHAnsi"/>
          <w:b/>
          <w:sz w:val="18"/>
          <w:lang w:val="en-US"/>
        </w:rPr>
        <w:t>recent, audited financial statements</w:t>
      </w:r>
      <w:r w:rsidR="00045247" w:rsidRPr="00045247">
        <w:rPr>
          <w:rFonts w:asciiTheme="minorHAnsi" w:hAnsiTheme="minorHAnsi"/>
          <w:sz w:val="18"/>
          <w:lang w:val="en-US"/>
        </w:rPr>
        <w:t>. Must follow International Financ</w:t>
      </w:r>
      <w:r w:rsidR="00045247">
        <w:rPr>
          <w:rFonts w:asciiTheme="minorHAnsi" w:hAnsiTheme="minorHAnsi"/>
          <w:sz w:val="18"/>
          <w:lang w:val="en-US"/>
        </w:rPr>
        <w:t xml:space="preserve">ial Reporting Standards (IFRS) </w:t>
      </w:r>
      <w:r w:rsidR="00AE25E6" w:rsidRPr="00D65268">
        <w:rPr>
          <w:rFonts w:asciiTheme="minorHAnsi" w:hAnsiTheme="minorHAnsi"/>
          <w:sz w:val="18"/>
        </w:rPr>
        <w:t>(</w:t>
      </w:r>
      <w:r w:rsidR="00D65268" w:rsidRPr="00D65268">
        <w:rPr>
          <w:rFonts w:asciiTheme="minorHAnsi" w:hAnsiTheme="minorHAnsi"/>
          <w:b/>
          <w:color w:val="7030A0"/>
          <w:sz w:val="18"/>
        </w:rPr>
        <w:t xml:space="preserve">NI 41-101 </w:t>
      </w:r>
      <w:r w:rsidR="00AE25E6" w:rsidRPr="00D65268">
        <w:rPr>
          <w:rFonts w:asciiTheme="minorHAnsi" w:hAnsiTheme="minorHAnsi"/>
          <w:b/>
          <w:color w:val="7030A0"/>
          <w:sz w:val="18"/>
        </w:rPr>
        <w:t>Part 4</w:t>
      </w:r>
      <w:r w:rsidR="00AE25E6" w:rsidRPr="00D65268">
        <w:rPr>
          <w:rFonts w:asciiTheme="minorHAnsi" w:hAnsiTheme="minorHAnsi"/>
          <w:sz w:val="18"/>
        </w:rPr>
        <w:t>)</w:t>
      </w:r>
    </w:p>
    <w:p w:rsidR="00200633" w:rsidRDefault="00B076A1" w:rsidP="00FF0B61">
      <w:pPr>
        <w:pStyle w:val="sub"/>
        <w:numPr>
          <w:ilvl w:val="0"/>
          <w:numId w:val="169"/>
        </w:numPr>
        <w:spacing w:before="0" w:beforeAutospacing="0" w:after="0" w:afterAutospacing="0"/>
        <w:rPr>
          <w:rFonts w:asciiTheme="minorHAnsi" w:hAnsiTheme="minorHAnsi"/>
          <w:b/>
          <w:sz w:val="18"/>
        </w:rPr>
      </w:pPr>
      <w:r>
        <w:rPr>
          <w:rFonts w:asciiTheme="minorHAnsi" w:hAnsiTheme="minorHAnsi"/>
          <w:b/>
          <w:sz w:val="18"/>
        </w:rPr>
        <w:t>Key Items</w:t>
      </w:r>
      <w:r w:rsidR="000B2A80">
        <w:rPr>
          <w:rFonts w:asciiTheme="minorHAnsi" w:hAnsiTheme="minorHAnsi"/>
          <w:b/>
          <w:sz w:val="18"/>
        </w:rPr>
        <w:t xml:space="preserve"> (</w:t>
      </w:r>
      <w:r w:rsidR="000B2A80" w:rsidRPr="000B2A80">
        <w:rPr>
          <w:rFonts w:asciiTheme="minorHAnsi" w:hAnsiTheme="minorHAnsi"/>
          <w:b/>
          <w:color w:val="7030A0"/>
          <w:sz w:val="18"/>
        </w:rPr>
        <w:t>Form 41-101F1</w:t>
      </w:r>
      <w:r w:rsidR="000B2A80">
        <w:rPr>
          <w:rFonts w:asciiTheme="minorHAnsi" w:hAnsiTheme="minorHAnsi"/>
          <w:b/>
          <w:sz w:val="18"/>
        </w:rPr>
        <w:t>)</w:t>
      </w:r>
      <w:r>
        <w:rPr>
          <w:rFonts w:asciiTheme="minorHAnsi" w:hAnsiTheme="minorHAnsi"/>
          <w:b/>
          <w:sz w:val="18"/>
        </w:rPr>
        <w:t xml:space="preserve">: </w:t>
      </w:r>
      <w:r w:rsidR="00200633">
        <w:rPr>
          <w:rFonts w:asciiTheme="minorHAnsi" w:hAnsiTheme="minorHAnsi"/>
          <w:b/>
          <w:sz w:val="18"/>
        </w:rPr>
        <w:t>Item 32 – Financial Statement Disclosure for Issuers:</w:t>
      </w:r>
      <w:r w:rsidR="0035354A">
        <w:rPr>
          <w:rFonts w:asciiTheme="minorHAnsi" w:hAnsiTheme="minorHAnsi"/>
          <w:b/>
          <w:sz w:val="18"/>
        </w:rPr>
        <w:t xml:space="preserve"> </w:t>
      </w:r>
      <w:r w:rsidR="0035354A">
        <w:rPr>
          <w:rFonts w:asciiTheme="minorHAnsi" w:hAnsiTheme="minorHAnsi"/>
          <w:sz w:val="18"/>
        </w:rPr>
        <w:t>Annual financial statements</w:t>
      </w:r>
      <w:r w:rsidR="00CE5EAA">
        <w:rPr>
          <w:rFonts w:asciiTheme="minorHAnsi" w:hAnsiTheme="minorHAnsi"/>
          <w:sz w:val="18"/>
        </w:rPr>
        <w:t xml:space="preserve"> for past 3 financial years + </w:t>
      </w:r>
      <w:r w:rsidR="00CE5EAA" w:rsidRPr="00CE5EAA">
        <w:rPr>
          <w:rFonts w:asciiTheme="minorHAnsi" w:hAnsiTheme="minorHAnsi"/>
          <w:sz w:val="18"/>
        </w:rPr>
        <w:t>recent interim financia</w:t>
      </w:r>
      <w:r w:rsidR="00B04B76">
        <w:rPr>
          <w:rFonts w:asciiTheme="minorHAnsi" w:hAnsiTheme="minorHAnsi"/>
          <w:sz w:val="18"/>
        </w:rPr>
        <w:t xml:space="preserve">l report for most recent period </w:t>
      </w:r>
      <w:r w:rsidR="00B04B76">
        <w:rPr>
          <w:rFonts w:asciiTheme="minorHAnsi" w:hAnsiTheme="minorHAnsi"/>
          <w:b/>
          <w:sz w:val="18"/>
        </w:rPr>
        <w:t xml:space="preserve">// </w:t>
      </w:r>
      <w:r w:rsidR="00200633" w:rsidRPr="00B04B76">
        <w:rPr>
          <w:rFonts w:asciiTheme="minorHAnsi" w:hAnsiTheme="minorHAnsi"/>
          <w:b/>
          <w:sz w:val="18"/>
        </w:rPr>
        <w:t>Item 33 – Credit Supporter Disclosure</w:t>
      </w:r>
      <w:r w:rsidR="00B04B76">
        <w:rPr>
          <w:rFonts w:asciiTheme="minorHAnsi" w:hAnsiTheme="minorHAnsi"/>
          <w:b/>
          <w:sz w:val="18"/>
        </w:rPr>
        <w:t xml:space="preserve"> // </w:t>
      </w:r>
      <w:r w:rsidR="00200633" w:rsidRPr="00B04B76">
        <w:rPr>
          <w:rFonts w:asciiTheme="minorHAnsi" w:hAnsiTheme="minorHAnsi"/>
          <w:b/>
          <w:sz w:val="18"/>
        </w:rPr>
        <w:t>Item 35 – Significant Acquisitions</w:t>
      </w:r>
      <w:r w:rsidR="00B04B76">
        <w:rPr>
          <w:rFonts w:asciiTheme="minorHAnsi" w:hAnsiTheme="minorHAnsi"/>
          <w:b/>
          <w:sz w:val="18"/>
        </w:rPr>
        <w:t xml:space="preserve"> // </w:t>
      </w:r>
      <w:r w:rsidR="00200633" w:rsidRPr="00B04B76">
        <w:rPr>
          <w:rFonts w:asciiTheme="minorHAnsi" w:hAnsiTheme="minorHAnsi"/>
          <w:b/>
          <w:sz w:val="18"/>
        </w:rPr>
        <w:t>Item 36 – Probable Reverse Take-overs</w:t>
      </w:r>
      <w:r w:rsidR="004C2D8A">
        <w:rPr>
          <w:rFonts w:asciiTheme="minorHAnsi" w:hAnsiTheme="minorHAnsi"/>
          <w:b/>
          <w:sz w:val="18"/>
        </w:rPr>
        <w:t>.</w:t>
      </w:r>
    </w:p>
    <w:p w:rsidR="00C404CB" w:rsidRDefault="00C404CB" w:rsidP="00FF0B61">
      <w:pPr>
        <w:pStyle w:val="sub"/>
        <w:spacing w:before="0" w:beforeAutospacing="0" w:after="0" w:afterAutospacing="0"/>
        <w:ind w:left="720"/>
        <w:rPr>
          <w:rFonts w:asciiTheme="minorHAnsi" w:hAnsiTheme="minorHAnsi"/>
          <w:b/>
          <w:sz w:val="18"/>
        </w:rPr>
      </w:pPr>
    </w:p>
    <w:p w:rsidR="00D65268" w:rsidRPr="00D65268" w:rsidRDefault="00D65268" w:rsidP="00FF0B61">
      <w:pPr>
        <w:pStyle w:val="sub"/>
        <w:spacing w:before="0" w:beforeAutospacing="0" w:after="0" w:afterAutospacing="0"/>
        <w:rPr>
          <w:rFonts w:asciiTheme="minorHAnsi" w:hAnsiTheme="minorHAnsi"/>
          <w:b/>
          <w:sz w:val="18"/>
          <w:u w:val="single"/>
        </w:rPr>
      </w:pPr>
      <w:r w:rsidRPr="008F46F7">
        <w:rPr>
          <w:rFonts w:asciiTheme="minorHAnsi" w:hAnsiTheme="minorHAnsi"/>
          <w:b/>
          <w:sz w:val="18"/>
          <w:u w:val="single"/>
        </w:rPr>
        <w:t xml:space="preserve">CERTIFICATION REQUIREMENTS: </w:t>
      </w:r>
      <w:r w:rsidR="00526897" w:rsidRPr="008F46F7">
        <w:rPr>
          <w:rFonts w:asciiTheme="minorHAnsi" w:hAnsiTheme="minorHAnsi"/>
          <w:b/>
          <w:sz w:val="18"/>
          <w:u w:val="single"/>
        </w:rPr>
        <w:t>(</w:t>
      </w:r>
      <w:r w:rsidR="008F46F7" w:rsidRPr="008F46F7">
        <w:rPr>
          <w:rFonts w:asciiTheme="minorHAnsi" w:hAnsiTheme="minorHAnsi"/>
          <w:b/>
          <w:color w:val="7030A0"/>
          <w:sz w:val="18"/>
        </w:rPr>
        <w:t>NI 41-101 Part 5).</w:t>
      </w:r>
    </w:p>
    <w:p w:rsidR="00263B24" w:rsidRPr="002D6D2A" w:rsidRDefault="000F4E0B" w:rsidP="00FF0B61">
      <w:pPr>
        <w:pStyle w:val="sub"/>
        <w:numPr>
          <w:ilvl w:val="0"/>
          <w:numId w:val="32"/>
        </w:numPr>
        <w:spacing w:before="0" w:beforeAutospacing="0" w:after="0" w:afterAutospacing="0"/>
        <w:rPr>
          <w:rFonts w:asciiTheme="minorHAnsi" w:hAnsiTheme="minorHAnsi"/>
          <w:b/>
          <w:sz w:val="18"/>
        </w:rPr>
      </w:pPr>
      <w:r w:rsidRPr="00633FE8">
        <w:rPr>
          <w:rFonts w:asciiTheme="minorHAnsi" w:hAnsiTheme="minorHAnsi"/>
          <w:b/>
          <w:color w:val="7030A0"/>
          <w:sz w:val="18"/>
        </w:rPr>
        <w:t xml:space="preserve">5.3 </w:t>
      </w:r>
      <w:r w:rsidR="007D5ADC" w:rsidRPr="002D6D2A">
        <w:rPr>
          <w:rFonts w:asciiTheme="minorHAnsi" w:hAnsiTheme="minorHAnsi"/>
          <w:b/>
          <w:sz w:val="18"/>
        </w:rPr>
        <w:t>ISSUER</w:t>
      </w:r>
      <w:r w:rsidRPr="002D6D2A">
        <w:rPr>
          <w:rFonts w:asciiTheme="minorHAnsi" w:hAnsiTheme="minorHAnsi"/>
          <w:sz w:val="18"/>
        </w:rPr>
        <w:t xml:space="preserve"> –</w:t>
      </w:r>
      <w:r w:rsidR="002D6D2A">
        <w:rPr>
          <w:rFonts w:asciiTheme="minorHAnsi" w:hAnsiTheme="minorHAnsi"/>
          <w:sz w:val="18"/>
        </w:rPr>
        <w:t xml:space="preserve"> CEO, </w:t>
      </w:r>
      <w:r w:rsidRPr="002D6D2A">
        <w:rPr>
          <w:rFonts w:asciiTheme="minorHAnsi" w:hAnsiTheme="minorHAnsi"/>
          <w:sz w:val="18"/>
        </w:rPr>
        <w:t xml:space="preserve">CFO </w:t>
      </w:r>
      <w:r w:rsidR="002D6D2A">
        <w:rPr>
          <w:rFonts w:asciiTheme="minorHAnsi" w:hAnsiTheme="minorHAnsi"/>
          <w:sz w:val="18"/>
        </w:rPr>
        <w:t xml:space="preserve">and any 2 DIRS </w:t>
      </w:r>
      <w:r w:rsidR="00652B5C">
        <w:rPr>
          <w:rFonts w:asciiTheme="minorHAnsi" w:hAnsiTheme="minorHAnsi"/>
          <w:sz w:val="18"/>
        </w:rPr>
        <w:t>must</w:t>
      </w:r>
      <w:r w:rsidR="00263B24" w:rsidRPr="002D6D2A">
        <w:rPr>
          <w:rFonts w:asciiTheme="minorHAnsi" w:hAnsiTheme="minorHAnsi"/>
          <w:sz w:val="18"/>
        </w:rPr>
        <w:t xml:space="preserve"> certify that the “prospectus contains full, true and plain disclosure of all material facts</w:t>
      </w:r>
      <w:r w:rsidR="00263B24" w:rsidRPr="002D6D2A">
        <w:rPr>
          <w:rFonts w:asciiTheme="minorHAnsi" w:hAnsiTheme="minorHAnsi"/>
          <w:b/>
          <w:sz w:val="18"/>
        </w:rPr>
        <w:t>.”</w:t>
      </w:r>
    </w:p>
    <w:p w:rsidR="00C312E5" w:rsidRPr="00C312E5" w:rsidRDefault="00C447F2" w:rsidP="00FF0B61">
      <w:pPr>
        <w:pStyle w:val="sub"/>
        <w:numPr>
          <w:ilvl w:val="0"/>
          <w:numId w:val="32"/>
        </w:numPr>
        <w:spacing w:before="0" w:beforeAutospacing="0" w:after="0" w:afterAutospacing="0"/>
        <w:rPr>
          <w:rFonts w:asciiTheme="minorHAnsi" w:hAnsiTheme="minorHAnsi"/>
          <w:b/>
          <w:sz w:val="18"/>
        </w:rPr>
      </w:pPr>
      <w:r w:rsidRPr="00633FE8">
        <w:rPr>
          <w:rFonts w:asciiTheme="minorHAnsi" w:hAnsiTheme="minorHAnsi"/>
          <w:b/>
          <w:color w:val="7030A0"/>
          <w:sz w:val="18"/>
        </w:rPr>
        <w:t xml:space="preserve">5.9 </w:t>
      </w:r>
      <w:r w:rsidR="007D5ADC" w:rsidRPr="00B05F12">
        <w:rPr>
          <w:rFonts w:asciiTheme="minorHAnsi" w:hAnsiTheme="minorHAnsi"/>
          <w:b/>
          <w:sz w:val="18"/>
        </w:rPr>
        <w:t>UNDERWRITER</w:t>
      </w:r>
      <w:r w:rsidRPr="00B05F12">
        <w:rPr>
          <w:rFonts w:asciiTheme="minorHAnsi" w:hAnsiTheme="minorHAnsi"/>
          <w:b/>
          <w:sz w:val="18"/>
        </w:rPr>
        <w:t xml:space="preserve"> –</w:t>
      </w:r>
      <w:r w:rsidRPr="00B05F12">
        <w:rPr>
          <w:rFonts w:asciiTheme="minorHAnsi" w:hAnsiTheme="minorHAnsi"/>
          <w:sz w:val="18"/>
        </w:rPr>
        <w:t xml:space="preserve"> </w:t>
      </w:r>
      <w:r w:rsidR="00B05F12">
        <w:rPr>
          <w:rFonts w:asciiTheme="minorHAnsi" w:hAnsiTheme="minorHAnsi"/>
          <w:sz w:val="18"/>
        </w:rPr>
        <w:t xml:space="preserve">Wording of the certificate is the same, except that it is prefaced w/ “to the best of our knowledge, information and belief.” </w:t>
      </w:r>
    </w:p>
    <w:p w:rsidR="005D5F80" w:rsidRDefault="005D5F80" w:rsidP="00FF0B61">
      <w:pPr>
        <w:pStyle w:val="sub"/>
        <w:spacing w:before="0" w:beforeAutospacing="0" w:after="0" w:afterAutospacing="0"/>
        <w:rPr>
          <w:rFonts w:asciiTheme="minorHAnsi" w:hAnsiTheme="minorHAnsi"/>
          <w:sz w:val="18"/>
        </w:rPr>
      </w:pPr>
    </w:p>
    <w:p w:rsidR="00FC694E" w:rsidRPr="00302D07" w:rsidRDefault="00491CBE" w:rsidP="00FF0B61">
      <w:pPr>
        <w:pStyle w:val="sub"/>
        <w:spacing w:before="0" w:beforeAutospacing="0" w:after="0" w:afterAutospacing="0"/>
        <w:rPr>
          <w:rFonts w:asciiTheme="minorHAnsi" w:hAnsiTheme="minorHAnsi"/>
          <w:b/>
          <w:sz w:val="18"/>
        </w:rPr>
      </w:pPr>
      <w:r>
        <w:rPr>
          <w:rFonts w:asciiTheme="minorHAnsi" w:hAnsiTheme="minorHAnsi"/>
          <w:b/>
          <w:sz w:val="18"/>
          <w:u w:val="single"/>
        </w:rPr>
        <w:t>REGULATORY</w:t>
      </w:r>
      <w:r w:rsidR="009E3918" w:rsidRPr="005E1734">
        <w:rPr>
          <w:rFonts w:asciiTheme="minorHAnsi" w:hAnsiTheme="minorHAnsi"/>
          <w:b/>
          <w:sz w:val="18"/>
          <w:u w:val="single"/>
        </w:rPr>
        <w:t xml:space="preserve"> D</w:t>
      </w:r>
      <w:r w:rsidR="00302D07" w:rsidRPr="005E1734">
        <w:rPr>
          <w:rFonts w:asciiTheme="minorHAnsi" w:hAnsiTheme="minorHAnsi"/>
          <w:b/>
          <w:sz w:val="18"/>
          <w:u w:val="single"/>
        </w:rPr>
        <w:t>ISCRETION</w:t>
      </w:r>
      <w:r w:rsidR="00045EB7" w:rsidRPr="005E1734">
        <w:rPr>
          <w:rFonts w:asciiTheme="minorHAnsi" w:hAnsiTheme="minorHAnsi"/>
          <w:b/>
          <w:sz w:val="18"/>
          <w:u w:val="single"/>
        </w:rPr>
        <w:t>:</w:t>
      </w:r>
      <w:r w:rsidR="00045EB7" w:rsidRPr="005E1734">
        <w:rPr>
          <w:rFonts w:asciiTheme="minorHAnsi" w:hAnsiTheme="minorHAnsi"/>
          <w:b/>
          <w:sz w:val="18"/>
        </w:rPr>
        <w:t xml:space="preserve"> </w:t>
      </w:r>
      <w:r w:rsidR="00302D07">
        <w:rPr>
          <w:rFonts w:asciiTheme="minorHAnsi" w:hAnsiTheme="minorHAnsi"/>
          <w:sz w:val="18"/>
        </w:rPr>
        <w:t xml:space="preserve">Exec DIR holds </w:t>
      </w:r>
      <w:r w:rsidR="00302D07" w:rsidRPr="007664BC">
        <w:rPr>
          <w:rFonts w:asciiTheme="minorHAnsi" w:hAnsiTheme="minorHAnsi"/>
          <w:b/>
          <w:i/>
          <w:sz w:val="18"/>
        </w:rPr>
        <w:t>discretion to issue final receipt</w:t>
      </w:r>
      <w:r w:rsidR="00302D07">
        <w:rPr>
          <w:rFonts w:asciiTheme="minorHAnsi" w:hAnsiTheme="minorHAnsi"/>
          <w:sz w:val="18"/>
        </w:rPr>
        <w:t xml:space="preserve">, but shall </w:t>
      </w:r>
      <w:r w:rsidR="00302D07" w:rsidRPr="007664BC">
        <w:rPr>
          <w:rFonts w:asciiTheme="minorHAnsi" w:hAnsiTheme="minorHAnsi"/>
          <w:sz w:val="18"/>
          <w:u w:val="single"/>
        </w:rPr>
        <w:t xml:space="preserve">issue unless it is not in the </w:t>
      </w:r>
      <w:r w:rsidR="00302D07" w:rsidRPr="008B2E02">
        <w:rPr>
          <w:rFonts w:asciiTheme="minorHAnsi" w:hAnsiTheme="minorHAnsi"/>
          <w:b/>
          <w:i/>
          <w:sz w:val="18"/>
        </w:rPr>
        <w:t>“public interest”</w:t>
      </w:r>
      <w:r w:rsidR="00302D07">
        <w:rPr>
          <w:rFonts w:asciiTheme="minorHAnsi" w:hAnsiTheme="minorHAnsi"/>
          <w:sz w:val="18"/>
        </w:rPr>
        <w:t xml:space="preserve"> (</w:t>
      </w:r>
      <w:r w:rsidR="00781CC0">
        <w:rPr>
          <w:rFonts w:asciiTheme="minorHAnsi" w:hAnsiTheme="minorHAnsi"/>
          <w:b/>
          <w:color w:val="C45911" w:themeColor="accent2" w:themeShade="BF"/>
          <w:sz w:val="18"/>
        </w:rPr>
        <w:t>ss</w:t>
      </w:r>
      <w:r w:rsidR="00302D07" w:rsidRPr="00302D07">
        <w:rPr>
          <w:rFonts w:asciiTheme="minorHAnsi" w:hAnsiTheme="minorHAnsi"/>
          <w:b/>
          <w:color w:val="C45911" w:themeColor="accent2" w:themeShade="BF"/>
          <w:sz w:val="18"/>
        </w:rPr>
        <w:t xml:space="preserve"> 64-65</w:t>
      </w:r>
      <w:r w:rsidR="00302D07">
        <w:rPr>
          <w:rFonts w:asciiTheme="minorHAnsi" w:hAnsiTheme="minorHAnsi"/>
          <w:b/>
          <w:sz w:val="18"/>
        </w:rPr>
        <w:t xml:space="preserve">). </w:t>
      </w:r>
    </w:p>
    <w:p w:rsidR="00376C43" w:rsidRPr="00376C43" w:rsidRDefault="00376C43" w:rsidP="00FF0B61">
      <w:pPr>
        <w:pStyle w:val="para"/>
        <w:numPr>
          <w:ilvl w:val="0"/>
          <w:numId w:val="34"/>
        </w:numPr>
        <w:spacing w:before="0" w:beforeAutospacing="0" w:after="0" w:afterAutospacing="0"/>
        <w:rPr>
          <w:rFonts w:asciiTheme="minorHAnsi" w:hAnsiTheme="minorHAnsi"/>
          <w:b/>
          <w:sz w:val="18"/>
        </w:rPr>
      </w:pPr>
      <w:r w:rsidRPr="00376C43">
        <w:rPr>
          <w:rFonts w:asciiTheme="minorHAnsi" w:hAnsiTheme="minorHAnsi"/>
          <w:b/>
          <w:sz w:val="18"/>
        </w:rPr>
        <w:t>E.g. of Prejudice to P</w:t>
      </w:r>
      <w:r w:rsidR="002451AB">
        <w:rPr>
          <w:rFonts w:asciiTheme="minorHAnsi" w:hAnsiTheme="minorHAnsi"/>
          <w:b/>
          <w:sz w:val="18"/>
        </w:rPr>
        <w:t>ublic Interest (“PI”)</w:t>
      </w:r>
      <w:r w:rsidRPr="00376C43">
        <w:rPr>
          <w:rFonts w:asciiTheme="minorHAnsi" w:hAnsiTheme="minorHAnsi"/>
          <w:b/>
          <w:sz w:val="18"/>
        </w:rPr>
        <w:t xml:space="preserve">: </w:t>
      </w:r>
      <w:r w:rsidRPr="00376C43">
        <w:rPr>
          <w:rFonts w:asciiTheme="minorHAnsi" w:hAnsiTheme="minorHAnsi"/>
          <w:sz w:val="18"/>
        </w:rPr>
        <w:t xml:space="preserve">Someone </w:t>
      </w:r>
      <w:r w:rsidR="00995B83">
        <w:rPr>
          <w:rFonts w:asciiTheme="minorHAnsi" w:hAnsiTheme="minorHAnsi"/>
          <w:sz w:val="18"/>
        </w:rPr>
        <w:t xml:space="preserve">in company </w:t>
      </w:r>
      <w:r w:rsidRPr="00376C43">
        <w:rPr>
          <w:rFonts w:asciiTheme="minorHAnsi" w:hAnsiTheme="minorHAnsi"/>
          <w:sz w:val="18"/>
        </w:rPr>
        <w:t>convicted of fraud multiple times (</w:t>
      </w:r>
      <w:r w:rsidRPr="00376C43">
        <w:rPr>
          <w:rFonts w:asciiTheme="minorHAnsi" w:hAnsiTheme="minorHAnsi"/>
          <w:b/>
          <w:i/>
          <w:color w:val="1006E0"/>
          <w:sz w:val="18"/>
        </w:rPr>
        <w:t>Cycomm</w:t>
      </w:r>
      <w:r w:rsidR="00245053">
        <w:rPr>
          <w:rFonts w:asciiTheme="minorHAnsi" w:hAnsiTheme="minorHAnsi"/>
          <w:b/>
          <w:i/>
          <w:color w:val="1006E0"/>
          <w:sz w:val="18"/>
        </w:rPr>
        <w:t xml:space="preserve"> – </w:t>
      </w:r>
      <w:r w:rsidR="003621D7" w:rsidRPr="003621D7">
        <w:rPr>
          <w:rFonts w:asciiTheme="minorHAnsi" w:hAnsiTheme="minorHAnsi"/>
          <w:i/>
          <w:sz w:val="18"/>
        </w:rPr>
        <w:t xml:space="preserve">Co. </w:t>
      </w:r>
      <w:r w:rsidR="00245053">
        <w:rPr>
          <w:rFonts w:asciiTheme="minorHAnsi" w:hAnsiTheme="minorHAnsi"/>
          <w:i/>
          <w:sz w:val="18"/>
        </w:rPr>
        <w:t>OFR had poor past conduct</w:t>
      </w:r>
      <w:r w:rsidR="00DC1C4E">
        <w:rPr>
          <w:rFonts w:asciiTheme="minorHAnsi" w:hAnsiTheme="minorHAnsi"/>
          <w:i/>
          <w:sz w:val="18"/>
        </w:rPr>
        <w:t>, Sec Comm refused to issue receipt</w:t>
      </w:r>
      <w:r w:rsidRPr="00DC1C4E">
        <w:rPr>
          <w:rFonts w:asciiTheme="minorHAnsi" w:hAnsiTheme="minorHAnsi"/>
          <w:sz w:val="18"/>
        </w:rPr>
        <w:t>)</w:t>
      </w:r>
      <w:r w:rsidR="006A1288" w:rsidRPr="00DC1C4E">
        <w:rPr>
          <w:rFonts w:asciiTheme="minorHAnsi" w:hAnsiTheme="minorHAnsi"/>
          <w:sz w:val="18"/>
        </w:rPr>
        <w:t xml:space="preserve"> </w:t>
      </w:r>
      <w:r w:rsidRPr="00376C43">
        <w:rPr>
          <w:rFonts w:asciiTheme="minorHAnsi" w:hAnsiTheme="minorHAnsi"/>
          <w:b/>
          <w:sz w:val="18"/>
        </w:rPr>
        <w:t>//</w:t>
      </w:r>
      <w:r w:rsidRPr="00376C43">
        <w:rPr>
          <w:rFonts w:asciiTheme="minorHAnsi" w:hAnsiTheme="minorHAnsi"/>
          <w:sz w:val="18"/>
        </w:rPr>
        <w:t xml:space="preserve"> No biz plan (</w:t>
      </w:r>
      <w:r w:rsidRPr="00376C43">
        <w:rPr>
          <w:rFonts w:asciiTheme="minorHAnsi" w:hAnsiTheme="minorHAnsi"/>
          <w:b/>
          <w:i/>
          <w:color w:val="1006E0"/>
          <w:sz w:val="18"/>
        </w:rPr>
        <w:t>Inline</w:t>
      </w:r>
      <w:r w:rsidR="00A667FF">
        <w:rPr>
          <w:rFonts w:asciiTheme="minorHAnsi" w:hAnsiTheme="minorHAnsi"/>
          <w:b/>
          <w:i/>
          <w:color w:val="1006E0"/>
          <w:sz w:val="18"/>
        </w:rPr>
        <w:t xml:space="preserve"> – </w:t>
      </w:r>
      <w:r w:rsidR="00A667FF">
        <w:rPr>
          <w:rFonts w:asciiTheme="minorHAnsi" w:hAnsiTheme="minorHAnsi"/>
          <w:i/>
          <w:sz w:val="18"/>
        </w:rPr>
        <w:t>DIR withheld receipt</w:t>
      </w:r>
      <w:r w:rsidRPr="00376C43">
        <w:rPr>
          <w:rFonts w:asciiTheme="minorHAnsi" w:hAnsiTheme="minorHAnsi"/>
          <w:sz w:val="18"/>
        </w:rPr>
        <w:t xml:space="preserve">). </w:t>
      </w:r>
      <w:r w:rsidRPr="00DA7874">
        <w:rPr>
          <w:rFonts w:asciiTheme="minorHAnsi" w:hAnsiTheme="minorHAnsi"/>
          <w:b/>
          <w:sz w:val="18"/>
        </w:rPr>
        <w:t>BUT</w:t>
      </w:r>
      <w:r w:rsidRPr="00376C43">
        <w:rPr>
          <w:rFonts w:asciiTheme="minorHAnsi" w:hAnsiTheme="minorHAnsi"/>
          <w:sz w:val="18"/>
        </w:rPr>
        <w:t xml:space="preserve"> other than these “high threshold” issues, likely wont find </w:t>
      </w:r>
      <w:r w:rsidR="001B0570">
        <w:rPr>
          <w:rFonts w:asciiTheme="minorHAnsi" w:hAnsiTheme="minorHAnsi"/>
          <w:sz w:val="18"/>
        </w:rPr>
        <w:t xml:space="preserve">prejudice. </w:t>
      </w:r>
    </w:p>
    <w:p w:rsidR="003D003D" w:rsidRPr="004568C1" w:rsidRDefault="003D003D" w:rsidP="00FF0B61">
      <w:pPr>
        <w:pStyle w:val="para"/>
        <w:numPr>
          <w:ilvl w:val="1"/>
          <w:numId w:val="34"/>
        </w:numPr>
        <w:spacing w:before="0" w:beforeAutospacing="0" w:after="0" w:afterAutospacing="0"/>
        <w:rPr>
          <w:rFonts w:asciiTheme="minorHAnsi" w:hAnsiTheme="minorHAnsi"/>
          <w:b/>
          <w:sz w:val="18"/>
        </w:rPr>
      </w:pPr>
      <w:r w:rsidRPr="004568C1">
        <w:rPr>
          <w:rFonts w:asciiTheme="minorHAnsi" w:hAnsiTheme="minorHAnsi"/>
          <w:sz w:val="18"/>
        </w:rPr>
        <w:t>Sec Commission gets a lot of deference from the courts regarding what is in t</w:t>
      </w:r>
      <w:r w:rsidR="004568C1" w:rsidRPr="004568C1">
        <w:rPr>
          <w:rFonts w:asciiTheme="minorHAnsi" w:hAnsiTheme="minorHAnsi"/>
          <w:sz w:val="18"/>
        </w:rPr>
        <w:t xml:space="preserve">he </w:t>
      </w:r>
      <w:r w:rsidR="002451AB">
        <w:rPr>
          <w:rFonts w:asciiTheme="minorHAnsi" w:hAnsiTheme="minorHAnsi"/>
          <w:sz w:val="18"/>
        </w:rPr>
        <w:t>PI</w:t>
      </w:r>
      <w:r w:rsidR="004568C1" w:rsidRPr="004568C1">
        <w:rPr>
          <w:rFonts w:asciiTheme="minorHAnsi" w:hAnsiTheme="minorHAnsi"/>
          <w:sz w:val="18"/>
        </w:rPr>
        <w:t xml:space="preserve"> and what is no</w:t>
      </w:r>
      <w:r w:rsidRPr="004568C1">
        <w:rPr>
          <w:rFonts w:asciiTheme="minorHAnsi" w:hAnsiTheme="minorHAnsi"/>
          <w:sz w:val="18"/>
        </w:rPr>
        <w:t>t (</w:t>
      </w:r>
      <w:r w:rsidRPr="004568C1">
        <w:rPr>
          <w:rFonts w:asciiTheme="minorHAnsi" w:hAnsiTheme="minorHAnsi"/>
          <w:b/>
          <w:i/>
          <w:color w:val="1006E0"/>
          <w:sz w:val="18"/>
        </w:rPr>
        <w:t xml:space="preserve">Re </w:t>
      </w:r>
      <w:r w:rsidRPr="00376C43">
        <w:rPr>
          <w:rFonts w:asciiTheme="minorHAnsi" w:hAnsiTheme="minorHAnsi"/>
          <w:b/>
          <w:i/>
          <w:color w:val="1006E0"/>
          <w:sz w:val="18"/>
        </w:rPr>
        <w:t>Cycomm</w:t>
      </w:r>
      <w:r w:rsidRPr="004568C1">
        <w:rPr>
          <w:rFonts w:asciiTheme="minorHAnsi" w:hAnsiTheme="minorHAnsi"/>
          <w:sz w:val="18"/>
        </w:rPr>
        <w:t xml:space="preserve">) </w:t>
      </w:r>
    </w:p>
    <w:p w:rsidR="00146A00" w:rsidRPr="00E91AA0" w:rsidRDefault="003D003D" w:rsidP="00FF0B61">
      <w:pPr>
        <w:pStyle w:val="para"/>
        <w:numPr>
          <w:ilvl w:val="1"/>
          <w:numId w:val="34"/>
        </w:numPr>
        <w:spacing w:before="0" w:beforeAutospacing="0" w:after="0" w:afterAutospacing="0"/>
        <w:rPr>
          <w:rFonts w:asciiTheme="minorHAnsi" w:hAnsiTheme="minorHAnsi"/>
          <w:b/>
          <w:sz w:val="18"/>
        </w:rPr>
      </w:pPr>
      <w:r w:rsidRPr="004568C1">
        <w:rPr>
          <w:rFonts w:asciiTheme="minorHAnsi" w:hAnsiTheme="minorHAnsi"/>
          <w:sz w:val="18"/>
        </w:rPr>
        <w:t>Discretion</w:t>
      </w:r>
      <w:r w:rsidR="00EA7CD4">
        <w:rPr>
          <w:rFonts w:asciiTheme="minorHAnsi" w:hAnsiTheme="minorHAnsi"/>
          <w:sz w:val="18"/>
        </w:rPr>
        <w:t xml:space="preserve"> is</w:t>
      </w:r>
      <w:r w:rsidR="0025578F" w:rsidRPr="004568C1">
        <w:rPr>
          <w:rFonts w:asciiTheme="minorHAnsi" w:hAnsiTheme="minorHAnsi"/>
          <w:sz w:val="18"/>
        </w:rPr>
        <w:t xml:space="preserve"> not unlimited. </w:t>
      </w:r>
      <w:r w:rsidR="009B487F" w:rsidRPr="004568C1">
        <w:rPr>
          <w:rFonts w:asciiTheme="minorHAnsi" w:hAnsiTheme="minorHAnsi"/>
          <w:sz w:val="18"/>
        </w:rPr>
        <w:t xml:space="preserve">Broad discretion so long as fostering fair and efficient capital markets and protecting investors </w:t>
      </w:r>
      <w:r w:rsidR="0025578F" w:rsidRPr="004568C1">
        <w:rPr>
          <w:rFonts w:asciiTheme="minorHAnsi" w:hAnsiTheme="minorHAnsi"/>
          <w:sz w:val="18"/>
        </w:rPr>
        <w:t>(</w:t>
      </w:r>
      <w:r w:rsidR="00F44C23" w:rsidRPr="004568C1">
        <w:rPr>
          <w:rFonts w:asciiTheme="minorHAnsi" w:hAnsiTheme="minorHAnsi"/>
          <w:b/>
          <w:i/>
          <w:color w:val="1006E0"/>
          <w:sz w:val="18"/>
        </w:rPr>
        <w:t xml:space="preserve">Asbestos </w:t>
      </w:r>
      <w:r w:rsidR="00F44C23" w:rsidRPr="00035156">
        <w:rPr>
          <w:rFonts w:asciiTheme="minorHAnsi" w:hAnsiTheme="minorHAnsi"/>
          <w:b/>
          <w:i/>
          <w:color w:val="1006E0"/>
          <w:sz w:val="18"/>
        </w:rPr>
        <w:t>Minority</w:t>
      </w:r>
      <w:r w:rsidR="00F44C23" w:rsidRPr="004568C1">
        <w:rPr>
          <w:rFonts w:asciiTheme="minorHAnsi" w:hAnsiTheme="minorHAnsi"/>
          <w:b/>
          <w:i/>
          <w:color w:val="1006E0"/>
          <w:sz w:val="18"/>
        </w:rPr>
        <w:t xml:space="preserve"> Shareholders, </w:t>
      </w:r>
      <w:r w:rsidR="00F44C23" w:rsidRPr="004568C1">
        <w:rPr>
          <w:rFonts w:asciiTheme="minorHAnsi" w:hAnsiTheme="minorHAnsi"/>
          <w:b/>
          <w:color w:val="1006E0"/>
          <w:sz w:val="18"/>
        </w:rPr>
        <w:t>2001 SCC</w:t>
      </w:r>
      <w:r w:rsidR="0025578F" w:rsidRPr="004568C1">
        <w:rPr>
          <w:rFonts w:asciiTheme="minorHAnsi" w:hAnsiTheme="minorHAnsi"/>
          <w:b/>
          <w:color w:val="1006E0"/>
          <w:sz w:val="18"/>
        </w:rPr>
        <w:t>)</w:t>
      </w:r>
      <w:r w:rsidR="007C75BA" w:rsidRPr="004568C1">
        <w:rPr>
          <w:rFonts w:asciiTheme="minorHAnsi" w:hAnsiTheme="minorHAnsi"/>
          <w:b/>
          <w:color w:val="1006E0"/>
          <w:sz w:val="18"/>
        </w:rPr>
        <w:t xml:space="preserve">. </w:t>
      </w:r>
    </w:p>
    <w:p w:rsidR="00AD3BAC" w:rsidRPr="004568C1" w:rsidRDefault="00AD3BAC" w:rsidP="00FF0B61">
      <w:pPr>
        <w:pStyle w:val="Heading2"/>
        <w:spacing w:line="240" w:lineRule="auto"/>
      </w:pPr>
      <w:bookmarkStart w:id="36" w:name="_Toc468980407"/>
      <w:r w:rsidRPr="001E3A8F">
        <w:lastRenderedPageBreak/>
        <w:t>Mechanics and Stages of Prospectus</w:t>
      </w:r>
      <w:bookmarkEnd w:id="36"/>
      <w:r>
        <w:t xml:space="preserve"> </w:t>
      </w:r>
    </w:p>
    <w:p w:rsidR="00E50A1E" w:rsidRPr="00E50A1E" w:rsidRDefault="00E50A1E" w:rsidP="00FF0B61">
      <w:pPr>
        <w:spacing w:line="240" w:lineRule="auto"/>
        <w:rPr>
          <w:lang w:val="en-CA" w:eastAsia="en-CA"/>
        </w:rPr>
      </w:pPr>
      <w:r w:rsidRPr="00E50A1E">
        <w:rPr>
          <w:b/>
          <w:u w:val="single"/>
          <w:lang w:val="en-CA" w:eastAsia="en-CA"/>
        </w:rPr>
        <w:t xml:space="preserve">SEDAR: </w:t>
      </w:r>
      <w:r w:rsidRPr="00E50A1E">
        <w:rPr>
          <w:lang w:val="en-CA" w:eastAsia="en-CA"/>
        </w:rPr>
        <w:t xml:space="preserve">Almost all filing done by issuer is done electronically through SEDAR. </w:t>
      </w:r>
    </w:p>
    <w:p w:rsidR="00437607" w:rsidRPr="00BC2FBD" w:rsidRDefault="009F5D45" w:rsidP="00FF0B61">
      <w:pPr>
        <w:spacing w:line="240" w:lineRule="auto"/>
        <w:rPr>
          <w:lang w:val="en-CA" w:eastAsia="en-CA"/>
        </w:rPr>
      </w:pPr>
      <w:r>
        <w:rPr>
          <w:b/>
          <w:u w:val="single"/>
          <w:lang w:val="en-CA" w:eastAsia="en-CA"/>
        </w:rPr>
        <w:t xml:space="preserve">[1] </w:t>
      </w:r>
      <w:r w:rsidR="00410A4C" w:rsidRPr="00BC2FBD">
        <w:rPr>
          <w:b/>
          <w:u w:val="single"/>
          <w:lang w:val="en-CA" w:eastAsia="en-CA"/>
        </w:rPr>
        <w:t>PRE-MARK</w:t>
      </w:r>
      <w:r w:rsidR="0090746A" w:rsidRPr="00BC2FBD">
        <w:rPr>
          <w:b/>
          <w:u w:val="single"/>
          <w:lang w:val="en-CA" w:eastAsia="en-CA"/>
        </w:rPr>
        <w:t>ET</w:t>
      </w:r>
      <w:r w:rsidR="00410A4C" w:rsidRPr="00BC2FBD">
        <w:rPr>
          <w:b/>
          <w:u w:val="single"/>
          <w:lang w:val="en-CA" w:eastAsia="en-CA"/>
        </w:rPr>
        <w:t>ING:</w:t>
      </w:r>
      <w:r w:rsidR="00410A4C" w:rsidRPr="00BC2FBD">
        <w:rPr>
          <w:b/>
          <w:lang w:val="en-CA" w:eastAsia="en-CA"/>
        </w:rPr>
        <w:t xml:space="preserve"> </w:t>
      </w:r>
      <w:r w:rsidR="00B94142">
        <w:rPr>
          <w:lang w:val="en-CA" w:eastAsia="en-CA"/>
        </w:rPr>
        <w:t>Generally,</w:t>
      </w:r>
      <w:r w:rsidR="00D56E08">
        <w:rPr>
          <w:lang w:val="en-CA" w:eastAsia="en-CA"/>
        </w:rPr>
        <w:t xml:space="preserve"> not allowed. </w:t>
      </w:r>
      <w:r w:rsidR="00BC2FBD">
        <w:rPr>
          <w:lang w:val="en-CA" w:eastAsia="en-CA"/>
        </w:rPr>
        <w:t xml:space="preserve">Occurs when a party communicates with potential investors </w:t>
      </w:r>
      <w:r w:rsidR="00BC2FBD" w:rsidRPr="003E08E2">
        <w:rPr>
          <w:u w:val="single"/>
          <w:lang w:val="en-CA" w:eastAsia="en-CA"/>
        </w:rPr>
        <w:t>before a public offering</w:t>
      </w:r>
      <w:r w:rsidR="00BC2FBD">
        <w:rPr>
          <w:lang w:val="en-CA" w:eastAsia="en-CA"/>
        </w:rPr>
        <w:t xml:space="preserve"> and includes other promotional activity that occurs </w:t>
      </w:r>
      <w:r w:rsidR="00BC2FBD" w:rsidRPr="00DB4B1A">
        <w:rPr>
          <w:b/>
          <w:i/>
          <w:lang w:val="en-CA" w:eastAsia="en-CA"/>
        </w:rPr>
        <w:t>before a preliminary prospectus is filed</w:t>
      </w:r>
      <w:r w:rsidR="00BC2FBD">
        <w:rPr>
          <w:lang w:val="en-CA" w:eastAsia="en-CA"/>
        </w:rPr>
        <w:t xml:space="preserve">. </w:t>
      </w:r>
    </w:p>
    <w:p w:rsidR="00E70DF2" w:rsidRPr="00E70DF2" w:rsidRDefault="00E70DF2" w:rsidP="00FF0B61">
      <w:pPr>
        <w:spacing w:after="0" w:line="240" w:lineRule="auto"/>
        <w:rPr>
          <w:b/>
          <w:lang w:val="en-CA" w:eastAsia="en-CA"/>
        </w:rPr>
      </w:pPr>
      <w:r w:rsidRPr="0008263E">
        <w:rPr>
          <w:b/>
          <w:i/>
          <w:lang w:val="en-CA" w:eastAsia="en-CA"/>
        </w:rPr>
        <w:t>Exemptions</w:t>
      </w:r>
      <w:r>
        <w:rPr>
          <w:b/>
          <w:lang w:val="en-CA" w:eastAsia="en-CA"/>
        </w:rPr>
        <w:t xml:space="preserve"> (that allow for pre-marketing): </w:t>
      </w:r>
    </w:p>
    <w:p w:rsidR="006B6014" w:rsidRDefault="00B94142" w:rsidP="00FF0B61">
      <w:pPr>
        <w:pStyle w:val="ListParagraph"/>
        <w:numPr>
          <w:ilvl w:val="0"/>
          <w:numId w:val="34"/>
        </w:numPr>
        <w:spacing w:after="0"/>
        <w:rPr>
          <w:lang w:val="en-CA" w:eastAsia="en-CA"/>
        </w:rPr>
      </w:pPr>
      <w:r w:rsidRPr="006B6014">
        <w:rPr>
          <w:b/>
          <w:lang w:val="en-CA" w:eastAsia="en-CA"/>
        </w:rPr>
        <w:t>[1] Short Form Prospectus and Bought Deal Exemption</w:t>
      </w:r>
      <w:r w:rsidR="00041F30">
        <w:rPr>
          <w:b/>
          <w:lang w:val="en-CA" w:eastAsia="en-CA"/>
        </w:rPr>
        <w:t xml:space="preserve"> (</w:t>
      </w:r>
      <w:r w:rsidR="00041F30" w:rsidRPr="00041F30">
        <w:rPr>
          <w:b/>
          <w:color w:val="7030A0"/>
          <w:lang w:val="en-CA" w:eastAsia="en-CA"/>
        </w:rPr>
        <w:t>NI 41-101, Part 7</w:t>
      </w:r>
      <w:r w:rsidR="00041F30">
        <w:rPr>
          <w:b/>
          <w:lang w:val="en-CA" w:eastAsia="en-CA"/>
        </w:rPr>
        <w:t>)</w:t>
      </w:r>
      <w:r w:rsidR="00410A4C" w:rsidRPr="006B6014">
        <w:rPr>
          <w:lang w:val="en-CA" w:eastAsia="en-CA"/>
        </w:rPr>
        <w:t xml:space="preserve"> </w:t>
      </w:r>
      <w:r w:rsidR="00CD5E12">
        <w:rPr>
          <w:lang w:val="en-CA" w:eastAsia="en-CA"/>
        </w:rPr>
        <w:t>-</w:t>
      </w:r>
      <w:r w:rsidR="00410A4C" w:rsidRPr="006B6014">
        <w:rPr>
          <w:lang w:val="en-CA" w:eastAsia="en-CA"/>
        </w:rPr>
        <w:t xml:space="preserve"> If doing a short form prospectus</w:t>
      </w:r>
      <w:r w:rsidR="004C5F0A" w:rsidRPr="006B6014">
        <w:rPr>
          <w:lang w:val="en-CA" w:eastAsia="en-CA"/>
        </w:rPr>
        <w:t xml:space="preserve"> (already public co.)</w:t>
      </w:r>
      <w:r w:rsidR="00410A4C" w:rsidRPr="006B6014">
        <w:rPr>
          <w:lang w:val="en-CA" w:eastAsia="en-CA"/>
        </w:rPr>
        <w:t xml:space="preserve"> and UW doing it on a bought deal </w:t>
      </w:r>
      <w:r w:rsidR="0029683E">
        <w:rPr>
          <w:lang w:val="en-CA" w:eastAsia="en-CA"/>
        </w:rPr>
        <w:t xml:space="preserve">that is strict (cannot get out) </w:t>
      </w:r>
      <w:r w:rsidR="0029683E">
        <w:rPr>
          <w:b/>
          <w:lang w:val="en-CA" w:eastAsia="en-CA"/>
        </w:rPr>
        <w:t xml:space="preserve">// </w:t>
      </w:r>
      <w:r w:rsidR="000D10EE">
        <w:rPr>
          <w:lang w:val="en-CA" w:eastAsia="en-CA"/>
        </w:rPr>
        <w:t xml:space="preserve">Allows investment dealer to engage in road shows and provide standard term sheets and marketing materials after a bought deal as been announced but before the reporting issuer has obtained a </w:t>
      </w:r>
      <w:r w:rsidR="0029683E">
        <w:rPr>
          <w:lang w:val="en-CA" w:eastAsia="en-CA"/>
        </w:rPr>
        <w:t>recipe</w:t>
      </w:r>
      <w:r w:rsidR="000D10EE">
        <w:rPr>
          <w:lang w:val="en-CA" w:eastAsia="en-CA"/>
        </w:rPr>
        <w:t xml:space="preserve"> for the short form preliminary prospectus. </w:t>
      </w:r>
    </w:p>
    <w:p w:rsidR="006B6014" w:rsidRDefault="00B94142" w:rsidP="00FF0B61">
      <w:pPr>
        <w:pStyle w:val="ListParagraph"/>
        <w:numPr>
          <w:ilvl w:val="0"/>
          <w:numId w:val="34"/>
        </w:numPr>
        <w:spacing w:after="0"/>
        <w:rPr>
          <w:lang w:val="en-CA" w:eastAsia="en-CA"/>
        </w:rPr>
      </w:pPr>
      <w:r w:rsidRPr="006B6014">
        <w:rPr>
          <w:b/>
          <w:lang w:val="en-CA" w:eastAsia="en-CA"/>
        </w:rPr>
        <w:t>[2] Testing the Waters IPO Exemption</w:t>
      </w:r>
      <w:r w:rsidR="00D8139F">
        <w:rPr>
          <w:lang w:val="en-CA" w:eastAsia="en-CA"/>
        </w:rPr>
        <w:t xml:space="preserve"> </w:t>
      </w:r>
      <w:r w:rsidR="00D8139F" w:rsidRPr="00A12B9A">
        <w:rPr>
          <w:b/>
          <w:lang w:val="en-CA" w:eastAsia="en-CA"/>
        </w:rPr>
        <w:t>(</w:t>
      </w:r>
      <w:r w:rsidR="00D8139F" w:rsidRPr="00D8139F">
        <w:rPr>
          <w:b/>
          <w:color w:val="7030A0"/>
          <w:lang w:val="en-CA" w:eastAsia="en-CA"/>
        </w:rPr>
        <w:t>NI 41-101, s.13.4</w:t>
      </w:r>
      <w:r w:rsidR="00D8139F">
        <w:rPr>
          <w:b/>
          <w:lang w:val="en-CA" w:eastAsia="en-CA"/>
        </w:rPr>
        <w:t>)</w:t>
      </w:r>
      <w:r w:rsidR="00B9386D">
        <w:rPr>
          <w:lang w:val="en-CA" w:eastAsia="en-CA"/>
        </w:rPr>
        <w:t>: Permits p</w:t>
      </w:r>
      <w:r w:rsidR="00043899">
        <w:rPr>
          <w:lang w:val="en-CA" w:eastAsia="en-CA"/>
        </w:rPr>
        <w:t>re-mrkting of IPO deals before filing preliminary prospectus.</w:t>
      </w:r>
    </w:p>
    <w:p w:rsidR="00E2671D" w:rsidRPr="00886E4A" w:rsidRDefault="00F96753" w:rsidP="00FF0B61">
      <w:pPr>
        <w:pStyle w:val="ListParagraph"/>
        <w:numPr>
          <w:ilvl w:val="1"/>
          <w:numId w:val="34"/>
        </w:numPr>
        <w:spacing w:after="0"/>
        <w:rPr>
          <w:lang w:val="en-CA" w:eastAsia="en-CA"/>
        </w:rPr>
      </w:pPr>
      <w:r w:rsidRPr="00886E4A">
        <w:rPr>
          <w:b/>
          <w:u w:val="single"/>
          <w:lang w:val="en-CA" w:eastAsia="en-CA"/>
        </w:rPr>
        <w:t>Req’s:</w:t>
      </w:r>
      <w:r w:rsidRPr="00886E4A">
        <w:rPr>
          <w:b/>
          <w:lang w:val="en-CA" w:eastAsia="en-CA"/>
        </w:rPr>
        <w:t xml:space="preserve"> </w:t>
      </w:r>
      <w:r w:rsidR="00655A4E" w:rsidRPr="00886E4A">
        <w:rPr>
          <w:b/>
          <w:lang w:val="en-CA" w:eastAsia="en-CA"/>
        </w:rPr>
        <w:t>1)</w:t>
      </w:r>
      <w:r w:rsidR="00655A4E" w:rsidRPr="00886E4A">
        <w:rPr>
          <w:lang w:val="en-CA" w:eastAsia="en-CA"/>
        </w:rPr>
        <w:t xml:space="preserve"> Non-public issuer</w:t>
      </w:r>
      <w:r w:rsidR="00410FB8" w:rsidRPr="00886E4A">
        <w:rPr>
          <w:lang w:val="en-CA" w:eastAsia="en-CA"/>
        </w:rPr>
        <w:t xml:space="preserve"> (i.e. not a </w:t>
      </w:r>
      <w:r w:rsidR="00A8091F">
        <w:rPr>
          <w:lang w:val="en-CA" w:eastAsia="en-CA"/>
        </w:rPr>
        <w:t>RI</w:t>
      </w:r>
      <w:r w:rsidR="00410FB8" w:rsidRPr="00886E4A">
        <w:rPr>
          <w:lang w:val="en-CA" w:eastAsia="en-CA"/>
        </w:rPr>
        <w:t>)</w:t>
      </w:r>
      <w:r w:rsidR="00655A4E" w:rsidRPr="00886E4A">
        <w:rPr>
          <w:lang w:val="en-CA" w:eastAsia="en-CA"/>
        </w:rPr>
        <w:t xml:space="preserve">, </w:t>
      </w:r>
      <w:r w:rsidR="00655A4E" w:rsidRPr="00886E4A">
        <w:rPr>
          <w:b/>
          <w:lang w:val="en-CA" w:eastAsia="en-CA"/>
        </w:rPr>
        <w:t>2)</w:t>
      </w:r>
      <w:r w:rsidR="00655A4E" w:rsidRPr="00886E4A">
        <w:rPr>
          <w:lang w:val="en-CA" w:eastAsia="en-CA"/>
        </w:rPr>
        <w:t xml:space="preserve"> </w:t>
      </w:r>
      <w:r w:rsidR="00655A4E" w:rsidRPr="00A542F1">
        <w:rPr>
          <w:lang w:val="en-CA" w:eastAsia="en-CA"/>
        </w:rPr>
        <w:t xml:space="preserve">Investment </w:t>
      </w:r>
      <w:r w:rsidR="00655A4E" w:rsidRPr="000748BC">
        <w:rPr>
          <w:lang w:val="en-CA" w:eastAsia="en-CA"/>
        </w:rPr>
        <w:t xml:space="preserve">dealer </w:t>
      </w:r>
      <w:r w:rsidR="001C75A5" w:rsidRPr="000748BC">
        <w:rPr>
          <w:lang w:val="en-CA" w:eastAsia="en-CA"/>
        </w:rPr>
        <w:t>(UW)</w:t>
      </w:r>
      <w:r w:rsidR="001C75A5" w:rsidRPr="00886E4A">
        <w:rPr>
          <w:lang w:val="en-CA" w:eastAsia="en-CA"/>
        </w:rPr>
        <w:t xml:space="preserve"> </w:t>
      </w:r>
      <w:r w:rsidR="00655A4E" w:rsidRPr="00886E4A">
        <w:rPr>
          <w:lang w:val="en-CA" w:eastAsia="en-CA"/>
        </w:rPr>
        <w:t>must make the solicitation on the issuer’</w:t>
      </w:r>
      <w:r w:rsidR="000B7B5D" w:rsidRPr="00886E4A">
        <w:rPr>
          <w:lang w:val="en-CA" w:eastAsia="en-CA"/>
        </w:rPr>
        <w:t xml:space="preserve">s behalf. </w:t>
      </w:r>
    </w:p>
    <w:p w:rsidR="00B569EC" w:rsidRDefault="00B569EC" w:rsidP="00FF0B61">
      <w:pPr>
        <w:pStyle w:val="ListParagraph"/>
        <w:numPr>
          <w:ilvl w:val="1"/>
          <w:numId w:val="34"/>
        </w:numPr>
        <w:spacing w:after="0"/>
        <w:rPr>
          <w:lang w:val="en-CA" w:eastAsia="en-CA"/>
        </w:rPr>
      </w:pPr>
      <w:r w:rsidRPr="006B6014">
        <w:rPr>
          <w:b/>
          <w:i/>
          <w:lang w:val="en-CA" w:eastAsia="en-CA"/>
        </w:rPr>
        <w:t>7 Conditions</w:t>
      </w:r>
      <w:r w:rsidRPr="00C72986">
        <w:rPr>
          <w:b/>
          <w:lang w:val="en-CA" w:eastAsia="en-CA"/>
        </w:rPr>
        <w:t>: i)</w:t>
      </w:r>
      <w:r w:rsidRPr="006B6014">
        <w:rPr>
          <w:lang w:val="en-CA" w:eastAsia="en-CA"/>
        </w:rPr>
        <w:t xml:space="preserve"> Reasonable expectation</w:t>
      </w:r>
      <w:r w:rsidR="00906364" w:rsidRPr="006B6014">
        <w:rPr>
          <w:lang w:val="en-CA" w:eastAsia="en-CA"/>
        </w:rPr>
        <w:t xml:space="preserve"> of filing your prospectus in the near future</w:t>
      </w:r>
      <w:r w:rsidRPr="00C72986">
        <w:rPr>
          <w:b/>
          <w:lang w:val="en-CA" w:eastAsia="en-CA"/>
        </w:rPr>
        <w:t>, ii)</w:t>
      </w:r>
      <w:r w:rsidRPr="006B6014">
        <w:rPr>
          <w:lang w:val="en-CA" w:eastAsia="en-CA"/>
        </w:rPr>
        <w:t xml:space="preserve"> Has to be an investment deal (only UW can take advantage), </w:t>
      </w:r>
      <w:r w:rsidRPr="00C72986">
        <w:rPr>
          <w:b/>
          <w:lang w:val="en-CA" w:eastAsia="en-CA"/>
        </w:rPr>
        <w:t>iii)</w:t>
      </w:r>
      <w:r w:rsidRPr="006B6014">
        <w:rPr>
          <w:lang w:val="en-CA" w:eastAsia="en-CA"/>
        </w:rPr>
        <w:t xml:space="preserve"> None of the controlling SH’s can be already public companies, </w:t>
      </w:r>
      <w:r w:rsidRPr="00C72986">
        <w:rPr>
          <w:b/>
          <w:lang w:val="en-CA" w:eastAsia="en-CA"/>
        </w:rPr>
        <w:t>iv</w:t>
      </w:r>
      <w:r w:rsidRPr="00610D53">
        <w:rPr>
          <w:b/>
          <w:lang w:val="en-CA" w:eastAsia="en-CA"/>
        </w:rPr>
        <w:t>)</w:t>
      </w:r>
      <w:r w:rsidRPr="006B6014">
        <w:rPr>
          <w:lang w:val="en-CA" w:eastAsia="en-CA"/>
        </w:rPr>
        <w:t xml:space="preserve"> </w:t>
      </w:r>
      <w:r w:rsidR="00094B00" w:rsidRPr="006B6014">
        <w:rPr>
          <w:lang w:val="en-CA" w:eastAsia="en-CA"/>
        </w:rPr>
        <w:t>Only talk to accredited investors</w:t>
      </w:r>
      <w:r w:rsidR="00094B00" w:rsidRPr="00C72986">
        <w:rPr>
          <w:b/>
          <w:lang w:val="en-CA" w:eastAsia="en-CA"/>
        </w:rPr>
        <w:t>, v)</w:t>
      </w:r>
      <w:r w:rsidR="00094B00" w:rsidRPr="006B6014">
        <w:rPr>
          <w:lang w:val="en-CA" w:eastAsia="en-CA"/>
        </w:rPr>
        <w:t xml:space="preserve"> </w:t>
      </w:r>
      <w:r w:rsidR="006D70B2" w:rsidRPr="006B6014">
        <w:rPr>
          <w:lang w:val="en-CA" w:eastAsia="en-CA"/>
        </w:rPr>
        <w:t xml:space="preserve">note on materials that not prospectus, </w:t>
      </w:r>
      <w:r w:rsidR="006D70B2" w:rsidRPr="00C72986">
        <w:rPr>
          <w:b/>
          <w:lang w:val="en-CA" w:eastAsia="en-CA"/>
        </w:rPr>
        <w:t>vi</w:t>
      </w:r>
      <w:r w:rsidR="006D70B2" w:rsidRPr="00610D53">
        <w:rPr>
          <w:b/>
          <w:lang w:val="en-CA" w:eastAsia="en-CA"/>
        </w:rPr>
        <w:t>)</w:t>
      </w:r>
      <w:r w:rsidR="006D70B2" w:rsidRPr="006B6014">
        <w:rPr>
          <w:lang w:val="en-CA" w:eastAsia="en-CA"/>
        </w:rPr>
        <w:t xml:space="preserve"> Anyone talked to has to sign a confidentiality document, </w:t>
      </w:r>
      <w:r w:rsidR="006D70B2" w:rsidRPr="00C72986">
        <w:rPr>
          <w:b/>
          <w:lang w:val="en-CA" w:eastAsia="en-CA"/>
        </w:rPr>
        <w:t>vii)</w:t>
      </w:r>
      <w:r w:rsidR="006D70B2" w:rsidRPr="006B6014">
        <w:rPr>
          <w:lang w:val="en-CA" w:eastAsia="en-CA"/>
        </w:rPr>
        <w:t xml:space="preserve"> Have to </w:t>
      </w:r>
      <w:r w:rsidR="006D70B2" w:rsidRPr="0080568B">
        <w:rPr>
          <w:u w:val="single"/>
          <w:lang w:val="en-CA" w:eastAsia="en-CA"/>
        </w:rPr>
        <w:t>stop testing</w:t>
      </w:r>
      <w:r w:rsidR="006D70B2" w:rsidRPr="006B6014">
        <w:rPr>
          <w:lang w:val="en-CA" w:eastAsia="en-CA"/>
        </w:rPr>
        <w:t xml:space="preserve"> at </w:t>
      </w:r>
      <w:r w:rsidR="006D70B2" w:rsidRPr="0080568B">
        <w:rPr>
          <w:b/>
          <w:i/>
          <w:lang w:val="en-CA" w:eastAsia="en-CA"/>
        </w:rPr>
        <w:t>least 15 days befo</w:t>
      </w:r>
      <w:r w:rsidR="00211263" w:rsidRPr="0080568B">
        <w:rPr>
          <w:b/>
          <w:i/>
          <w:lang w:val="en-CA" w:eastAsia="en-CA"/>
        </w:rPr>
        <w:t>re filing preliminary prospectus</w:t>
      </w:r>
      <w:r w:rsidR="00211263">
        <w:rPr>
          <w:lang w:val="en-CA" w:eastAsia="en-CA"/>
        </w:rPr>
        <w:t xml:space="preserve">. </w:t>
      </w:r>
    </w:p>
    <w:p w:rsidR="00321083" w:rsidRDefault="00321083" w:rsidP="00FF0B61">
      <w:pPr>
        <w:spacing w:after="0" w:line="240" w:lineRule="auto"/>
        <w:rPr>
          <w:lang w:val="en-CA" w:eastAsia="en-CA"/>
        </w:rPr>
      </w:pPr>
    </w:p>
    <w:p w:rsidR="00321083" w:rsidRPr="00321083" w:rsidRDefault="009F5D45" w:rsidP="00FF0B61">
      <w:pPr>
        <w:spacing w:after="0" w:line="240" w:lineRule="auto"/>
        <w:rPr>
          <w:b/>
          <w:u w:val="single"/>
          <w:lang w:val="en-CA" w:eastAsia="en-CA"/>
        </w:rPr>
      </w:pPr>
      <w:r w:rsidRPr="009A6608">
        <w:rPr>
          <w:b/>
          <w:u w:val="single"/>
          <w:lang w:val="en-CA" w:eastAsia="en-CA"/>
        </w:rPr>
        <w:t xml:space="preserve">[2] </w:t>
      </w:r>
      <w:r w:rsidR="00321083" w:rsidRPr="009A6608">
        <w:rPr>
          <w:b/>
          <w:u w:val="single"/>
          <w:lang w:val="en-CA" w:eastAsia="en-CA"/>
        </w:rPr>
        <w:t xml:space="preserve">PRELIMINARY </w:t>
      </w:r>
      <w:r w:rsidR="00F33AA3" w:rsidRPr="009A6608">
        <w:rPr>
          <w:b/>
          <w:u w:val="single"/>
          <w:lang w:val="en-CA" w:eastAsia="en-CA"/>
        </w:rPr>
        <w:t>PROSPECTUS</w:t>
      </w:r>
      <w:r w:rsidR="00321083" w:rsidRPr="009A6608">
        <w:rPr>
          <w:b/>
          <w:u w:val="single"/>
          <w:lang w:val="en-CA" w:eastAsia="en-CA"/>
        </w:rPr>
        <w:t>:</w:t>
      </w:r>
      <w:r w:rsidR="00C80E60" w:rsidRPr="009A6608">
        <w:rPr>
          <w:lang w:val="en-CA" w:eastAsia="en-CA"/>
        </w:rPr>
        <w:t xml:space="preserve"> </w:t>
      </w:r>
      <w:r w:rsidR="0051335C" w:rsidRPr="0051335C">
        <w:rPr>
          <w:lang w:val="en-CA" w:eastAsia="en-CA"/>
        </w:rPr>
        <w:t>Contains all the information that will be in a final prospectus, except price and other related manners. You will receive</w:t>
      </w:r>
      <w:r w:rsidR="00A232A0">
        <w:rPr>
          <w:lang w:val="en-CA" w:eastAsia="en-CA"/>
        </w:rPr>
        <w:t xml:space="preserve"> feedback from the Principal regulator </w:t>
      </w:r>
      <w:r w:rsidR="0051335C" w:rsidRPr="0051335C">
        <w:rPr>
          <w:lang w:val="en-CA" w:eastAsia="en-CA"/>
        </w:rPr>
        <w:t>with comments</w:t>
      </w:r>
      <w:r w:rsidR="000748BC">
        <w:rPr>
          <w:lang w:val="en-CA" w:eastAsia="en-CA"/>
        </w:rPr>
        <w:t xml:space="preserve"> (in 10 days)</w:t>
      </w:r>
      <w:r w:rsidR="0051335C" w:rsidRPr="0051335C">
        <w:rPr>
          <w:lang w:val="en-CA" w:eastAsia="en-CA"/>
        </w:rPr>
        <w:t>. You might then get a preliminary receipt.</w:t>
      </w:r>
    </w:p>
    <w:p w:rsidR="000B4F83" w:rsidRPr="005B05F1" w:rsidRDefault="00CE296C" w:rsidP="00FF0B61">
      <w:pPr>
        <w:spacing w:after="0" w:line="240" w:lineRule="auto"/>
        <w:rPr>
          <w:lang w:val="en-CA" w:eastAsia="en-CA"/>
        </w:rPr>
      </w:pPr>
      <w:r>
        <w:rPr>
          <w:b/>
          <w:lang w:val="en-CA" w:eastAsia="en-CA"/>
        </w:rPr>
        <w:t xml:space="preserve">(a) </w:t>
      </w:r>
      <w:r w:rsidR="000B4F83" w:rsidRPr="005B05F1">
        <w:rPr>
          <w:b/>
          <w:i/>
          <w:lang w:val="en-CA" w:eastAsia="en-CA"/>
        </w:rPr>
        <w:t>Waiting period</w:t>
      </w:r>
      <w:r w:rsidR="0090746A" w:rsidRPr="005B05F1">
        <w:rPr>
          <w:b/>
          <w:lang w:val="en-CA" w:eastAsia="en-CA"/>
        </w:rPr>
        <w:t xml:space="preserve">: </w:t>
      </w:r>
      <w:r w:rsidR="00DE6CF6" w:rsidRPr="005B05F1">
        <w:rPr>
          <w:lang w:val="en-CA" w:eastAsia="en-CA"/>
        </w:rPr>
        <w:t xml:space="preserve">Time b/w when the issuer receives a receipt for its preliminary prospectus and when it receives its receipt for its final prospectus. </w:t>
      </w:r>
      <w:r w:rsidR="00EE249F" w:rsidRPr="005B05F1">
        <w:rPr>
          <w:lang w:val="en-CA" w:eastAsia="en-CA"/>
        </w:rPr>
        <w:t xml:space="preserve"> </w:t>
      </w:r>
      <w:r w:rsidR="00FB7D6F" w:rsidRPr="003120AC">
        <w:t xml:space="preserve">During waiting period, there will be </w:t>
      </w:r>
      <w:r w:rsidR="00FB7D6F" w:rsidRPr="005B05F1">
        <w:rPr>
          <w:u w:val="single"/>
        </w:rPr>
        <w:t>no sale or any acceptance of an offer</w:t>
      </w:r>
      <w:r w:rsidR="00FB7D6F" w:rsidRPr="003120AC">
        <w:t xml:space="preserve"> to buy securities</w:t>
      </w:r>
      <w:r w:rsidR="00FB7D6F">
        <w:t xml:space="preserve">. </w:t>
      </w:r>
    </w:p>
    <w:p w:rsidR="00EE249F" w:rsidRPr="004E5EC0" w:rsidRDefault="006944F8" w:rsidP="00FF0B61">
      <w:pPr>
        <w:pStyle w:val="ListParagraph"/>
        <w:numPr>
          <w:ilvl w:val="0"/>
          <w:numId w:val="39"/>
        </w:numPr>
        <w:spacing w:after="0"/>
        <w:rPr>
          <w:lang w:val="en-CA" w:eastAsia="en-CA"/>
        </w:rPr>
      </w:pPr>
      <w:r w:rsidRPr="006944F8">
        <w:rPr>
          <w:b/>
          <w:lang w:val="en-CA" w:eastAsia="en-CA"/>
        </w:rPr>
        <w:t>BUT</w:t>
      </w:r>
      <w:r>
        <w:rPr>
          <w:lang w:val="en-CA" w:eastAsia="en-CA"/>
        </w:rPr>
        <w:t xml:space="preserve"> </w:t>
      </w:r>
      <w:r w:rsidRPr="006944F8">
        <w:rPr>
          <w:lang w:val="en-CA" w:eastAsia="en-CA"/>
        </w:rPr>
        <w:sym w:font="Wingdings" w:char="F0E0"/>
      </w:r>
      <w:r w:rsidRPr="006944F8">
        <w:rPr>
          <w:lang w:val="en-CA" w:eastAsia="en-CA"/>
        </w:rPr>
        <w:t xml:space="preserve"> A dealer of an </w:t>
      </w:r>
      <w:r w:rsidRPr="000748BC">
        <w:rPr>
          <w:lang w:val="en-CA" w:eastAsia="en-CA"/>
        </w:rPr>
        <w:t>issuer</w:t>
      </w:r>
      <w:r w:rsidR="008961AA" w:rsidRPr="000748BC">
        <w:rPr>
          <w:lang w:val="en-CA" w:eastAsia="en-CA"/>
        </w:rPr>
        <w:t xml:space="preserve"> (UW)</w:t>
      </w:r>
      <w:r w:rsidRPr="000748BC">
        <w:rPr>
          <w:lang w:val="en-CA" w:eastAsia="en-CA"/>
        </w:rPr>
        <w:t xml:space="preserve"> may</w:t>
      </w:r>
      <w:r w:rsidRPr="006944F8">
        <w:rPr>
          <w:lang w:val="en-CA" w:eastAsia="en-CA"/>
        </w:rPr>
        <w:t xml:space="preserve"> </w:t>
      </w:r>
      <w:r w:rsidRPr="006944F8">
        <w:rPr>
          <w:b/>
          <w:lang w:val="en-CA" w:eastAsia="en-CA"/>
        </w:rPr>
        <w:t>(a)</w:t>
      </w:r>
      <w:r>
        <w:rPr>
          <w:lang w:val="en-CA" w:eastAsia="en-CA"/>
        </w:rPr>
        <w:t xml:space="preserve"> </w:t>
      </w:r>
      <w:r w:rsidRPr="006944F8">
        <w:rPr>
          <w:lang w:val="en-CA" w:eastAsia="en-CA"/>
        </w:rPr>
        <w:t xml:space="preserve">Communicate with a person by </w:t>
      </w:r>
      <w:r w:rsidR="00567B06">
        <w:rPr>
          <w:lang w:val="en-CA" w:eastAsia="en-CA"/>
        </w:rPr>
        <w:t xml:space="preserve">IDing </w:t>
      </w:r>
      <w:r w:rsidRPr="006944F8">
        <w:rPr>
          <w:lang w:val="en-CA" w:eastAsia="en-CA"/>
        </w:rPr>
        <w:t>the secur</w:t>
      </w:r>
      <w:r w:rsidR="000B5EB0">
        <w:rPr>
          <w:lang w:val="en-CA" w:eastAsia="en-CA"/>
        </w:rPr>
        <w:t xml:space="preserve">ity proposed to be distributed </w:t>
      </w:r>
      <w:r w:rsidRPr="006944F8">
        <w:rPr>
          <w:lang w:val="en-CA" w:eastAsia="en-CA"/>
        </w:rPr>
        <w:t xml:space="preserve">stating the price, the name and address of a person from whom purchases may be made, </w:t>
      </w:r>
      <w:r w:rsidRPr="006944F8">
        <w:rPr>
          <w:b/>
          <w:lang w:val="en-CA" w:eastAsia="en-CA"/>
        </w:rPr>
        <w:t>(b)</w:t>
      </w:r>
      <w:r>
        <w:rPr>
          <w:lang w:val="en-CA" w:eastAsia="en-CA"/>
        </w:rPr>
        <w:t xml:space="preserve"> </w:t>
      </w:r>
      <w:r w:rsidRPr="006944F8">
        <w:rPr>
          <w:lang w:val="en-CA" w:eastAsia="en-CA"/>
        </w:rPr>
        <w:t xml:space="preserve">Give out Preliminary Prospectus, </w:t>
      </w:r>
      <w:r w:rsidRPr="006944F8">
        <w:rPr>
          <w:b/>
          <w:lang w:val="en-CA" w:eastAsia="en-CA"/>
        </w:rPr>
        <w:t>(c)</w:t>
      </w:r>
      <w:r>
        <w:rPr>
          <w:lang w:val="en-CA" w:eastAsia="en-CA"/>
        </w:rPr>
        <w:t xml:space="preserve"> </w:t>
      </w:r>
      <w:r w:rsidRPr="006944F8">
        <w:rPr>
          <w:b/>
          <w:i/>
          <w:lang w:val="en-CA" w:eastAsia="en-CA"/>
        </w:rPr>
        <w:t>Solicit expressions of interest</w:t>
      </w:r>
      <w:r w:rsidR="009F1C88">
        <w:rPr>
          <w:b/>
          <w:lang w:val="en-CA" w:eastAsia="en-CA"/>
        </w:rPr>
        <w:t xml:space="preserve"> </w:t>
      </w:r>
      <w:r w:rsidRPr="006944F8">
        <w:rPr>
          <w:b/>
          <w:color w:val="C45911" w:themeColor="accent2" w:themeShade="BF"/>
          <w:lang w:val="en-CA" w:eastAsia="en-CA"/>
        </w:rPr>
        <w:t>(BSCA 78</w:t>
      </w:r>
      <w:r w:rsidR="00E5447F">
        <w:rPr>
          <w:b/>
          <w:color w:val="C45911" w:themeColor="accent2" w:themeShade="BF"/>
          <w:lang w:val="en-CA" w:eastAsia="en-CA"/>
        </w:rPr>
        <w:t>(2)</w:t>
      </w:r>
      <w:r w:rsidRPr="006944F8">
        <w:rPr>
          <w:b/>
          <w:color w:val="C45911" w:themeColor="accent2" w:themeShade="BF"/>
          <w:lang w:val="en-CA" w:eastAsia="en-CA"/>
        </w:rPr>
        <w:t>)</w:t>
      </w:r>
    </w:p>
    <w:p w:rsidR="004E5EC0" w:rsidRPr="005F295B" w:rsidRDefault="004E5EC0" w:rsidP="00FF0B61">
      <w:pPr>
        <w:pStyle w:val="ListParagraph"/>
        <w:numPr>
          <w:ilvl w:val="1"/>
          <w:numId w:val="39"/>
        </w:numPr>
        <w:spacing w:after="0"/>
        <w:rPr>
          <w:lang w:val="en-CA" w:eastAsia="en-CA"/>
        </w:rPr>
      </w:pPr>
      <w:r w:rsidRPr="005F295B">
        <w:rPr>
          <w:b/>
          <w:lang w:val="en-CA" w:eastAsia="en-CA"/>
        </w:rPr>
        <w:t xml:space="preserve">While securities </w:t>
      </w:r>
      <w:r w:rsidRPr="005F295B">
        <w:rPr>
          <w:b/>
          <w:u w:val="single"/>
          <w:lang w:val="en-CA" w:eastAsia="en-CA"/>
        </w:rPr>
        <w:t xml:space="preserve">cannot </w:t>
      </w:r>
      <w:r w:rsidRPr="005F295B">
        <w:rPr>
          <w:b/>
          <w:lang w:val="en-CA" w:eastAsia="en-CA"/>
        </w:rPr>
        <w:t xml:space="preserve">be sold at this time the investment dealer (UW) can solicit intentions to buy (subscriptions) from potential investors. </w:t>
      </w:r>
    </w:p>
    <w:p w:rsidR="001C7C3B" w:rsidRPr="001C7C3B" w:rsidRDefault="00FC782A" w:rsidP="00FF0B61">
      <w:pPr>
        <w:pStyle w:val="ListParagraph"/>
        <w:numPr>
          <w:ilvl w:val="0"/>
          <w:numId w:val="39"/>
        </w:numPr>
        <w:spacing w:after="0"/>
        <w:rPr>
          <w:lang w:val="en-CA" w:eastAsia="en-CA"/>
        </w:rPr>
      </w:pPr>
      <w:r>
        <w:rPr>
          <w:b/>
          <w:lang w:val="en-CA" w:eastAsia="en-CA"/>
        </w:rPr>
        <w:t xml:space="preserve">CEASE TRADE ORDER: </w:t>
      </w:r>
      <w:r w:rsidR="001C7C3B">
        <w:rPr>
          <w:lang w:val="en-CA" w:eastAsia="en-CA"/>
        </w:rPr>
        <w:t>If the exec DIR</w:t>
      </w:r>
      <w:r w:rsidR="001C7C3B" w:rsidRPr="001C7C3B">
        <w:rPr>
          <w:lang w:val="en-CA" w:eastAsia="en-CA"/>
        </w:rPr>
        <w:t xml:space="preserve"> considers that a preliminary prospectus does not sub</w:t>
      </w:r>
      <w:r w:rsidR="003A25D3">
        <w:rPr>
          <w:lang w:val="en-CA" w:eastAsia="en-CA"/>
        </w:rPr>
        <w:t>stantially comply with s.63, Exec DIR</w:t>
      </w:r>
      <w:r w:rsidR="001C7C3B" w:rsidRPr="001C7C3B">
        <w:rPr>
          <w:lang w:val="en-CA" w:eastAsia="en-CA"/>
        </w:rPr>
        <w:t xml:space="preserve"> may, without giving notice, order that trading be ceased</w:t>
      </w:r>
      <w:r>
        <w:rPr>
          <w:b/>
          <w:lang w:val="en-CA" w:eastAsia="en-CA"/>
        </w:rPr>
        <w:t xml:space="preserve"> (</w:t>
      </w:r>
      <w:r w:rsidRPr="00FC782A">
        <w:rPr>
          <w:b/>
          <w:color w:val="C45911" w:themeColor="accent2" w:themeShade="BF"/>
          <w:lang w:val="en-CA" w:eastAsia="en-CA"/>
        </w:rPr>
        <w:t>BCSA 81</w:t>
      </w:r>
      <w:r>
        <w:rPr>
          <w:b/>
          <w:lang w:val="en-CA" w:eastAsia="en-CA"/>
        </w:rPr>
        <w:t xml:space="preserve">). </w:t>
      </w:r>
    </w:p>
    <w:p w:rsidR="000B4124" w:rsidRPr="005E6AAC" w:rsidRDefault="000B4124" w:rsidP="00FF0B61">
      <w:pPr>
        <w:pStyle w:val="ListParagraph"/>
        <w:numPr>
          <w:ilvl w:val="0"/>
          <w:numId w:val="39"/>
        </w:numPr>
        <w:spacing w:after="0"/>
        <w:rPr>
          <w:lang w:val="en-CA" w:eastAsia="en-CA"/>
        </w:rPr>
      </w:pPr>
      <w:r w:rsidRPr="00630561">
        <w:rPr>
          <w:b/>
          <w:lang w:val="en-CA" w:eastAsia="en-CA"/>
        </w:rPr>
        <w:t xml:space="preserve">Info Investment Dealers can distribute at this time: </w:t>
      </w:r>
      <w:r w:rsidR="00323B14" w:rsidRPr="00630561">
        <w:rPr>
          <w:lang w:val="en-CA" w:eastAsia="en-CA"/>
        </w:rPr>
        <w:t>During the waiting period, road shows</w:t>
      </w:r>
      <w:r w:rsidR="00E815B3" w:rsidRPr="00630561">
        <w:rPr>
          <w:lang w:val="en-CA" w:eastAsia="en-CA"/>
        </w:rPr>
        <w:t xml:space="preserve"> (presentations to potential investors)</w:t>
      </w:r>
      <w:r w:rsidR="00323B14" w:rsidRPr="00630561">
        <w:rPr>
          <w:lang w:val="en-CA" w:eastAsia="en-CA"/>
        </w:rPr>
        <w:t xml:space="preserve"> (</w:t>
      </w:r>
      <w:r w:rsidR="00323B14" w:rsidRPr="00630561">
        <w:rPr>
          <w:b/>
          <w:color w:val="7030A0"/>
          <w:lang w:val="en-CA" w:eastAsia="en-CA"/>
        </w:rPr>
        <w:t>NI 41-101</w:t>
      </w:r>
      <w:r w:rsidR="005E6AAC" w:rsidRPr="00630561">
        <w:rPr>
          <w:b/>
          <w:color w:val="7030A0"/>
          <w:lang w:val="en-CA" w:eastAsia="en-CA"/>
        </w:rPr>
        <w:t>, s</w:t>
      </w:r>
      <w:r w:rsidR="00323B14" w:rsidRPr="00630561">
        <w:rPr>
          <w:b/>
          <w:color w:val="7030A0"/>
          <w:lang w:val="en-CA" w:eastAsia="en-CA"/>
        </w:rPr>
        <w:t xml:space="preserve"> 13.9</w:t>
      </w:r>
      <w:r w:rsidR="00323B14" w:rsidRPr="00630561">
        <w:rPr>
          <w:lang w:val="en-CA" w:eastAsia="en-CA"/>
        </w:rPr>
        <w:t>), Green Sheets</w:t>
      </w:r>
      <w:r w:rsidR="00334B2B" w:rsidRPr="00630561">
        <w:rPr>
          <w:lang w:val="en-CA" w:eastAsia="en-CA"/>
        </w:rPr>
        <w:t xml:space="preserve"> (10 pg long summaries, not intended for public but for investment dealer reps)</w:t>
      </w:r>
      <w:r w:rsidR="00323B14" w:rsidRPr="00630561">
        <w:rPr>
          <w:lang w:val="en-CA" w:eastAsia="en-CA"/>
        </w:rPr>
        <w:t xml:space="preserve">, and other marketing materials are permitted, but must correlate to </w:t>
      </w:r>
      <w:r w:rsidR="00323B14" w:rsidRPr="00630561">
        <w:rPr>
          <w:b/>
          <w:color w:val="7030A0"/>
          <w:lang w:val="en-CA" w:eastAsia="en-CA"/>
        </w:rPr>
        <w:t>NI 41-101</w:t>
      </w:r>
      <w:r w:rsidR="00220953" w:rsidRPr="00630561">
        <w:rPr>
          <w:b/>
          <w:color w:val="7030A0"/>
          <w:lang w:val="en-CA" w:eastAsia="en-CA"/>
        </w:rPr>
        <w:t>, s</w:t>
      </w:r>
      <w:r w:rsidR="00323B14" w:rsidRPr="00630561">
        <w:rPr>
          <w:b/>
          <w:color w:val="7030A0"/>
          <w:lang w:val="en-CA" w:eastAsia="en-CA"/>
        </w:rPr>
        <w:t xml:space="preserve"> 13.7</w:t>
      </w:r>
      <w:r w:rsidR="005474B7" w:rsidRPr="00630561">
        <w:rPr>
          <w:lang w:val="en-CA" w:eastAsia="en-CA"/>
        </w:rPr>
        <w:t xml:space="preserve">: </w:t>
      </w:r>
      <w:r w:rsidR="00323B14" w:rsidRPr="00630561">
        <w:rPr>
          <w:lang w:val="en-CA" w:eastAsia="en-CA"/>
        </w:rPr>
        <w:t xml:space="preserve">Under </w:t>
      </w:r>
      <w:r w:rsidR="00323B14" w:rsidRPr="00630561">
        <w:rPr>
          <w:b/>
          <w:color w:val="7030A0"/>
          <w:lang w:val="en-CA" w:eastAsia="en-CA"/>
        </w:rPr>
        <w:t xml:space="preserve">(b), </w:t>
      </w:r>
      <w:r w:rsidR="00323B14" w:rsidRPr="00630561">
        <w:rPr>
          <w:lang w:val="en-CA" w:eastAsia="en-CA"/>
        </w:rPr>
        <w:t xml:space="preserve">all information distributed must be disclosed in or </w:t>
      </w:r>
      <w:r w:rsidR="00323B14" w:rsidRPr="00630561">
        <w:rPr>
          <w:u w:val="single"/>
          <w:lang w:val="en-CA" w:eastAsia="en-CA"/>
        </w:rPr>
        <w:t>derived from the preliminary prospectus</w:t>
      </w:r>
      <w:r w:rsidR="005474B7" w:rsidRPr="00630561">
        <w:rPr>
          <w:lang w:val="en-CA" w:eastAsia="en-CA"/>
        </w:rPr>
        <w:t>,</w:t>
      </w:r>
      <w:r w:rsidR="00323B14" w:rsidRPr="00630561">
        <w:rPr>
          <w:lang w:val="en-CA" w:eastAsia="en-CA"/>
        </w:rPr>
        <w:t xml:space="preserve"> </w:t>
      </w:r>
      <w:r w:rsidR="00323B14" w:rsidRPr="00630561">
        <w:rPr>
          <w:b/>
          <w:color w:val="7030A0"/>
          <w:lang w:val="en-CA" w:eastAsia="en-CA"/>
        </w:rPr>
        <w:t xml:space="preserve">(c) </w:t>
      </w:r>
      <w:r w:rsidR="00323B14" w:rsidRPr="00630561">
        <w:rPr>
          <w:lang w:val="en-CA" w:eastAsia="en-CA"/>
        </w:rPr>
        <w:t>Cautionary language provided for in the preliminary prospectus must be highli</w:t>
      </w:r>
      <w:r w:rsidR="005474B7" w:rsidRPr="00630561">
        <w:rPr>
          <w:lang w:val="en-CA" w:eastAsia="en-CA"/>
        </w:rPr>
        <w:t>ghted in any marketing material,</w:t>
      </w:r>
      <w:r w:rsidR="00323B14" w:rsidRPr="00630561">
        <w:rPr>
          <w:lang w:val="en-CA" w:eastAsia="en-CA"/>
        </w:rPr>
        <w:t xml:space="preserve"> </w:t>
      </w:r>
      <w:r w:rsidR="00323B14" w:rsidRPr="00630561">
        <w:rPr>
          <w:b/>
          <w:color w:val="7030A0"/>
          <w:lang w:val="en-CA" w:eastAsia="en-CA"/>
        </w:rPr>
        <w:t xml:space="preserve">(g) </w:t>
      </w:r>
      <w:r w:rsidR="00323B14" w:rsidRPr="00630561">
        <w:rPr>
          <w:lang w:val="en-CA" w:eastAsia="en-CA"/>
        </w:rPr>
        <w:t>Investment</w:t>
      </w:r>
      <w:r w:rsidR="00323B14" w:rsidRPr="005E6AAC">
        <w:rPr>
          <w:lang w:val="en-CA" w:eastAsia="en-CA"/>
        </w:rPr>
        <w:t xml:space="preserve"> dealer must provide a copy of the preliminary prospectus</w:t>
      </w:r>
      <w:r w:rsidR="006E4E6D">
        <w:rPr>
          <w:lang w:val="en-CA" w:eastAsia="en-CA"/>
        </w:rPr>
        <w:t xml:space="preserve">. </w:t>
      </w:r>
    </w:p>
    <w:p w:rsidR="00233AD8" w:rsidRPr="00580FBD" w:rsidRDefault="00A3112A" w:rsidP="00FF0B61">
      <w:pPr>
        <w:pStyle w:val="sub"/>
        <w:spacing w:before="0" w:beforeAutospacing="0" w:after="0" w:afterAutospacing="0"/>
        <w:rPr>
          <w:rFonts w:asciiTheme="minorHAnsi" w:hAnsiTheme="minorHAnsi"/>
          <w:sz w:val="18"/>
        </w:rPr>
      </w:pPr>
      <w:r>
        <w:rPr>
          <w:rFonts w:asciiTheme="minorHAnsi" w:hAnsiTheme="minorHAnsi"/>
          <w:b/>
          <w:sz w:val="18"/>
        </w:rPr>
        <w:t xml:space="preserve">(b) </w:t>
      </w:r>
      <w:r w:rsidR="00D66BDF" w:rsidRPr="00D66BDF">
        <w:rPr>
          <w:rFonts w:asciiTheme="minorHAnsi" w:hAnsiTheme="minorHAnsi"/>
          <w:b/>
          <w:i/>
          <w:sz w:val="18"/>
        </w:rPr>
        <w:t xml:space="preserve">Quiet </w:t>
      </w:r>
      <w:r w:rsidR="00D66BDF" w:rsidRPr="00493D5F">
        <w:rPr>
          <w:rFonts w:asciiTheme="minorHAnsi" w:hAnsiTheme="minorHAnsi"/>
          <w:b/>
          <w:i/>
          <w:sz w:val="18"/>
        </w:rPr>
        <w:t>period</w:t>
      </w:r>
      <w:r w:rsidR="00233AD8" w:rsidRPr="00493D5F">
        <w:rPr>
          <w:rFonts w:asciiTheme="minorHAnsi" w:hAnsiTheme="minorHAnsi"/>
          <w:b/>
          <w:sz w:val="18"/>
        </w:rPr>
        <w:t xml:space="preserve">: </w:t>
      </w:r>
      <w:r w:rsidR="00233AD8" w:rsidRPr="00493D5F">
        <w:rPr>
          <w:rFonts w:asciiTheme="minorHAnsi" w:hAnsiTheme="minorHAnsi"/>
          <w:sz w:val="18"/>
        </w:rPr>
        <w:t>From</w:t>
      </w:r>
      <w:r w:rsidR="00AF3B5F">
        <w:rPr>
          <w:rFonts w:asciiTheme="minorHAnsi" w:hAnsiTheme="minorHAnsi"/>
          <w:sz w:val="18"/>
        </w:rPr>
        <w:t xml:space="preserve"> time of deal with UW</w:t>
      </w:r>
      <w:r w:rsidR="00233AD8">
        <w:rPr>
          <w:rFonts w:asciiTheme="minorHAnsi" w:hAnsiTheme="minorHAnsi"/>
          <w:sz w:val="18"/>
        </w:rPr>
        <w:t xml:space="preserve"> until the final prospectus </w:t>
      </w:r>
      <w:r w:rsidR="003B5736">
        <w:rPr>
          <w:rFonts w:asciiTheme="minorHAnsi" w:hAnsiTheme="minorHAnsi"/>
          <w:sz w:val="18"/>
        </w:rPr>
        <w:t>receipt</w:t>
      </w:r>
      <w:r w:rsidR="00233AD8">
        <w:rPr>
          <w:rFonts w:asciiTheme="minorHAnsi" w:hAnsiTheme="minorHAnsi"/>
          <w:sz w:val="18"/>
        </w:rPr>
        <w:t xml:space="preserve">, trying to keep information locked down (not a legal term just a practical point). </w:t>
      </w:r>
    </w:p>
    <w:p w:rsidR="003B30B5" w:rsidRPr="009B0630" w:rsidRDefault="0068528B" w:rsidP="00FF0B61">
      <w:pPr>
        <w:spacing w:after="0" w:line="240" w:lineRule="auto"/>
        <w:rPr>
          <w:b/>
          <w:lang w:val="en-CA" w:eastAsia="en-CA"/>
        </w:rPr>
      </w:pPr>
      <w:r w:rsidRPr="003A1394">
        <w:rPr>
          <w:b/>
          <w:lang w:val="en-CA" w:eastAsia="en-CA"/>
        </w:rPr>
        <w:t xml:space="preserve">(c) </w:t>
      </w:r>
      <w:r w:rsidR="00D66BDF" w:rsidRPr="003A1394">
        <w:rPr>
          <w:b/>
          <w:i/>
          <w:lang w:val="en-CA" w:eastAsia="en-CA"/>
        </w:rPr>
        <w:t xml:space="preserve">Amendment to </w:t>
      </w:r>
      <w:r w:rsidRPr="003A1394">
        <w:rPr>
          <w:b/>
          <w:i/>
          <w:lang w:val="en-CA" w:eastAsia="en-CA"/>
        </w:rPr>
        <w:t>Preliminary P</w:t>
      </w:r>
      <w:r w:rsidR="00D66BDF" w:rsidRPr="003A1394">
        <w:rPr>
          <w:b/>
          <w:i/>
          <w:lang w:val="en-CA" w:eastAsia="en-CA"/>
        </w:rPr>
        <w:t>rosp</w:t>
      </w:r>
      <w:r w:rsidR="007D668F" w:rsidRPr="003A1394">
        <w:rPr>
          <w:b/>
          <w:i/>
          <w:lang w:val="en-CA" w:eastAsia="en-CA"/>
        </w:rPr>
        <w:t>ectus</w:t>
      </w:r>
      <w:r w:rsidR="003B30B5" w:rsidRPr="003A1394">
        <w:rPr>
          <w:b/>
          <w:lang w:val="en-CA" w:eastAsia="en-CA"/>
        </w:rPr>
        <w:t>:</w:t>
      </w:r>
      <w:r w:rsidR="00BC191E">
        <w:rPr>
          <w:b/>
          <w:lang w:val="en-CA" w:eastAsia="en-CA"/>
        </w:rPr>
        <w:t xml:space="preserve"> </w:t>
      </w:r>
      <w:r w:rsidR="000407E3" w:rsidRPr="009B0630">
        <w:rPr>
          <w:b/>
          <w:color w:val="7030A0"/>
          <w:lang w:val="en-CA" w:eastAsia="en-CA"/>
        </w:rPr>
        <w:t>NI 41-101 (s.6.5)</w:t>
      </w:r>
      <w:r w:rsidR="000407E3" w:rsidRPr="009B0630">
        <w:rPr>
          <w:color w:val="7030A0"/>
          <w:lang w:val="en-CA" w:eastAsia="en-CA"/>
        </w:rPr>
        <w:t xml:space="preserve"> </w:t>
      </w:r>
      <w:r w:rsidR="000407E3" w:rsidRPr="009B0630">
        <w:rPr>
          <w:lang w:val="en-CA" w:eastAsia="en-CA"/>
        </w:rPr>
        <w:t xml:space="preserve">– </w:t>
      </w:r>
      <w:r w:rsidR="003754AF" w:rsidRPr="009B0630">
        <w:rPr>
          <w:lang w:val="en-CA" w:eastAsia="en-CA"/>
        </w:rPr>
        <w:t>Amendment to preliminary prospectus</w:t>
      </w:r>
      <w:r w:rsidR="00F22DD9" w:rsidRPr="009B0630">
        <w:rPr>
          <w:lang w:val="en-CA" w:eastAsia="en-CA"/>
        </w:rPr>
        <w:t xml:space="preserve"> </w:t>
      </w:r>
      <w:r w:rsidR="00BC191E">
        <w:rPr>
          <w:lang w:val="en-CA" w:eastAsia="en-CA"/>
        </w:rPr>
        <w:t xml:space="preserve">must be filed </w:t>
      </w:r>
      <w:r w:rsidR="00F22DD9" w:rsidRPr="009B0630">
        <w:rPr>
          <w:lang w:val="en-CA" w:eastAsia="en-CA"/>
        </w:rPr>
        <w:t xml:space="preserve">during waiting period if there is a </w:t>
      </w:r>
      <w:r w:rsidR="001B5D1D" w:rsidRPr="009B0630">
        <w:rPr>
          <w:b/>
          <w:i/>
          <w:lang w:val="en-CA" w:eastAsia="en-CA"/>
        </w:rPr>
        <w:t xml:space="preserve">material </w:t>
      </w:r>
      <w:r w:rsidR="001B5D1D" w:rsidRPr="009B0630">
        <w:rPr>
          <w:b/>
          <w:i/>
          <w:u w:val="single"/>
          <w:lang w:val="en-CA" w:eastAsia="en-CA"/>
        </w:rPr>
        <w:t xml:space="preserve">adverse </w:t>
      </w:r>
      <w:r w:rsidR="001B5D1D" w:rsidRPr="009B0630">
        <w:rPr>
          <w:b/>
          <w:i/>
          <w:lang w:val="en-CA" w:eastAsia="en-CA"/>
        </w:rPr>
        <w:t>change</w:t>
      </w:r>
      <w:r w:rsidR="009B0630" w:rsidRPr="009B0630">
        <w:rPr>
          <w:b/>
          <w:i/>
          <w:lang w:val="en-CA" w:eastAsia="en-CA"/>
        </w:rPr>
        <w:t xml:space="preserve"> </w:t>
      </w:r>
      <w:r w:rsidR="009B0630" w:rsidRPr="009B0630">
        <w:rPr>
          <w:b/>
          <w:lang w:val="en-CA" w:eastAsia="en-CA"/>
        </w:rPr>
        <w:t xml:space="preserve">(i.e. </w:t>
      </w:r>
      <w:r w:rsidR="009B0630" w:rsidRPr="009B0630">
        <w:rPr>
          <w:lang w:val="en-CA" w:eastAsia="en-CA"/>
        </w:rPr>
        <w:t>only have to disclose “bad” facts; not good news which can be included in final prospectus)</w:t>
      </w:r>
      <w:r w:rsidR="00C07916" w:rsidRPr="009B0630">
        <w:rPr>
          <w:i/>
          <w:lang w:val="en-CA" w:eastAsia="en-CA"/>
        </w:rPr>
        <w:t xml:space="preserve">. </w:t>
      </w:r>
      <w:r w:rsidR="00501C6D">
        <w:t xml:space="preserve">Must </w:t>
      </w:r>
      <w:r w:rsidR="003A1394" w:rsidRPr="009B0630">
        <w:rPr>
          <w:b/>
          <w:i/>
        </w:rPr>
        <w:t>be filed as soon as practicable</w:t>
      </w:r>
      <w:r w:rsidR="003A1394">
        <w:t>, but in any event within 10 days after the day the change occurs</w:t>
      </w:r>
    </w:p>
    <w:p w:rsidR="00B55371" w:rsidRDefault="00B55371" w:rsidP="00FF0B61">
      <w:pPr>
        <w:spacing w:after="0" w:line="240" w:lineRule="auto"/>
        <w:rPr>
          <w:b/>
          <w:u w:val="single"/>
          <w:lang w:val="en-CA" w:eastAsia="en-CA"/>
        </w:rPr>
      </w:pPr>
    </w:p>
    <w:p w:rsidR="007F1571" w:rsidRPr="00F04A68" w:rsidRDefault="009F5D45" w:rsidP="00FF0B61">
      <w:pPr>
        <w:spacing w:after="0" w:line="240" w:lineRule="auto"/>
        <w:rPr>
          <w:lang w:val="en-CA" w:eastAsia="en-CA"/>
        </w:rPr>
      </w:pPr>
      <w:r w:rsidRPr="00040D54">
        <w:rPr>
          <w:b/>
          <w:u w:val="single"/>
          <w:lang w:val="en-CA" w:eastAsia="en-CA"/>
        </w:rPr>
        <w:t xml:space="preserve">[3] </w:t>
      </w:r>
      <w:r w:rsidR="007F1571" w:rsidRPr="00040D54">
        <w:rPr>
          <w:b/>
          <w:u w:val="single"/>
          <w:lang w:val="en-CA" w:eastAsia="en-CA"/>
        </w:rPr>
        <w:t>FINAL PROSPECTUS</w:t>
      </w:r>
      <w:r w:rsidR="00904F56">
        <w:rPr>
          <w:b/>
          <w:u w:val="single"/>
          <w:lang w:val="en-CA" w:eastAsia="en-CA"/>
        </w:rPr>
        <w:t xml:space="preserve"> (Regulatory +</w:t>
      </w:r>
      <w:r w:rsidR="002E68D0" w:rsidRPr="00040D54">
        <w:rPr>
          <w:b/>
          <w:u w:val="single"/>
          <w:lang w:val="en-CA" w:eastAsia="en-CA"/>
        </w:rPr>
        <w:t xml:space="preserve"> Civil Liability Attach to this Doc)</w:t>
      </w:r>
      <w:r w:rsidR="00F7238D">
        <w:rPr>
          <w:b/>
          <w:u w:val="single"/>
          <w:lang w:val="en-CA" w:eastAsia="en-CA"/>
        </w:rPr>
        <w:t xml:space="preserve"> (</w:t>
      </w:r>
      <w:r w:rsidR="00F7238D" w:rsidRPr="00F7238D">
        <w:rPr>
          <w:b/>
          <w:color w:val="7030A0"/>
          <w:u w:val="single"/>
          <w:lang w:val="en-CA" w:eastAsia="en-CA"/>
        </w:rPr>
        <w:t>NI 41-101 9.2</w:t>
      </w:r>
      <w:r w:rsidR="00F7238D">
        <w:rPr>
          <w:b/>
          <w:u w:val="single"/>
          <w:lang w:val="en-CA" w:eastAsia="en-CA"/>
        </w:rPr>
        <w:t>)</w:t>
      </w:r>
      <w:r w:rsidR="00F04A68" w:rsidRPr="00040D54">
        <w:rPr>
          <w:lang w:val="en-CA" w:eastAsia="en-CA"/>
        </w:rPr>
        <w:t xml:space="preserve"> Revamped</w:t>
      </w:r>
      <w:r w:rsidR="00F04A68">
        <w:rPr>
          <w:lang w:val="en-CA" w:eastAsia="en-CA"/>
        </w:rPr>
        <w:t xml:space="preserve"> and approved version of the preliminary prospectus. </w:t>
      </w:r>
      <w:r w:rsidR="001A1DAF">
        <w:rPr>
          <w:lang w:val="en-CA" w:eastAsia="en-CA"/>
        </w:rPr>
        <w:t>Sales and offers to buy are based on it. Issuers must submit a “blacklined” copy of prospectus when s</w:t>
      </w:r>
      <w:r w:rsidR="001F170C">
        <w:rPr>
          <w:lang w:val="en-CA" w:eastAsia="en-CA"/>
        </w:rPr>
        <w:t xml:space="preserve">ubmitting the final prospectus (shows all the changes made). </w:t>
      </w:r>
    </w:p>
    <w:p w:rsidR="008B64ED" w:rsidRPr="008B64ED" w:rsidRDefault="008B64ED" w:rsidP="00FF0B61">
      <w:pPr>
        <w:pStyle w:val="ListParagraph"/>
        <w:numPr>
          <w:ilvl w:val="0"/>
          <w:numId w:val="40"/>
        </w:numPr>
        <w:spacing w:after="0"/>
        <w:rPr>
          <w:lang w:val="en-CA" w:eastAsia="en-CA"/>
        </w:rPr>
      </w:pPr>
      <w:r>
        <w:rPr>
          <w:b/>
          <w:lang w:val="en-CA" w:eastAsia="en-CA"/>
        </w:rPr>
        <w:t>MATERIAL GIVEN ON DISTRIBUTION</w:t>
      </w:r>
      <w:r w:rsidR="003F731C">
        <w:rPr>
          <w:b/>
          <w:lang w:val="en-CA" w:eastAsia="en-CA"/>
        </w:rPr>
        <w:t xml:space="preserve"> (</w:t>
      </w:r>
      <w:r w:rsidR="003F731C">
        <w:rPr>
          <w:lang w:val="en-CA" w:eastAsia="en-CA"/>
        </w:rPr>
        <w:t>From date of receipt for final prospectus</w:t>
      </w:r>
      <w:r w:rsidR="003F731C" w:rsidRPr="008E7E45">
        <w:rPr>
          <w:b/>
          <w:lang w:val="en-CA" w:eastAsia="en-CA"/>
        </w:rPr>
        <w:t>)</w:t>
      </w:r>
      <w:r w:rsidR="003F731C">
        <w:rPr>
          <w:b/>
          <w:lang w:val="en-CA" w:eastAsia="en-CA"/>
        </w:rPr>
        <w:t>:</w:t>
      </w:r>
      <w:r w:rsidR="003F731C">
        <w:rPr>
          <w:lang w:val="en-CA" w:eastAsia="en-CA"/>
        </w:rPr>
        <w:t xml:space="preserve"> </w:t>
      </w:r>
      <w:r w:rsidR="00A84C0A">
        <w:rPr>
          <w:lang w:val="en-CA" w:eastAsia="en-CA"/>
        </w:rPr>
        <w:t xml:space="preserve">Person distributing security may give out </w:t>
      </w:r>
      <w:r w:rsidR="004A237D" w:rsidRPr="004A237D">
        <w:rPr>
          <w:b/>
          <w:lang w:val="en-CA" w:eastAsia="en-CA"/>
        </w:rPr>
        <w:t>(a)</w:t>
      </w:r>
      <w:r w:rsidR="004A237D">
        <w:rPr>
          <w:lang w:val="en-CA" w:eastAsia="en-CA"/>
        </w:rPr>
        <w:t xml:space="preserve"> </w:t>
      </w:r>
      <w:r w:rsidR="004A237D" w:rsidRPr="004A237D">
        <w:rPr>
          <w:lang w:val="en-CA" w:eastAsia="en-CA"/>
        </w:rPr>
        <w:t>Prospectus</w:t>
      </w:r>
      <w:r w:rsidR="004A237D" w:rsidRPr="004A237D">
        <w:rPr>
          <w:b/>
          <w:lang w:val="en-CA" w:eastAsia="en-CA"/>
        </w:rPr>
        <w:t>, (b)</w:t>
      </w:r>
      <w:r w:rsidR="004A237D">
        <w:rPr>
          <w:lang w:val="en-CA" w:eastAsia="en-CA"/>
        </w:rPr>
        <w:t xml:space="preserve"> </w:t>
      </w:r>
      <w:r w:rsidR="004A237D" w:rsidRPr="004A237D">
        <w:rPr>
          <w:lang w:val="en-CA" w:eastAsia="en-CA"/>
        </w:rPr>
        <w:t xml:space="preserve">any record filed with or referred to in the prospectus, </w:t>
      </w:r>
      <w:r w:rsidR="004A237D" w:rsidRPr="004A237D">
        <w:rPr>
          <w:b/>
          <w:lang w:val="en-CA" w:eastAsia="en-CA"/>
        </w:rPr>
        <w:t>(c)</w:t>
      </w:r>
      <w:r w:rsidR="004A237D">
        <w:rPr>
          <w:lang w:val="en-CA" w:eastAsia="en-CA"/>
        </w:rPr>
        <w:t xml:space="preserve"> </w:t>
      </w:r>
      <w:r w:rsidR="004A237D" w:rsidRPr="004A237D">
        <w:rPr>
          <w:lang w:val="en-CA" w:eastAsia="en-CA"/>
        </w:rPr>
        <w:t>any materials in s.78(2</w:t>
      </w:r>
      <w:r w:rsidR="004A237D">
        <w:rPr>
          <w:b/>
          <w:lang w:val="en-CA" w:eastAsia="en-CA"/>
        </w:rPr>
        <w:t>) (</w:t>
      </w:r>
      <w:r w:rsidR="004A237D" w:rsidRPr="00DC1B7B">
        <w:rPr>
          <w:b/>
          <w:color w:val="C45911" w:themeColor="accent2" w:themeShade="BF"/>
          <w:lang w:val="en-CA" w:eastAsia="en-CA"/>
        </w:rPr>
        <w:t>BCSA 82</w:t>
      </w:r>
      <w:r w:rsidR="004A237D">
        <w:rPr>
          <w:b/>
          <w:lang w:val="en-CA" w:eastAsia="en-CA"/>
        </w:rPr>
        <w:t>)</w:t>
      </w:r>
    </w:p>
    <w:p w:rsidR="00844BBB" w:rsidRDefault="008B64ED" w:rsidP="00FF0B61">
      <w:pPr>
        <w:pStyle w:val="ListParagraph"/>
        <w:numPr>
          <w:ilvl w:val="0"/>
          <w:numId w:val="40"/>
        </w:numPr>
        <w:spacing w:after="0"/>
        <w:rPr>
          <w:lang w:val="en-CA" w:eastAsia="en-CA"/>
        </w:rPr>
      </w:pPr>
      <w:r w:rsidRPr="00FB2FEC">
        <w:rPr>
          <w:b/>
          <w:lang w:val="en-CA" w:eastAsia="en-CA"/>
        </w:rPr>
        <w:t>OBLIGATION TO SEND PROSPECTUS</w:t>
      </w:r>
      <w:r w:rsidR="00727A94">
        <w:rPr>
          <w:b/>
          <w:lang w:val="en-CA" w:eastAsia="en-CA"/>
        </w:rPr>
        <w:t xml:space="preserve"> ON ORDER TO PURCHASE</w:t>
      </w:r>
      <w:r w:rsidR="004A237D" w:rsidRPr="00FB2FEC">
        <w:rPr>
          <w:b/>
          <w:lang w:val="en-CA" w:eastAsia="en-CA"/>
        </w:rPr>
        <w:t xml:space="preserve">: </w:t>
      </w:r>
      <w:r w:rsidR="00546A27">
        <w:rPr>
          <w:lang w:val="en-CA" w:eastAsia="en-CA"/>
        </w:rPr>
        <w:t xml:space="preserve">To </w:t>
      </w:r>
      <w:r w:rsidR="00727A94">
        <w:rPr>
          <w:lang w:val="en-CA" w:eastAsia="en-CA"/>
        </w:rPr>
        <w:t>perspective</w:t>
      </w:r>
      <w:r w:rsidR="00546A27">
        <w:rPr>
          <w:lang w:val="en-CA" w:eastAsia="en-CA"/>
        </w:rPr>
        <w:t xml:space="preserve"> purchaser either before entering the purchase agreement or w/in 2 business days </w:t>
      </w:r>
      <w:r w:rsidR="00FB2FEC" w:rsidRPr="00FB2FEC">
        <w:rPr>
          <w:lang w:val="en-CA" w:eastAsia="en-CA"/>
        </w:rPr>
        <w:t>(</w:t>
      </w:r>
      <w:r w:rsidR="00697884" w:rsidRPr="00697884">
        <w:rPr>
          <w:b/>
          <w:color w:val="C45911" w:themeColor="accent2" w:themeShade="BF"/>
          <w:lang w:val="en-CA" w:eastAsia="en-CA"/>
        </w:rPr>
        <w:t>BCSA</w:t>
      </w:r>
      <w:r w:rsidR="00697884">
        <w:rPr>
          <w:b/>
          <w:lang w:val="en-CA" w:eastAsia="en-CA"/>
        </w:rPr>
        <w:t xml:space="preserve"> </w:t>
      </w:r>
      <w:r w:rsidR="00FB2FEC" w:rsidRPr="005330F7">
        <w:rPr>
          <w:b/>
          <w:color w:val="C45911" w:themeColor="accent2" w:themeShade="BF"/>
          <w:lang w:val="en-CA" w:eastAsia="en-CA"/>
        </w:rPr>
        <w:t>83(1)</w:t>
      </w:r>
      <w:r w:rsidR="00FB2FEC" w:rsidRPr="00FB2FEC">
        <w:rPr>
          <w:b/>
          <w:lang w:val="en-CA" w:eastAsia="en-CA"/>
        </w:rPr>
        <w:t>)</w:t>
      </w:r>
      <w:r w:rsidR="004A237D" w:rsidRPr="00FB2FEC">
        <w:rPr>
          <w:lang w:val="en-CA" w:eastAsia="en-CA"/>
        </w:rPr>
        <w:t xml:space="preserve">  </w:t>
      </w:r>
    </w:p>
    <w:p w:rsidR="00AE57FF" w:rsidRDefault="00FB2FEC" w:rsidP="00FF0B61">
      <w:pPr>
        <w:pStyle w:val="ListParagraph"/>
        <w:numPr>
          <w:ilvl w:val="1"/>
          <w:numId w:val="40"/>
        </w:numPr>
        <w:spacing w:after="0"/>
        <w:rPr>
          <w:lang w:val="en-CA" w:eastAsia="en-CA"/>
        </w:rPr>
      </w:pPr>
      <w:r w:rsidRPr="00844BBB">
        <w:rPr>
          <w:b/>
          <w:lang w:val="en-CA" w:eastAsia="en-CA"/>
        </w:rPr>
        <w:t xml:space="preserve">COOLING OFF PERIOD: </w:t>
      </w:r>
      <w:r w:rsidR="002E49D0">
        <w:t>Purchaser has</w:t>
      </w:r>
      <w:r w:rsidR="00336912" w:rsidRPr="003120AC">
        <w:t xml:space="preserve"> 2 business days to allow a cooling off period so they can decide if they</w:t>
      </w:r>
      <w:r w:rsidR="00336912">
        <w:t xml:space="preserve"> want to withdraw from buying </w:t>
      </w:r>
      <w:r w:rsidR="00AE57FF" w:rsidRPr="00844BBB">
        <w:rPr>
          <w:lang w:val="en-CA" w:eastAsia="en-CA"/>
        </w:rPr>
        <w:t>(for 2 days you can get ou</w:t>
      </w:r>
      <w:r w:rsidRPr="00844BBB">
        <w:rPr>
          <w:lang w:val="en-CA" w:eastAsia="en-CA"/>
        </w:rPr>
        <w:t xml:space="preserve">t of the deal with no penalties) </w:t>
      </w:r>
      <w:r w:rsidR="00AE57FF" w:rsidRPr="00844BBB">
        <w:rPr>
          <w:lang w:val="en-CA" w:eastAsia="en-CA"/>
        </w:rPr>
        <w:t>(</w:t>
      </w:r>
      <w:r w:rsidR="00AE57FF" w:rsidRPr="00844BBB">
        <w:rPr>
          <w:b/>
          <w:color w:val="C45911" w:themeColor="accent2" w:themeShade="BF"/>
          <w:lang w:val="en-CA" w:eastAsia="en-CA"/>
        </w:rPr>
        <w:t>BCSA 83(3)</w:t>
      </w:r>
      <w:r w:rsidR="00AE57FF" w:rsidRPr="00844BBB">
        <w:rPr>
          <w:lang w:val="en-CA" w:eastAsia="en-CA"/>
        </w:rPr>
        <w:t xml:space="preserve">). </w:t>
      </w:r>
    </w:p>
    <w:p w:rsidR="000D44D8" w:rsidRDefault="000D44D8" w:rsidP="00FF0B61">
      <w:pPr>
        <w:pStyle w:val="ListParagraph"/>
        <w:numPr>
          <w:ilvl w:val="0"/>
          <w:numId w:val="40"/>
        </w:numPr>
        <w:spacing w:after="0"/>
        <w:rPr>
          <w:lang w:val="en-CA" w:eastAsia="en-CA"/>
        </w:rPr>
      </w:pPr>
      <w:r>
        <w:rPr>
          <w:b/>
          <w:lang w:val="en-CA" w:eastAsia="en-CA"/>
        </w:rPr>
        <w:t>COMMISSION AND ED HAVE THE ABILITY TO ISSUE EXEMPTION (</w:t>
      </w:r>
      <w:r w:rsidRPr="000D44D8">
        <w:rPr>
          <w:b/>
          <w:color w:val="C45911" w:themeColor="accent2" w:themeShade="BF"/>
          <w:lang w:val="en-CA" w:eastAsia="en-CA"/>
        </w:rPr>
        <w:t>BCSA 84</w:t>
      </w:r>
      <w:r>
        <w:rPr>
          <w:b/>
          <w:lang w:val="en-CA" w:eastAsia="en-CA"/>
        </w:rPr>
        <w:t>)</w:t>
      </w:r>
    </w:p>
    <w:p w:rsidR="00A561CA" w:rsidRPr="00F51022" w:rsidRDefault="00F51022" w:rsidP="00FF0B61">
      <w:pPr>
        <w:spacing w:after="0" w:line="240" w:lineRule="auto"/>
        <w:rPr>
          <w:b/>
          <w:u w:val="single"/>
          <w:lang w:val="en-CA" w:eastAsia="en-CA"/>
        </w:rPr>
      </w:pPr>
      <w:r>
        <w:rPr>
          <w:b/>
          <w:lang w:val="en-CA" w:eastAsia="en-CA"/>
        </w:rPr>
        <w:t xml:space="preserve">(a) </w:t>
      </w:r>
      <w:r w:rsidR="00F22DD9" w:rsidRPr="00F51022">
        <w:rPr>
          <w:b/>
          <w:i/>
          <w:lang w:val="en-CA" w:eastAsia="en-CA"/>
        </w:rPr>
        <w:t xml:space="preserve">Amendment to Final Prospectus: </w:t>
      </w:r>
      <w:r w:rsidR="00A561CA" w:rsidRPr="00F51022">
        <w:rPr>
          <w:b/>
          <w:color w:val="7030A0"/>
          <w:lang w:val="en-CA" w:eastAsia="en-CA"/>
        </w:rPr>
        <w:t>NI 41-101 (s.6.6)</w:t>
      </w:r>
      <w:r w:rsidR="00A561CA" w:rsidRPr="00F51022">
        <w:rPr>
          <w:color w:val="7030A0"/>
          <w:lang w:val="en-CA" w:eastAsia="en-CA"/>
        </w:rPr>
        <w:t xml:space="preserve"> </w:t>
      </w:r>
      <w:r w:rsidR="001E2C6C" w:rsidRPr="00F51022">
        <w:rPr>
          <w:color w:val="7030A0"/>
          <w:lang w:val="en-CA" w:eastAsia="en-CA"/>
        </w:rPr>
        <w:t xml:space="preserve">- </w:t>
      </w:r>
      <w:r w:rsidR="001E2C6C" w:rsidRPr="003120AC">
        <w:t>If btw final</w:t>
      </w:r>
      <w:r w:rsidR="009A17BD">
        <w:t xml:space="preserve"> prospectus </w:t>
      </w:r>
      <w:r>
        <w:t>receipt</w:t>
      </w:r>
      <w:r w:rsidR="001E2C6C" w:rsidRPr="003120AC">
        <w:t xml:space="preserve"> and close of distribution period, a </w:t>
      </w:r>
      <w:r w:rsidR="001E2C6C" w:rsidRPr="00F51022">
        <w:rPr>
          <w:i/>
        </w:rPr>
        <w:t>material change</w:t>
      </w:r>
      <w:r w:rsidR="001E2C6C" w:rsidRPr="003120AC">
        <w:t xml:space="preserve"> occurs (good or bad) MUST file amendment, </w:t>
      </w:r>
      <w:r w:rsidR="001E2C6C" w:rsidRPr="00F51022">
        <w:rPr>
          <w:b/>
        </w:rPr>
        <w:t>within 10 days of change</w:t>
      </w:r>
      <w:r w:rsidR="00A561CA" w:rsidRPr="00F51022">
        <w:rPr>
          <w:i/>
          <w:lang w:val="en-CA" w:eastAsia="en-CA"/>
        </w:rPr>
        <w:t xml:space="preserve">. </w:t>
      </w:r>
    </w:p>
    <w:p w:rsidR="00792006" w:rsidRPr="003B0AAC" w:rsidRDefault="00F51022" w:rsidP="00FF0B61">
      <w:pPr>
        <w:pStyle w:val="sub"/>
        <w:spacing w:before="0" w:beforeAutospacing="0" w:after="0" w:afterAutospacing="0"/>
        <w:rPr>
          <w:rFonts w:asciiTheme="minorHAnsi" w:hAnsiTheme="minorHAnsi"/>
          <w:sz w:val="18"/>
        </w:rPr>
      </w:pPr>
      <w:r w:rsidRPr="003B0AAC">
        <w:rPr>
          <w:rFonts w:asciiTheme="minorHAnsi" w:hAnsiTheme="minorHAnsi"/>
          <w:b/>
          <w:sz w:val="18"/>
        </w:rPr>
        <w:t xml:space="preserve">(b) </w:t>
      </w:r>
      <w:r w:rsidR="00792006" w:rsidRPr="003B0AAC">
        <w:rPr>
          <w:rFonts w:asciiTheme="minorHAnsi" w:hAnsiTheme="minorHAnsi"/>
          <w:b/>
          <w:i/>
          <w:sz w:val="18"/>
        </w:rPr>
        <w:t xml:space="preserve">Distribution period: </w:t>
      </w:r>
      <w:r w:rsidR="003B0AAC" w:rsidRPr="003B0AAC">
        <w:rPr>
          <w:rFonts w:asciiTheme="minorHAnsi" w:hAnsiTheme="minorHAnsi"/>
          <w:sz w:val="18"/>
        </w:rPr>
        <w:t>Once an issuer obtains a receipt for its final prospectus, it can begin distributing securities under it. Usually the period is very</w:t>
      </w:r>
      <w:r w:rsidR="003B0AAC">
        <w:rPr>
          <w:rFonts w:asciiTheme="minorHAnsi" w:hAnsiTheme="minorHAnsi"/>
          <w:sz w:val="18"/>
        </w:rPr>
        <w:t xml:space="preserve"> short b/c UW’s strive to have all securities issues under a prospectus subscribed for in advanced. </w:t>
      </w:r>
    </w:p>
    <w:p w:rsidR="00792006" w:rsidRDefault="00F51022" w:rsidP="00FF0B61">
      <w:pPr>
        <w:spacing w:after="0" w:line="240" w:lineRule="auto"/>
        <w:rPr>
          <w:b/>
          <w:lang w:val="en-CA" w:eastAsia="en-CA"/>
        </w:rPr>
      </w:pPr>
      <w:r>
        <w:rPr>
          <w:b/>
          <w:lang w:val="en-CA" w:eastAsia="en-CA"/>
        </w:rPr>
        <w:t xml:space="preserve">(c) </w:t>
      </w:r>
      <w:r w:rsidR="00792006" w:rsidRPr="00F51022">
        <w:rPr>
          <w:b/>
          <w:i/>
          <w:lang w:val="en-CA" w:eastAsia="en-CA"/>
        </w:rPr>
        <w:t>Lapse</w:t>
      </w:r>
      <w:r w:rsidR="005109BC">
        <w:rPr>
          <w:lang w:val="en-CA" w:eastAsia="en-CA"/>
        </w:rPr>
        <w:t xml:space="preserve">: </w:t>
      </w:r>
      <w:r>
        <w:rPr>
          <w:lang w:val="en-CA" w:eastAsia="en-CA"/>
        </w:rPr>
        <w:t xml:space="preserve">A </w:t>
      </w:r>
      <w:r w:rsidR="00792006" w:rsidRPr="00F51022">
        <w:rPr>
          <w:lang w:val="en-CA" w:eastAsia="en-CA"/>
        </w:rPr>
        <w:t>prospectus will lapse 12 months after the receipt of the final prospectus, unless issuer obtains exemption or files a new prospectus (</w:t>
      </w:r>
      <w:r w:rsidR="00F0073A" w:rsidRPr="00F51022">
        <w:rPr>
          <w:b/>
          <w:color w:val="7030A0"/>
          <w:lang w:val="en-CA" w:eastAsia="en-CA"/>
        </w:rPr>
        <w:t>NI 41-101, s 17.2</w:t>
      </w:r>
      <w:r w:rsidR="00F0073A" w:rsidRPr="00F51022">
        <w:rPr>
          <w:b/>
          <w:lang w:val="en-CA" w:eastAsia="en-CA"/>
        </w:rPr>
        <w:t>)</w:t>
      </w:r>
    </w:p>
    <w:p w:rsidR="00D16E1B" w:rsidRDefault="00D16E1B" w:rsidP="00FF0B61">
      <w:pPr>
        <w:spacing w:after="0" w:line="240" w:lineRule="auto"/>
        <w:rPr>
          <w:b/>
          <w:lang w:val="en-CA" w:eastAsia="en-CA"/>
        </w:rPr>
      </w:pPr>
    </w:p>
    <w:p w:rsidR="007F1571" w:rsidRDefault="00911D3A" w:rsidP="00FF0B61">
      <w:pPr>
        <w:pStyle w:val="Heading3"/>
        <w:spacing w:line="240" w:lineRule="auto"/>
        <w:rPr>
          <w:lang w:val="en-CA" w:eastAsia="en-CA"/>
        </w:rPr>
      </w:pPr>
      <w:bookmarkStart w:id="37" w:name="_Toc468980408"/>
      <w:r>
        <w:rPr>
          <w:lang w:val="en-CA" w:eastAsia="en-CA"/>
        </w:rPr>
        <w:t>Alternative Forms of Prospectus</w:t>
      </w:r>
      <w:bookmarkEnd w:id="37"/>
      <w:r w:rsidR="00763128">
        <w:rPr>
          <w:lang w:val="en-CA" w:eastAsia="en-CA"/>
        </w:rPr>
        <w:t xml:space="preserve"> </w:t>
      </w:r>
    </w:p>
    <w:p w:rsidR="008B64ED" w:rsidRDefault="008B64ED" w:rsidP="00FF0B61">
      <w:pPr>
        <w:spacing w:after="0" w:line="240" w:lineRule="auto"/>
        <w:rPr>
          <w:lang w:val="en-CA" w:eastAsia="en-CA"/>
        </w:rPr>
      </w:pPr>
      <w:r>
        <w:rPr>
          <w:b/>
          <w:lang w:val="en-CA" w:eastAsia="en-CA"/>
        </w:rPr>
        <w:t xml:space="preserve">Short Form </w:t>
      </w:r>
      <w:r w:rsidRPr="000D44D8">
        <w:rPr>
          <w:b/>
          <w:lang w:val="en-CA" w:eastAsia="en-CA"/>
        </w:rPr>
        <w:t>Prospectus</w:t>
      </w:r>
      <w:r w:rsidR="00E82F75" w:rsidRPr="000D44D8">
        <w:rPr>
          <w:b/>
          <w:lang w:val="en-CA" w:eastAsia="en-CA"/>
        </w:rPr>
        <w:t xml:space="preserve"> </w:t>
      </w:r>
      <w:r w:rsidR="00E82F75" w:rsidRPr="000D44D8">
        <w:rPr>
          <w:lang w:val="en-CA" w:eastAsia="en-CA"/>
        </w:rPr>
        <w:t>(</w:t>
      </w:r>
      <w:r w:rsidR="00C56D4B" w:rsidRPr="000D44D8">
        <w:rPr>
          <w:b/>
          <w:color w:val="7030A0"/>
          <w:lang w:val="en-CA" w:eastAsia="en-CA"/>
        </w:rPr>
        <w:t>NI 44</w:t>
      </w:r>
      <w:r w:rsidR="00E82F75" w:rsidRPr="000D44D8">
        <w:rPr>
          <w:b/>
          <w:color w:val="7030A0"/>
          <w:lang w:val="en-CA" w:eastAsia="en-CA"/>
        </w:rPr>
        <w:t>-101</w:t>
      </w:r>
      <w:r w:rsidR="00E82F75" w:rsidRPr="000D44D8">
        <w:rPr>
          <w:lang w:val="en-CA" w:eastAsia="en-CA"/>
        </w:rPr>
        <w:t>)</w:t>
      </w:r>
      <w:r w:rsidRPr="000D44D8">
        <w:rPr>
          <w:b/>
          <w:lang w:val="en-CA" w:eastAsia="en-CA"/>
        </w:rPr>
        <w:t xml:space="preserve">: </w:t>
      </w:r>
      <w:r w:rsidR="007D46F2" w:rsidRPr="000D44D8">
        <w:rPr>
          <w:lang w:val="en-CA" w:eastAsia="en-CA"/>
        </w:rPr>
        <w:t>Certain qualified, repeat issuers are allowed to file a short form prospectus. Covers basic info about the particular issue and use of proceeds. Other info</w:t>
      </w:r>
      <w:r w:rsidR="007D46F2">
        <w:rPr>
          <w:lang w:val="en-CA" w:eastAsia="en-CA"/>
        </w:rPr>
        <w:t xml:space="preserve"> typically in a long-form prospectus is unnecessary b/c that info is already on file with the Commission. </w:t>
      </w:r>
      <w:r w:rsidR="00130664" w:rsidRPr="00D97A2F">
        <w:rPr>
          <w:b/>
          <w:lang w:val="en-CA" w:eastAsia="en-CA"/>
        </w:rPr>
        <w:t>Long Form Prosp incorporated by reference.</w:t>
      </w:r>
      <w:r w:rsidR="00130664">
        <w:rPr>
          <w:lang w:val="en-CA" w:eastAsia="en-CA"/>
        </w:rPr>
        <w:t xml:space="preserve"> </w:t>
      </w:r>
    </w:p>
    <w:p w:rsidR="00FB07FA" w:rsidRDefault="00FB07FA" w:rsidP="00FF0B61">
      <w:pPr>
        <w:pStyle w:val="ListParagraph"/>
        <w:numPr>
          <w:ilvl w:val="0"/>
          <w:numId w:val="41"/>
        </w:numPr>
      </w:pPr>
      <w:r>
        <w:rPr>
          <w:b/>
        </w:rPr>
        <w:t>QUALIFICATIONS:</w:t>
      </w:r>
      <w:r w:rsidRPr="003120AC">
        <w:t xml:space="preserve"> </w:t>
      </w:r>
      <w:r w:rsidR="007D1BE0">
        <w:t>I</w:t>
      </w:r>
      <w:r w:rsidRPr="003120AC">
        <w:t xml:space="preserve">ssuer must be </w:t>
      </w:r>
      <w:r w:rsidRPr="00167A49">
        <w:rPr>
          <w:u w:val="single"/>
        </w:rPr>
        <w:t>ele</w:t>
      </w:r>
      <w:r w:rsidR="0001687F" w:rsidRPr="00167A49">
        <w:rPr>
          <w:u w:val="single"/>
        </w:rPr>
        <w:t>ctronic filer on SEDAR</w:t>
      </w:r>
      <w:r w:rsidR="00167A49">
        <w:t xml:space="preserve"> </w:t>
      </w:r>
      <w:r w:rsidR="00167A49">
        <w:rPr>
          <w:b/>
        </w:rPr>
        <w:t xml:space="preserve">// </w:t>
      </w:r>
      <w:r w:rsidR="00167A49">
        <w:t>be</w:t>
      </w:r>
      <w:r w:rsidR="0001687F">
        <w:t xml:space="preserve"> </w:t>
      </w:r>
      <w:r w:rsidR="0001687F" w:rsidRPr="00167A49">
        <w:rPr>
          <w:u w:val="single"/>
        </w:rPr>
        <w:t>reporting issuer</w:t>
      </w:r>
      <w:r w:rsidR="004375FD" w:rsidRPr="00167A49">
        <w:rPr>
          <w:u w:val="single"/>
        </w:rPr>
        <w:t xml:space="preserve"> in at least one juris in CND</w:t>
      </w:r>
      <w:r w:rsidR="00167A49">
        <w:t xml:space="preserve"> </w:t>
      </w:r>
      <w:r w:rsidR="00167A49">
        <w:rPr>
          <w:b/>
        </w:rPr>
        <w:t xml:space="preserve">// </w:t>
      </w:r>
      <w:r w:rsidR="00167A49">
        <w:t>H</w:t>
      </w:r>
      <w:r>
        <w:t xml:space="preserve">ave sec listed on exchange, and </w:t>
      </w:r>
      <w:r w:rsidRPr="003120AC">
        <w:t xml:space="preserve">cannot have ceased operations or have cash or its exchange </w:t>
      </w:r>
      <w:r w:rsidR="00167A49">
        <w:t xml:space="preserve">listing as its principal asset </w:t>
      </w:r>
      <w:r w:rsidR="00167A49">
        <w:rPr>
          <w:b/>
        </w:rPr>
        <w:t xml:space="preserve">// </w:t>
      </w:r>
      <w:r w:rsidR="00167A49">
        <w:t>M</w:t>
      </w:r>
      <w:r w:rsidRPr="003120AC">
        <w:t xml:space="preserve">ust be up to speed w/ all it </w:t>
      </w:r>
      <w:r w:rsidRPr="003120AC">
        <w:lastRenderedPageBreak/>
        <w:t>continuous di</w:t>
      </w:r>
      <w:r w:rsidR="00167A49">
        <w:t xml:space="preserve">scl obligations in every juris </w:t>
      </w:r>
      <w:r w:rsidR="00167A49">
        <w:rPr>
          <w:b/>
        </w:rPr>
        <w:t xml:space="preserve">// </w:t>
      </w:r>
      <w:r w:rsidR="00167A49">
        <w:t>M</w:t>
      </w:r>
      <w:r w:rsidRPr="003120AC">
        <w:t xml:space="preserve">ust have current annual financial statements and current Annual Info Form in 51-102F2 </w:t>
      </w:r>
      <w:r w:rsidRPr="00FB07FA">
        <w:rPr>
          <w:i/>
        </w:rPr>
        <w:t>Annual Info Form</w:t>
      </w:r>
      <w:r w:rsidRPr="003120AC">
        <w:t xml:space="preserve"> on file as part of its CD in at least one juris. </w:t>
      </w:r>
    </w:p>
    <w:p w:rsidR="00D66A10" w:rsidRPr="00385584" w:rsidRDefault="00D66A10" w:rsidP="00FF0B61">
      <w:pPr>
        <w:pStyle w:val="Heading3"/>
        <w:spacing w:line="240" w:lineRule="auto"/>
        <w:rPr>
          <w:lang w:val="en-CA" w:eastAsia="en-CA"/>
        </w:rPr>
      </w:pPr>
      <w:bookmarkStart w:id="38" w:name="_Toc468980409"/>
      <w:r>
        <w:rPr>
          <w:lang w:val="en-CA" w:eastAsia="en-CA"/>
        </w:rPr>
        <w:t>Passport System</w:t>
      </w:r>
      <w:bookmarkEnd w:id="38"/>
      <w:r>
        <w:rPr>
          <w:lang w:val="en-CA" w:eastAsia="en-CA"/>
        </w:rPr>
        <w:t xml:space="preserve"> </w:t>
      </w:r>
    </w:p>
    <w:p w:rsidR="00D66A10" w:rsidRPr="00D66A10" w:rsidRDefault="00D66A10" w:rsidP="00FF0B61">
      <w:pPr>
        <w:spacing w:after="0" w:line="240" w:lineRule="auto"/>
        <w:rPr>
          <w:lang w:val="en-CA" w:eastAsia="en-CA"/>
        </w:rPr>
      </w:pPr>
      <w:r w:rsidRPr="00D66A10">
        <w:rPr>
          <w:b/>
          <w:i/>
          <w:lang w:val="en-CA" w:eastAsia="en-CA"/>
        </w:rPr>
        <w:t>Passport System</w:t>
      </w:r>
      <w:r w:rsidRPr="00D66A10">
        <w:rPr>
          <w:lang w:val="en-CA" w:eastAsia="en-CA"/>
        </w:rPr>
        <w:t xml:space="preserve"> (</w:t>
      </w:r>
      <w:r w:rsidRPr="00D66A10">
        <w:rPr>
          <w:b/>
          <w:color w:val="7030A0"/>
          <w:lang w:val="en-CA" w:eastAsia="en-CA"/>
        </w:rPr>
        <w:t>MI 11-102</w:t>
      </w:r>
      <w:r w:rsidRPr="00D66A10">
        <w:rPr>
          <w:lang w:val="en-CA" w:eastAsia="en-CA"/>
        </w:rPr>
        <w:t xml:space="preserve">) – Market participants need only comply w/ the securities law of one principal regulator (typically where the head office is at). Then still have to file w/ all the other regulators if issuing securities across CND, but the deal is the other regulators are “host” regulators who defer to the principal regulator. </w:t>
      </w:r>
    </w:p>
    <w:p w:rsidR="00D66A10" w:rsidRDefault="004F0F57" w:rsidP="00FF0B61">
      <w:pPr>
        <w:pStyle w:val="ListParagraph"/>
        <w:widowControl w:val="0"/>
        <w:numPr>
          <w:ilvl w:val="0"/>
          <w:numId w:val="29"/>
        </w:numPr>
        <w:autoSpaceDE w:val="0"/>
        <w:autoSpaceDN w:val="0"/>
        <w:adjustRightInd w:val="0"/>
        <w:spacing w:after="0"/>
        <w:rPr>
          <w:szCs w:val="20"/>
        </w:rPr>
      </w:pPr>
      <w:r>
        <w:rPr>
          <w:b/>
          <w:i/>
          <w:szCs w:val="20"/>
        </w:rPr>
        <w:t>Must Individually File w/ ONT</w:t>
      </w:r>
      <w:r w:rsidR="00C35188">
        <w:rPr>
          <w:b/>
          <w:i/>
          <w:szCs w:val="20"/>
        </w:rPr>
        <w:t xml:space="preserve">: </w:t>
      </w:r>
      <w:r w:rsidR="00C4197A">
        <w:rPr>
          <w:szCs w:val="20"/>
        </w:rPr>
        <w:t>ONT h</w:t>
      </w:r>
      <w:r w:rsidR="00D66A10" w:rsidRPr="00D66A10">
        <w:rPr>
          <w:szCs w:val="20"/>
        </w:rPr>
        <w:t>as not signed on to MI 11-102, but agreed to coop</w:t>
      </w:r>
      <w:r w:rsidR="00D66A10">
        <w:rPr>
          <w:szCs w:val="20"/>
        </w:rPr>
        <w:t>erate</w:t>
      </w:r>
      <w:r w:rsidR="00D66A10" w:rsidRPr="00D66A10">
        <w:rPr>
          <w:szCs w:val="20"/>
        </w:rPr>
        <w:t xml:space="preserve"> under </w:t>
      </w:r>
      <w:r w:rsidR="00D66A10" w:rsidRPr="00D66A10">
        <w:rPr>
          <w:b/>
          <w:szCs w:val="20"/>
        </w:rPr>
        <w:t>NP 11-202</w:t>
      </w:r>
      <w:r w:rsidR="00D66A10" w:rsidRPr="00D66A10">
        <w:rPr>
          <w:szCs w:val="20"/>
        </w:rPr>
        <w:t>. If issuer files a prospectus in mul</w:t>
      </w:r>
      <w:r w:rsidR="00FC3F4F">
        <w:rPr>
          <w:szCs w:val="20"/>
        </w:rPr>
        <w:t>tiple provinces including Ont</w:t>
      </w:r>
      <w:r w:rsidR="00D66A10" w:rsidRPr="00D66A10">
        <w:rPr>
          <w:szCs w:val="20"/>
        </w:rPr>
        <w:t xml:space="preserve">, the </w:t>
      </w:r>
      <w:r w:rsidR="00D66A10" w:rsidRPr="00D66A10">
        <w:rPr>
          <w:b/>
          <w:szCs w:val="20"/>
        </w:rPr>
        <w:t xml:space="preserve">dual prospectus </w:t>
      </w:r>
      <w:r w:rsidR="00D66A10" w:rsidRPr="00D66A10">
        <w:rPr>
          <w:szCs w:val="20"/>
        </w:rPr>
        <w:t>system applies and there are two principal regulators (O</w:t>
      </w:r>
      <w:r w:rsidR="00FC3F4F">
        <w:rPr>
          <w:szCs w:val="20"/>
        </w:rPr>
        <w:t>SC</w:t>
      </w:r>
      <w:r w:rsidR="00D66A10" w:rsidRPr="00D66A10">
        <w:rPr>
          <w:szCs w:val="20"/>
        </w:rPr>
        <w:t xml:space="preserve"> + other primary regulator). Both principal regulator and OSC reviews the prospectus, generally issuer will only deal with principal reg, and OSC advises princip reg of any concerns. So concerns sorted out and finally princip</w:t>
      </w:r>
      <w:r w:rsidR="00C52997">
        <w:rPr>
          <w:szCs w:val="20"/>
        </w:rPr>
        <w:t>le</w:t>
      </w:r>
      <w:r w:rsidR="00D66A10" w:rsidRPr="00D66A10">
        <w:rPr>
          <w:szCs w:val="20"/>
        </w:rPr>
        <w:t xml:space="preserve"> reg issues receipt, it is deemed in ON. ON can opt out, PR will try and resolve ON’s concerns, if not resolved, then no deemed receipt in ON. </w:t>
      </w:r>
    </w:p>
    <w:p w:rsidR="00EB0D21" w:rsidRPr="00EB0D21" w:rsidRDefault="00EB0D21" w:rsidP="00FF0B61">
      <w:pPr>
        <w:pStyle w:val="ListParagraph"/>
        <w:numPr>
          <w:ilvl w:val="0"/>
          <w:numId w:val="29"/>
        </w:numPr>
        <w:spacing w:after="0"/>
        <w:rPr>
          <w:lang w:val="en-CA" w:eastAsia="en-CA"/>
        </w:rPr>
      </w:pPr>
      <w:r w:rsidRPr="008751E4">
        <w:rPr>
          <w:b/>
          <w:i/>
          <w:lang w:val="en-CA" w:eastAsia="en-CA"/>
        </w:rPr>
        <w:t>Limits</w:t>
      </w:r>
      <w:r w:rsidRPr="00A83FB6">
        <w:rPr>
          <w:lang w:val="en-CA" w:eastAsia="en-CA"/>
        </w:rPr>
        <w:t xml:space="preserve">: 1) Still have to pay every regulator the same amount as before despite them doing no work if they are a host, 2) Limited utility as ONT did not join (80% of mrkts), 3) Civil Liability is completely unaffected. </w:t>
      </w:r>
    </w:p>
    <w:p w:rsidR="005E1ED9" w:rsidRPr="00C35188" w:rsidRDefault="005E1ED9" w:rsidP="00FF0B61">
      <w:pPr>
        <w:pStyle w:val="ListParagraph"/>
        <w:widowControl w:val="0"/>
        <w:autoSpaceDE w:val="0"/>
        <w:autoSpaceDN w:val="0"/>
        <w:adjustRightInd w:val="0"/>
        <w:spacing w:after="0"/>
        <w:ind w:left="760"/>
        <w:rPr>
          <w:szCs w:val="20"/>
        </w:rPr>
      </w:pPr>
    </w:p>
    <w:p w:rsidR="00911D3A" w:rsidRPr="008D73D5" w:rsidRDefault="00911D3A" w:rsidP="00FF0B61">
      <w:pPr>
        <w:pStyle w:val="Heading3"/>
        <w:spacing w:line="240" w:lineRule="auto"/>
        <w:rPr>
          <w:lang w:val="en-CA" w:eastAsia="en-CA"/>
        </w:rPr>
      </w:pPr>
      <w:bookmarkStart w:id="39" w:name="_Toc468980410"/>
      <w:r w:rsidRPr="008D73D5">
        <w:rPr>
          <w:lang w:val="en-CA" w:eastAsia="en-CA"/>
        </w:rPr>
        <w:t>Multijurisdictional Disclosure System (MJDS)</w:t>
      </w:r>
      <w:bookmarkEnd w:id="39"/>
    </w:p>
    <w:p w:rsidR="000D7E82" w:rsidRDefault="00E86172" w:rsidP="00FF0B61">
      <w:pPr>
        <w:spacing w:after="0" w:line="240" w:lineRule="auto"/>
        <w:rPr>
          <w:szCs w:val="20"/>
        </w:rPr>
      </w:pPr>
      <w:r>
        <w:rPr>
          <w:b/>
          <w:szCs w:val="20"/>
        </w:rPr>
        <w:t xml:space="preserve">MJDS – </w:t>
      </w:r>
      <w:r>
        <w:rPr>
          <w:szCs w:val="20"/>
        </w:rPr>
        <w:t>Permits US issuers to use US docs in place of CND docs, provided those issues are in compliance w/ US Securities legislation</w:t>
      </w:r>
      <w:r w:rsidR="00CB345D">
        <w:rPr>
          <w:szCs w:val="20"/>
        </w:rPr>
        <w:t>. This is reciprocated for Canadian issuers in the US (</w:t>
      </w:r>
      <w:r w:rsidR="00CB345D" w:rsidRPr="00CB345D">
        <w:rPr>
          <w:b/>
          <w:color w:val="7030A0"/>
          <w:szCs w:val="20"/>
        </w:rPr>
        <w:t>71-101CP</w:t>
      </w:r>
      <w:r w:rsidR="00CB345D">
        <w:rPr>
          <w:b/>
          <w:szCs w:val="20"/>
        </w:rPr>
        <w:t>)</w:t>
      </w:r>
      <w:r w:rsidR="00CB345D">
        <w:rPr>
          <w:szCs w:val="20"/>
        </w:rPr>
        <w:t>.</w:t>
      </w:r>
    </w:p>
    <w:p w:rsidR="004E6C47" w:rsidRPr="004E6C47" w:rsidRDefault="004E6C47" w:rsidP="00FF0B61">
      <w:pPr>
        <w:pStyle w:val="NoSpacing"/>
        <w:numPr>
          <w:ilvl w:val="0"/>
          <w:numId w:val="170"/>
        </w:numPr>
        <w:rPr>
          <w:rFonts w:asciiTheme="minorHAnsi" w:hAnsiTheme="minorHAnsi" w:cs="Arial"/>
          <w:sz w:val="18"/>
          <w:szCs w:val="21"/>
        </w:rPr>
      </w:pPr>
      <w:r w:rsidRPr="004E6C47">
        <w:rPr>
          <w:rFonts w:asciiTheme="minorHAnsi" w:hAnsiTheme="minorHAnsi" w:cs="Arial"/>
          <w:sz w:val="18"/>
          <w:szCs w:val="21"/>
        </w:rPr>
        <w:t>US issuers can use US continuous disclosure documents that are compliant with US securities laws in Canada</w:t>
      </w:r>
    </w:p>
    <w:p w:rsidR="004E6C47" w:rsidRPr="004E6C47" w:rsidRDefault="004E6C47" w:rsidP="00FF0B61">
      <w:pPr>
        <w:pStyle w:val="NoSpacing"/>
        <w:numPr>
          <w:ilvl w:val="0"/>
          <w:numId w:val="170"/>
        </w:numPr>
        <w:rPr>
          <w:rFonts w:asciiTheme="minorHAnsi" w:hAnsiTheme="minorHAnsi" w:cs="Arial"/>
          <w:sz w:val="18"/>
          <w:szCs w:val="21"/>
        </w:rPr>
      </w:pPr>
      <w:r w:rsidRPr="004E6C47">
        <w:rPr>
          <w:rFonts w:asciiTheme="minorHAnsi" w:hAnsiTheme="minorHAnsi" w:cs="Arial"/>
          <w:sz w:val="18"/>
          <w:szCs w:val="21"/>
        </w:rPr>
        <w:t>Issuers must file a PP in all jurisdictions of Canada</w:t>
      </w:r>
    </w:p>
    <w:p w:rsidR="004E6C47" w:rsidRPr="004E6C47" w:rsidRDefault="004E6C47" w:rsidP="00FF0B61">
      <w:pPr>
        <w:pStyle w:val="NoSpacing"/>
        <w:numPr>
          <w:ilvl w:val="0"/>
          <w:numId w:val="170"/>
        </w:numPr>
        <w:rPr>
          <w:rFonts w:asciiTheme="minorHAnsi" w:hAnsiTheme="minorHAnsi" w:cs="Arial"/>
          <w:sz w:val="18"/>
          <w:szCs w:val="21"/>
        </w:rPr>
      </w:pPr>
      <w:r w:rsidRPr="004E6C47">
        <w:rPr>
          <w:rFonts w:asciiTheme="minorHAnsi" w:hAnsiTheme="minorHAnsi" w:cs="Arial"/>
          <w:sz w:val="18"/>
          <w:szCs w:val="21"/>
        </w:rPr>
        <w:t>Issuers can choose the principal jurisdiction in Canada to review the material filed and a receipt will be issued as long as disclosure requirements have been met</w:t>
      </w:r>
    </w:p>
    <w:p w:rsidR="004E6C47" w:rsidRPr="004E6C47" w:rsidRDefault="004E6C47" w:rsidP="00FF0B61">
      <w:pPr>
        <w:pStyle w:val="ListParagraph"/>
        <w:numPr>
          <w:ilvl w:val="0"/>
          <w:numId w:val="170"/>
        </w:numPr>
        <w:rPr>
          <w:sz w:val="14"/>
          <w:szCs w:val="20"/>
        </w:rPr>
      </w:pPr>
      <w:r w:rsidRPr="004E6C47">
        <w:rPr>
          <w:rFonts w:cs="Arial"/>
          <w:szCs w:val="21"/>
        </w:rPr>
        <w:t>Certification requirements for the issuer and UWs are the same as usual – full, true and plain disclosure of all material facts</w:t>
      </w:r>
    </w:p>
    <w:p w:rsidR="000B4CA7" w:rsidRDefault="000B4CA7" w:rsidP="00FF0B61">
      <w:pPr>
        <w:pStyle w:val="Heading1"/>
        <w:spacing w:after="0"/>
        <w:rPr>
          <w:lang w:val="en-CA" w:eastAsia="en-CA"/>
        </w:rPr>
      </w:pPr>
      <w:bookmarkStart w:id="40" w:name="_Toc468980411"/>
      <w:r w:rsidRPr="00F4456F">
        <w:rPr>
          <w:lang w:val="en-CA" w:eastAsia="en-CA"/>
        </w:rPr>
        <w:t>Continuous Disclosure Obligations</w:t>
      </w:r>
      <w:bookmarkEnd w:id="40"/>
    </w:p>
    <w:p w:rsidR="008E1146" w:rsidRDefault="008E1146" w:rsidP="00FF0B61">
      <w:pPr>
        <w:spacing w:after="0" w:line="240" w:lineRule="auto"/>
        <w:rPr>
          <w:b/>
          <w:lang w:val="en-CA" w:eastAsia="en-CA"/>
        </w:rPr>
      </w:pPr>
      <w:r>
        <w:rPr>
          <w:b/>
          <w:lang w:val="en-CA" w:eastAsia="en-CA"/>
        </w:rPr>
        <w:t xml:space="preserve">2 CATEGORIES OF </w:t>
      </w:r>
      <w:r w:rsidRPr="00C21DFB">
        <w:rPr>
          <w:b/>
          <w:u w:val="single"/>
          <w:lang w:val="en-CA" w:eastAsia="en-CA"/>
        </w:rPr>
        <w:t>CONTINUOUS DISCLOSURE</w:t>
      </w:r>
      <w:r>
        <w:rPr>
          <w:b/>
          <w:lang w:val="en-CA" w:eastAsia="en-CA"/>
        </w:rPr>
        <w:t xml:space="preserve">: 1) Periodic Disclosure, 2) Timely Disclosure </w:t>
      </w:r>
    </w:p>
    <w:p w:rsidR="008E1146" w:rsidRDefault="008E1146" w:rsidP="00FF0B61">
      <w:pPr>
        <w:spacing w:after="0" w:line="240" w:lineRule="auto"/>
        <w:rPr>
          <w:b/>
          <w:lang w:val="en-CA" w:eastAsia="en-CA"/>
        </w:rPr>
      </w:pPr>
    </w:p>
    <w:p w:rsidR="00F723C8" w:rsidRPr="00650B33" w:rsidRDefault="00F723C8" w:rsidP="00FF0B61">
      <w:pPr>
        <w:spacing w:after="0" w:line="240" w:lineRule="auto"/>
        <w:rPr>
          <w:lang w:val="en-CA" w:eastAsia="en-CA"/>
        </w:rPr>
      </w:pPr>
      <w:r>
        <w:rPr>
          <w:b/>
          <w:lang w:val="en-CA" w:eastAsia="en-CA"/>
        </w:rPr>
        <w:t>Rationale:</w:t>
      </w:r>
      <w:r w:rsidR="00650B33">
        <w:rPr>
          <w:b/>
          <w:lang w:val="en-CA" w:eastAsia="en-CA"/>
        </w:rPr>
        <w:t xml:space="preserve"> </w:t>
      </w:r>
      <w:r w:rsidR="00303052">
        <w:rPr>
          <w:lang w:val="en-CA" w:eastAsia="en-CA"/>
        </w:rPr>
        <w:t>Where CD functions properly, it supports both goals of securities regulation by fostering investor protection, and enhancing capital market efficiency</w:t>
      </w:r>
      <w:r w:rsidR="00650B33">
        <w:rPr>
          <w:lang w:val="en-CA" w:eastAsia="en-CA"/>
        </w:rPr>
        <w:t>.</w:t>
      </w:r>
      <w:r w:rsidR="00303052">
        <w:rPr>
          <w:lang w:val="en-CA" w:eastAsia="en-CA"/>
        </w:rPr>
        <w:t xml:space="preserve"> CD </w:t>
      </w:r>
      <w:r w:rsidR="00303052" w:rsidRPr="00B77F42">
        <w:rPr>
          <w:b/>
          <w:i/>
          <w:lang w:val="en-CA" w:eastAsia="en-CA"/>
        </w:rPr>
        <w:t>advances investor protection by ensuring that all investors have sufficient info to make rationale</w:t>
      </w:r>
      <w:r w:rsidR="00303052">
        <w:rPr>
          <w:lang w:val="en-CA" w:eastAsia="en-CA"/>
        </w:rPr>
        <w:t xml:space="preserve"> </w:t>
      </w:r>
      <w:r w:rsidR="00303052" w:rsidRPr="00B77F42">
        <w:rPr>
          <w:b/>
          <w:i/>
          <w:lang w:val="en-CA" w:eastAsia="en-CA"/>
        </w:rPr>
        <w:t>decisions</w:t>
      </w:r>
      <w:r w:rsidR="00303052">
        <w:rPr>
          <w:lang w:val="en-CA" w:eastAsia="en-CA"/>
        </w:rPr>
        <w:t>. Boosts investor confidence, which leads to increased participation in capital mrkts. Also boosts mrkt efficiency by providing investors w/ the info they need to ID the iss</w:t>
      </w:r>
      <w:r w:rsidR="00B84F7A">
        <w:rPr>
          <w:lang w:val="en-CA" w:eastAsia="en-CA"/>
        </w:rPr>
        <w:t>uers most deserving of capital (</w:t>
      </w:r>
      <w:r w:rsidR="00B84F7A">
        <w:rPr>
          <w:b/>
          <w:lang w:val="en-CA" w:eastAsia="en-CA"/>
        </w:rPr>
        <w:t xml:space="preserve">NB: </w:t>
      </w:r>
      <w:r w:rsidR="00B84F7A">
        <w:rPr>
          <w:lang w:val="en-CA" w:eastAsia="en-CA"/>
        </w:rPr>
        <w:t>May also create a positive and ethical culture w/in a company)/</w:t>
      </w:r>
      <w:r w:rsidR="00650B33">
        <w:rPr>
          <w:lang w:val="en-CA" w:eastAsia="en-CA"/>
        </w:rPr>
        <w:t xml:space="preserve"> </w:t>
      </w:r>
    </w:p>
    <w:p w:rsidR="00F723C8" w:rsidRDefault="00F723C8" w:rsidP="00FF0B61">
      <w:pPr>
        <w:spacing w:after="0" w:line="240" w:lineRule="auto"/>
        <w:rPr>
          <w:b/>
          <w:lang w:val="en-CA" w:eastAsia="en-CA"/>
        </w:rPr>
      </w:pPr>
    </w:p>
    <w:p w:rsidR="00D81DF3" w:rsidRPr="00D80703" w:rsidRDefault="00D81DF3" w:rsidP="00FF0B61">
      <w:pPr>
        <w:spacing w:after="0" w:line="240" w:lineRule="auto"/>
        <w:rPr>
          <w:lang w:val="en-CA" w:eastAsia="en-CA"/>
        </w:rPr>
      </w:pPr>
      <w:r w:rsidRPr="00533B98">
        <w:rPr>
          <w:b/>
          <w:lang w:val="en-CA" w:eastAsia="en-CA"/>
        </w:rPr>
        <w:t xml:space="preserve">Definition of “reporting issuer” </w:t>
      </w:r>
      <w:r w:rsidR="00FC75BD" w:rsidRPr="00533B98">
        <w:rPr>
          <w:b/>
          <w:color w:val="C45911" w:themeColor="accent2" w:themeShade="BF"/>
          <w:lang w:val="en-CA" w:eastAsia="en-CA"/>
        </w:rPr>
        <w:t>(BCSA</w:t>
      </w:r>
      <w:r w:rsidR="00636EE2">
        <w:rPr>
          <w:b/>
          <w:color w:val="C45911" w:themeColor="accent2" w:themeShade="BF"/>
          <w:lang w:val="en-CA" w:eastAsia="en-CA"/>
        </w:rPr>
        <w:t xml:space="preserve"> 1(1)</w:t>
      </w:r>
      <w:r w:rsidR="00D80703">
        <w:rPr>
          <w:b/>
          <w:lang w:val="en-CA" w:eastAsia="en-CA"/>
        </w:rPr>
        <w:t xml:space="preserve">): </w:t>
      </w:r>
      <w:r w:rsidR="00D80703">
        <w:rPr>
          <w:lang w:val="en-CA" w:eastAsia="en-CA"/>
        </w:rPr>
        <w:t>Means an issuer that</w:t>
      </w:r>
    </w:p>
    <w:p w:rsidR="00070B06" w:rsidRPr="00E576BD" w:rsidRDefault="003E2AD1" w:rsidP="00FF0B61">
      <w:pPr>
        <w:pStyle w:val="ListParagraph"/>
        <w:numPr>
          <w:ilvl w:val="0"/>
          <w:numId w:val="35"/>
        </w:numPr>
        <w:spacing w:after="0"/>
        <w:rPr>
          <w:b/>
          <w:lang w:val="en-CA" w:eastAsia="en-CA"/>
        </w:rPr>
      </w:pPr>
      <w:r w:rsidRPr="00E576BD">
        <w:rPr>
          <w:b/>
          <w:lang w:val="en-CA" w:eastAsia="en-CA"/>
        </w:rPr>
        <w:t>(a)</w:t>
      </w:r>
      <w:r w:rsidR="00E576BD">
        <w:rPr>
          <w:b/>
          <w:lang w:val="en-CA" w:eastAsia="en-CA"/>
        </w:rPr>
        <w:t xml:space="preserve"> </w:t>
      </w:r>
      <w:r w:rsidR="00E576BD">
        <w:rPr>
          <w:lang w:val="en-CA" w:eastAsia="en-CA"/>
        </w:rPr>
        <w:t xml:space="preserve">has issued securities in respect of which </w:t>
      </w:r>
      <w:r w:rsidR="00E576BD">
        <w:rPr>
          <w:b/>
          <w:lang w:val="en-CA" w:eastAsia="en-CA"/>
        </w:rPr>
        <w:t xml:space="preserve">(i) </w:t>
      </w:r>
      <w:r w:rsidR="00E576BD" w:rsidRPr="00E576BD">
        <w:rPr>
          <w:b/>
          <w:lang w:val="en-CA" w:eastAsia="en-CA"/>
        </w:rPr>
        <w:t>a prospectus was filed and a receipt was issued</w:t>
      </w:r>
      <w:r w:rsidR="00E576BD">
        <w:rPr>
          <w:lang w:val="en-CA" w:eastAsia="en-CA"/>
        </w:rPr>
        <w:t xml:space="preserve">; </w:t>
      </w:r>
      <w:r w:rsidR="00E576BD">
        <w:rPr>
          <w:b/>
          <w:lang w:val="en-CA" w:eastAsia="en-CA"/>
        </w:rPr>
        <w:t xml:space="preserve">(ii) </w:t>
      </w:r>
      <w:r w:rsidR="00E576BD">
        <w:rPr>
          <w:lang w:val="en-CA" w:eastAsia="en-CA"/>
        </w:rPr>
        <w:t xml:space="preserve">statement of material facts was filed and accepted; or </w:t>
      </w:r>
      <w:r w:rsidR="00E576BD">
        <w:rPr>
          <w:b/>
          <w:lang w:val="en-CA" w:eastAsia="en-CA"/>
        </w:rPr>
        <w:t xml:space="preserve">(iii) </w:t>
      </w:r>
      <w:r w:rsidR="00E576BD">
        <w:rPr>
          <w:lang w:val="en-CA" w:eastAsia="en-CA"/>
        </w:rPr>
        <w:t xml:space="preserve">a securities exchange take over bid circular was filed … </w:t>
      </w:r>
    </w:p>
    <w:p w:rsidR="003E2AD1" w:rsidRPr="004F7ED8" w:rsidRDefault="003E2AD1" w:rsidP="00FF0B61">
      <w:pPr>
        <w:pStyle w:val="ListParagraph"/>
        <w:numPr>
          <w:ilvl w:val="0"/>
          <w:numId w:val="35"/>
        </w:numPr>
        <w:rPr>
          <w:b/>
          <w:lang w:val="en-CA" w:eastAsia="en-CA"/>
        </w:rPr>
      </w:pPr>
      <w:r w:rsidRPr="00E576BD">
        <w:rPr>
          <w:b/>
          <w:lang w:val="en-CA" w:eastAsia="en-CA"/>
        </w:rPr>
        <w:t>(b)</w:t>
      </w:r>
      <w:r w:rsidR="000F3505" w:rsidRPr="000F3505">
        <w:t xml:space="preserve"> </w:t>
      </w:r>
      <w:r w:rsidR="000F3505" w:rsidRPr="00E2562A">
        <w:rPr>
          <w:b/>
          <w:lang w:val="en-CA" w:eastAsia="en-CA"/>
        </w:rPr>
        <w:t>has filed a prospectus or statement of material facts</w:t>
      </w:r>
      <w:r w:rsidR="00E2562A">
        <w:rPr>
          <w:lang w:val="en-CA" w:eastAsia="en-CA"/>
        </w:rPr>
        <w:t xml:space="preserve"> and the </w:t>
      </w:r>
      <w:r w:rsidR="00E2562A" w:rsidRPr="00E2562A">
        <w:rPr>
          <w:b/>
          <w:lang w:val="en-CA" w:eastAsia="en-CA"/>
        </w:rPr>
        <w:t>Exe DIR</w:t>
      </w:r>
      <w:r w:rsidR="000F3505" w:rsidRPr="00E2562A">
        <w:rPr>
          <w:b/>
          <w:lang w:val="en-CA" w:eastAsia="en-CA"/>
        </w:rPr>
        <w:t xml:space="preserve"> has issued a </w:t>
      </w:r>
      <w:r w:rsidR="000F3505" w:rsidRPr="00BE4C18">
        <w:rPr>
          <w:b/>
          <w:u w:val="single"/>
          <w:lang w:val="en-CA" w:eastAsia="en-CA"/>
        </w:rPr>
        <w:t>receipt for it</w:t>
      </w:r>
      <w:r w:rsidR="000F3505" w:rsidRPr="000F3505">
        <w:rPr>
          <w:lang w:val="en-CA" w:eastAsia="en-CA"/>
        </w:rPr>
        <w:t xml:space="preserve"> under this Ac</w:t>
      </w:r>
      <w:r w:rsidR="000F3505">
        <w:rPr>
          <w:lang w:val="en-CA" w:eastAsia="en-CA"/>
        </w:rPr>
        <w:t>t</w:t>
      </w:r>
      <w:r w:rsidR="004F7ED8">
        <w:rPr>
          <w:lang w:val="en-CA" w:eastAsia="en-CA"/>
        </w:rPr>
        <w:t xml:space="preserve"> </w:t>
      </w:r>
      <w:r w:rsidR="002B31DD" w:rsidRPr="004F7ED8">
        <w:rPr>
          <w:color w:val="000000"/>
          <w:shd w:val="clear" w:color="auto" w:fill="FFFFFF"/>
        </w:rPr>
        <w:t>(</w:t>
      </w:r>
      <w:r w:rsidR="008A111B">
        <w:rPr>
          <w:color w:val="000000"/>
          <w:shd w:val="clear" w:color="auto" w:fill="FFFFFF"/>
        </w:rPr>
        <w:t>see</w:t>
      </w:r>
      <w:r w:rsidR="00E2562A" w:rsidRPr="004F7ED8">
        <w:rPr>
          <w:color w:val="000000"/>
          <w:shd w:val="clear" w:color="auto" w:fill="FFFFFF"/>
        </w:rPr>
        <w:t>:</w:t>
      </w:r>
      <w:r w:rsidR="00BE4C18" w:rsidRPr="004F7ED8">
        <w:rPr>
          <w:color w:val="000000"/>
          <w:shd w:val="clear" w:color="auto" w:fill="FFFFFF"/>
        </w:rPr>
        <w:t xml:space="preserve"> (c)</w:t>
      </w:r>
      <w:r w:rsidR="002B31DD" w:rsidRPr="004F7ED8">
        <w:rPr>
          <w:color w:val="000000"/>
          <w:shd w:val="clear" w:color="auto" w:fill="FFFFFF"/>
        </w:rPr>
        <w:t xml:space="preserve">-(f)). </w:t>
      </w:r>
    </w:p>
    <w:p w:rsidR="00D42A72" w:rsidRPr="00C21DFB" w:rsidRDefault="00D107F0" w:rsidP="00FF0B61">
      <w:pPr>
        <w:spacing w:after="0" w:line="240" w:lineRule="auto"/>
        <w:rPr>
          <w:b/>
          <w:lang w:val="en-CA" w:eastAsia="en-CA"/>
        </w:rPr>
      </w:pPr>
      <w:r w:rsidRPr="00C21DFB">
        <w:rPr>
          <w:b/>
          <w:lang w:val="en-CA" w:eastAsia="en-CA"/>
        </w:rPr>
        <w:t xml:space="preserve">Continuous </w:t>
      </w:r>
      <w:r w:rsidR="005D77D1" w:rsidRPr="00C21DFB">
        <w:rPr>
          <w:b/>
          <w:lang w:val="en-CA" w:eastAsia="en-CA"/>
        </w:rPr>
        <w:t>Disclosure (</w:t>
      </w:r>
      <w:r w:rsidR="005D77D1" w:rsidRPr="00C21DFB">
        <w:rPr>
          <w:b/>
          <w:color w:val="C45911" w:themeColor="accent2" w:themeShade="BF"/>
          <w:lang w:val="en-CA" w:eastAsia="en-CA"/>
        </w:rPr>
        <w:t>BCSA</w:t>
      </w:r>
      <w:r w:rsidR="00D42A72" w:rsidRPr="00C21DFB">
        <w:rPr>
          <w:b/>
          <w:color w:val="C45911" w:themeColor="accent2" w:themeShade="BF"/>
          <w:lang w:val="en-CA" w:eastAsia="en-CA"/>
        </w:rPr>
        <w:t xml:space="preserve"> 85</w:t>
      </w:r>
      <w:r w:rsidR="005D77D1" w:rsidRPr="00C21DFB">
        <w:rPr>
          <w:b/>
          <w:color w:val="C45911" w:themeColor="accent2" w:themeShade="BF"/>
          <w:lang w:val="en-CA" w:eastAsia="en-CA"/>
        </w:rPr>
        <w:t>)</w:t>
      </w:r>
      <w:r w:rsidR="00D42A72" w:rsidRPr="00C21DFB">
        <w:rPr>
          <w:color w:val="C45911" w:themeColor="accent2" w:themeShade="BF"/>
          <w:lang w:val="en-CA" w:eastAsia="en-CA"/>
        </w:rPr>
        <w:t xml:space="preserve"> </w:t>
      </w:r>
      <w:r w:rsidRPr="00C21DFB">
        <w:rPr>
          <w:lang w:val="en-CA" w:eastAsia="en-CA"/>
        </w:rPr>
        <w:t>-</w:t>
      </w:r>
      <w:r w:rsidR="00D42A72" w:rsidRPr="00C21DFB">
        <w:rPr>
          <w:lang w:val="en-CA" w:eastAsia="en-CA"/>
        </w:rPr>
        <w:t xml:space="preserve"> A </w:t>
      </w:r>
      <w:r w:rsidR="00D353BA" w:rsidRPr="00C21DFB">
        <w:rPr>
          <w:lang w:val="en-CA" w:eastAsia="en-CA"/>
        </w:rPr>
        <w:t>“</w:t>
      </w:r>
      <w:r w:rsidR="00D42A72" w:rsidRPr="00C21DFB">
        <w:rPr>
          <w:lang w:val="en-CA" w:eastAsia="en-CA"/>
        </w:rPr>
        <w:t>reporting issuer</w:t>
      </w:r>
      <w:r w:rsidR="00D353BA" w:rsidRPr="00C21DFB">
        <w:rPr>
          <w:lang w:val="en-CA" w:eastAsia="en-CA"/>
        </w:rPr>
        <w:t>”</w:t>
      </w:r>
      <w:r w:rsidR="00D42A72" w:rsidRPr="00C21DFB">
        <w:rPr>
          <w:lang w:val="en-CA" w:eastAsia="en-CA"/>
        </w:rPr>
        <w:t xml:space="preserve"> must, in accordance with the regulations,</w:t>
      </w:r>
    </w:p>
    <w:p w:rsidR="00D42A72" w:rsidRPr="00C21DFB" w:rsidRDefault="00D107F0" w:rsidP="00FF0B61">
      <w:pPr>
        <w:pStyle w:val="ListParagraph"/>
        <w:numPr>
          <w:ilvl w:val="0"/>
          <w:numId w:val="36"/>
        </w:numPr>
        <w:spacing w:after="0"/>
        <w:rPr>
          <w:lang w:val="en-CA" w:eastAsia="en-CA"/>
        </w:rPr>
      </w:pPr>
      <w:r w:rsidRPr="00C21DFB">
        <w:rPr>
          <w:b/>
          <w:color w:val="C45911" w:themeColor="accent2" w:themeShade="BF"/>
          <w:lang w:val="en-CA" w:eastAsia="en-CA"/>
        </w:rPr>
        <w:t>(a)</w:t>
      </w:r>
      <w:r w:rsidRPr="00C21DFB">
        <w:rPr>
          <w:color w:val="C45911" w:themeColor="accent2" w:themeShade="BF"/>
          <w:lang w:val="en-CA" w:eastAsia="en-CA"/>
        </w:rPr>
        <w:t xml:space="preserve"> </w:t>
      </w:r>
      <w:r w:rsidR="00D42A72" w:rsidRPr="00C21DFB">
        <w:rPr>
          <w:lang w:val="en-CA" w:eastAsia="en-CA"/>
        </w:rPr>
        <w:t xml:space="preserve">provide </w:t>
      </w:r>
      <w:r w:rsidR="00D42A72" w:rsidRPr="00C21DFB">
        <w:rPr>
          <w:b/>
          <w:i/>
          <w:lang w:val="en-CA" w:eastAsia="en-CA"/>
        </w:rPr>
        <w:t>prescribed periodic disclosure</w:t>
      </w:r>
      <w:r w:rsidR="00D42A72" w:rsidRPr="00C21DFB">
        <w:rPr>
          <w:lang w:val="en-CA" w:eastAsia="en-CA"/>
        </w:rPr>
        <w:t xml:space="preserve"> about its business and affairs,</w:t>
      </w:r>
    </w:p>
    <w:p w:rsidR="00D42A72" w:rsidRPr="00C21DFB" w:rsidRDefault="00D107F0" w:rsidP="00FF0B61">
      <w:pPr>
        <w:pStyle w:val="ListParagraph"/>
        <w:numPr>
          <w:ilvl w:val="0"/>
          <w:numId w:val="36"/>
        </w:numPr>
        <w:spacing w:after="0"/>
        <w:rPr>
          <w:lang w:val="en-CA" w:eastAsia="en-CA"/>
        </w:rPr>
      </w:pPr>
      <w:r w:rsidRPr="00C21DFB">
        <w:rPr>
          <w:b/>
          <w:color w:val="C45911" w:themeColor="accent2" w:themeShade="BF"/>
          <w:lang w:val="en-CA" w:eastAsia="en-CA"/>
        </w:rPr>
        <w:t>(b)</w:t>
      </w:r>
      <w:r w:rsidRPr="00C21DFB">
        <w:rPr>
          <w:color w:val="C45911" w:themeColor="accent2" w:themeShade="BF"/>
          <w:lang w:val="en-CA" w:eastAsia="en-CA"/>
        </w:rPr>
        <w:t xml:space="preserve"> </w:t>
      </w:r>
      <w:r w:rsidR="00D42A72" w:rsidRPr="00C21DFB">
        <w:rPr>
          <w:lang w:val="en-CA" w:eastAsia="en-CA"/>
        </w:rPr>
        <w:t xml:space="preserve">provide disclosure </w:t>
      </w:r>
      <w:r w:rsidR="00D42A72" w:rsidRPr="00C21DFB">
        <w:rPr>
          <w:b/>
          <w:i/>
          <w:lang w:val="en-CA" w:eastAsia="en-CA"/>
        </w:rPr>
        <w:t xml:space="preserve">of a </w:t>
      </w:r>
      <w:r w:rsidR="00335823" w:rsidRPr="00C21DFB">
        <w:rPr>
          <w:b/>
          <w:i/>
          <w:lang w:val="en-CA" w:eastAsia="en-CA"/>
        </w:rPr>
        <w:t>“</w:t>
      </w:r>
      <w:r w:rsidR="00D42A72" w:rsidRPr="00C21DFB">
        <w:rPr>
          <w:b/>
          <w:i/>
          <w:lang w:val="en-CA" w:eastAsia="en-CA"/>
        </w:rPr>
        <w:t>material change</w:t>
      </w:r>
      <w:r w:rsidR="00D42A72" w:rsidRPr="00C21DFB">
        <w:rPr>
          <w:lang w:val="en-CA" w:eastAsia="en-CA"/>
        </w:rPr>
        <w:t>,</w:t>
      </w:r>
      <w:r w:rsidR="00335823" w:rsidRPr="00C21DFB">
        <w:rPr>
          <w:lang w:val="en-CA" w:eastAsia="en-CA"/>
        </w:rPr>
        <w:t>”</w:t>
      </w:r>
      <w:r w:rsidR="00D42A72" w:rsidRPr="00C21DFB">
        <w:rPr>
          <w:lang w:val="en-CA" w:eastAsia="en-CA"/>
        </w:rPr>
        <w:t xml:space="preserve"> and</w:t>
      </w:r>
    </w:p>
    <w:p w:rsidR="001A7BCC" w:rsidRDefault="00D107F0" w:rsidP="00FF0B61">
      <w:pPr>
        <w:pStyle w:val="ListParagraph"/>
        <w:numPr>
          <w:ilvl w:val="0"/>
          <w:numId w:val="36"/>
        </w:numPr>
        <w:spacing w:after="0"/>
        <w:rPr>
          <w:b/>
          <w:lang w:val="en-CA" w:eastAsia="en-CA"/>
        </w:rPr>
      </w:pPr>
      <w:r w:rsidRPr="00C21DFB">
        <w:rPr>
          <w:b/>
          <w:color w:val="C45911" w:themeColor="accent2" w:themeShade="BF"/>
          <w:lang w:val="en-CA" w:eastAsia="en-CA"/>
        </w:rPr>
        <w:t>(c)</w:t>
      </w:r>
      <w:r w:rsidRPr="00C21DFB">
        <w:rPr>
          <w:color w:val="C45911" w:themeColor="accent2" w:themeShade="BF"/>
          <w:lang w:val="en-CA" w:eastAsia="en-CA"/>
        </w:rPr>
        <w:t xml:space="preserve"> </w:t>
      </w:r>
      <w:r w:rsidR="00D42A72" w:rsidRPr="00C21DFB">
        <w:rPr>
          <w:lang w:val="en-CA" w:eastAsia="en-CA"/>
        </w:rPr>
        <w:t xml:space="preserve">provide </w:t>
      </w:r>
      <w:r w:rsidR="00D42A72" w:rsidRPr="00C21DFB">
        <w:rPr>
          <w:b/>
          <w:i/>
          <w:lang w:val="en-CA" w:eastAsia="en-CA"/>
        </w:rPr>
        <w:t>other prescribed disclosure</w:t>
      </w:r>
      <w:r w:rsidR="00D42A72" w:rsidRPr="00C21DFB">
        <w:rPr>
          <w:b/>
          <w:lang w:val="en-CA" w:eastAsia="en-CA"/>
        </w:rPr>
        <w:t>.</w:t>
      </w:r>
    </w:p>
    <w:p w:rsidR="007E268A" w:rsidRPr="00C21DFB" w:rsidRDefault="007E268A" w:rsidP="00FF0B61">
      <w:pPr>
        <w:pStyle w:val="ListParagraph"/>
        <w:spacing w:after="0"/>
        <w:rPr>
          <w:b/>
          <w:lang w:val="en-CA" w:eastAsia="en-CA"/>
        </w:rPr>
      </w:pPr>
    </w:p>
    <w:p w:rsidR="003D0D96" w:rsidRDefault="00782E74" w:rsidP="00FF0B61">
      <w:pPr>
        <w:pStyle w:val="Heading2"/>
        <w:spacing w:line="240" w:lineRule="auto"/>
        <w:rPr>
          <w:lang w:val="en-CA" w:eastAsia="en-CA"/>
        </w:rPr>
      </w:pPr>
      <w:bookmarkStart w:id="41" w:name="_Toc468980412"/>
      <w:r w:rsidRPr="00E63E53">
        <w:rPr>
          <w:lang w:val="en-CA" w:eastAsia="en-CA"/>
        </w:rPr>
        <w:t xml:space="preserve">[1] </w:t>
      </w:r>
      <w:r w:rsidR="003D0D96" w:rsidRPr="00E63E53">
        <w:rPr>
          <w:lang w:val="en-CA" w:eastAsia="en-CA"/>
        </w:rPr>
        <w:t>Periodic Disclosure</w:t>
      </w:r>
      <w:r w:rsidR="0069191F">
        <w:rPr>
          <w:lang w:val="en-CA" w:eastAsia="en-CA"/>
        </w:rPr>
        <w:t xml:space="preserve"> </w:t>
      </w:r>
      <w:r w:rsidR="00C21DFB">
        <w:rPr>
          <w:lang w:val="en-CA" w:eastAsia="en-CA"/>
        </w:rPr>
        <w:t>(</w:t>
      </w:r>
      <w:r w:rsidR="00C21DFB" w:rsidRPr="00C21DFB">
        <w:rPr>
          <w:color w:val="C45911" w:themeColor="accent2" w:themeShade="BF"/>
          <w:lang w:val="en-CA" w:eastAsia="en-CA"/>
        </w:rPr>
        <w:t>85(a)</w:t>
      </w:r>
      <w:r w:rsidR="00C21DFB">
        <w:rPr>
          <w:lang w:val="en-CA" w:eastAsia="en-CA"/>
        </w:rPr>
        <w:t>)</w:t>
      </w:r>
      <w:bookmarkEnd w:id="41"/>
    </w:p>
    <w:p w:rsidR="00765FA2" w:rsidRDefault="00D86F9B" w:rsidP="00FF0B61">
      <w:pPr>
        <w:spacing w:after="0" w:line="240" w:lineRule="auto"/>
        <w:rPr>
          <w:lang w:val="en-CA" w:eastAsia="en-CA"/>
        </w:rPr>
      </w:pPr>
      <w:r>
        <w:rPr>
          <w:b/>
          <w:lang w:val="en-CA" w:eastAsia="en-CA"/>
        </w:rPr>
        <w:t xml:space="preserve">OVERVIEW: </w:t>
      </w:r>
      <w:r w:rsidR="00765FA2" w:rsidRPr="00765FA2">
        <w:rPr>
          <w:lang w:val="en-CA" w:eastAsia="en-CA"/>
        </w:rPr>
        <w:t>Requires financial disclosure, MD&amp;A, AIFs, certification, compensation disclosure, and proxy and information disclosure.</w:t>
      </w:r>
    </w:p>
    <w:p w:rsidR="00C92A0D" w:rsidRPr="00B124FD" w:rsidRDefault="00C92A0D" w:rsidP="00FF0B61">
      <w:pPr>
        <w:pStyle w:val="ListParagraph"/>
        <w:numPr>
          <w:ilvl w:val="0"/>
          <w:numId w:val="47"/>
        </w:numPr>
        <w:spacing w:after="0"/>
        <w:rPr>
          <w:lang w:val="en-CA" w:eastAsia="en-CA"/>
        </w:rPr>
      </w:pPr>
      <w:r w:rsidRPr="00B124FD">
        <w:rPr>
          <w:b/>
          <w:lang w:val="en-CA" w:eastAsia="en-CA"/>
        </w:rPr>
        <w:t xml:space="preserve">W/in 90 days of financial year’s end, Issuer files: 1) </w:t>
      </w:r>
      <w:r w:rsidRPr="00B124FD">
        <w:rPr>
          <w:lang w:val="en-CA" w:eastAsia="en-CA"/>
        </w:rPr>
        <w:t xml:space="preserve">Annual </w:t>
      </w:r>
      <w:r w:rsidR="0044236D" w:rsidRPr="00B124FD">
        <w:rPr>
          <w:lang w:val="en-CA" w:eastAsia="en-CA"/>
        </w:rPr>
        <w:t>FS</w:t>
      </w:r>
      <w:r w:rsidR="00E81923">
        <w:rPr>
          <w:lang w:val="en-CA" w:eastAsia="en-CA"/>
        </w:rPr>
        <w:t xml:space="preserve"> (</w:t>
      </w:r>
      <w:r w:rsidR="00027F48" w:rsidRPr="00B124FD">
        <w:rPr>
          <w:lang w:val="en-CA" w:eastAsia="en-CA"/>
        </w:rPr>
        <w:t>audited)</w:t>
      </w:r>
      <w:r w:rsidRPr="00B124FD">
        <w:rPr>
          <w:lang w:val="en-CA" w:eastAsia="en-CA"/>
        </w:rPr>
        <w:t xml:space="preserve">; </w:t>
      </w:r>
      <w:r w:rsidRPr="00B124FD">
        <w:rPr>
          <w:b/>
          <w:lang w:val="en-CA" w:eastAsia="en-CA"/>
        </w:rPr>
        <w:t xml:space="preserve">2) </w:t>
      </w:r>
      <w:r w:rsidRPr="00B124FD">
        <w:rPr>
          <w:lang w:val="en-CA" w:eastAsia="en-CA"/>
        </w:rPr>
        <w:t>MD&amp;A</w:t>
      </w:r>
      <w:r w:rsidR="00124FF4" w:rsidRPr="00B124FD">
        <w:rPr>
          <w:lang w:val="en-CA" w:eastAsia="en-CA"/>
        </w:rPr>
        <w:t xml:space="preserve"> (filed w/ </w:t>
      </w:r>
      <w:r w:rsidR="0044236D" w:rsidRPr="00B124FD">
        <w:rPr>
          <w:lang w:val="en-CA" w:eastAsia="en-CA"/>
        </w:rPr>
        <w:t>FS</w:t>
      </w:r>
      <w:r w:rsidR="00124FF4" w:rsidRPr="00B124FD">
        <w:rPr>
          <w:lang w:val="en-CA" w:eastAsia="en-CA"/>
        </w:rPr>
        <w:t>)</w:t>
      </w:r>
      <w:r w:rsidRPr="00B124FD">
        <w:rPr>
          <w:lang w:val="en-CA" w:eastAsia="en-CA"/>
        </w:rPr>
        <w:t xml:space="preserve">; </w:t>
      </w:r>
      <w:r w:rsidRPr="00B124FD">
        <w:rPr>
          <w:b/>
          <w:lang w:val="en-CA" w:eastAsia="en-CA"/>
        </w:rPr>
        <w:t xml:space="preserve">3) </w:t>
      </w:r>
      <w:r w:rsidRPr="00B124FD">
        <w:rPr>
          <w:lang w:val="en-CA" w:eastAsia="en-CA"/>
        </w:rPr>
        <w:t xml:space="preserve">Annual Information Form. </w:t>
      </w:r>
    </w:p>
    <w:p w:rsidR="00487FEB" w:rsidRPr="00B124FD" w:rsidRDefault="00487FEB" w:rsidP="00FF0B61">
      <w:pPr>
        <w:pStyle w:val="ListParagraph"/>
        <w:numPr>
          <w:ilvl w:val="0"/>
          <w:numId w:val="47"/>
        </w:numPr>
        <w:spacing w:after="0"/>
        <w:rPr>
          <w:lang w:val="en-CA" w:eastAsia="en-CA"/>
        </w:rPr>
      </w:pPr>
      <w:r w:rsidRPr="00B124FD">
        <w:rPr>
          <w:b/>
          <w:lang w:val="en-CA" w:eastAsia="en-CA"/>
        </w:rPr>
        <w:t xml:space="preserve">W/in 45 Days of Each Quarter, files: 1) </w:t>
      </w:r>
      <w:r w:rsidR="00124FF4" w:rsidRPr="00B124FD">
        <w:rPr>
          <w:lang w:val="en-CA" w:eastAsia="en-CA"/>
        </w:rPr>
        <w:t>Interim Financial Statements</w:t>
      </w:r>
      <w:r w:rsidR="00027F48" w:rsidRPr="00B124FD">
        <w:rPr>
          <w:lang w:val="en-CA" w:eastAsia="en-CA"/>
        </w:rPr>
        <w:t xml:space="preserve"> (may voluntarily audit)</w:t>
      </w:r>
      <w:r w:rsidR="00124FF4" w:rsidRPr="00B124FD">
        <w:rPr>
          <w:lang w:val="en-CA" w:eastAsia="en-CA"/>
        </w:rPr>
        <w:t xml:space="preserve">; </w:t>
      </w:r>
      <w:r w:rsidR="00124FF4" w:rsidRPr="00B124FD">
        <w:rPr>
          <w:b/>
          <w:lang w:val="en-CA" w:eastAsia="en-CA"/>
        </w:rPr>
        <w:t xml:space="preserve">2) </w:t>
      </w:r>
      <w:r w:rsidR="00124FF4" w:rsidRPr="00B124FD">
        <w:rPr>
          <w:lang w:val="en-CA" w:eastAsia="en-CA"/>
        </w:rPr>
        <w:t xml:space="preserve">MD&amp;A (filed w/ </w:t>
      </w:r>
      <w:r w:rsidR="00F63E86" w:rsidRPr="00B124FD">
        <w:rPr>
          <w:lang w:val="en-CA" w:eastAsia="en-CA"/>
        </w:rPr>
        <w:t>FS)</w:t>
      </w:r>
    </w:p>
    <w:p w:rsidR="00765FA2" w:rsidRDefault="00765FA2" w:rsidP="00FF0B61">
      <w:pPr>
        <w:spacing w:after="0" w:line="240" w:lineRule="auto"/>
        <w:rPr>
          <w:b/>
          <w:color w:val="7030A0"/>
          <w:lang w:val="en-CA" w:eastAsia="en-CA"/>
        </w:rPr>
      </w:pPr>
    </w:p>
    <w:p w:rsidR="00981017" w:rsidRDefault="00F52105" w:rsidP="00FF0B61">
      <w:pPr>
        <w:pStyle w:val="Heading3"/>
        <w:spacing w:line="240" w:lineRule="auto"/>
        <w:rPr>
          <w:lang w:val="en-CA" w:eastAsia="en-CA"/>
        </w:rPr>
      </w:pPr>
      <w:bookmarkStart w:id="42" w:name="_Toc468980413"/>
      <w:r>
        <w:rPr>
          <w:lang w:val="en-CA" w:eastAsia="en-CA"/>
        </w:rPr>
        <w:t>Financial Disclosure</w:t>
      </w:r>
      <w:bookmarkEnd w:id="42"/>
      <w:r>
        <w:rPr>
          <w:lang w:val="en-CA" w:eastAsia="en-CA"/>
        </w:rPr>
        <w:t xml:space="preserve"> </w:t>
      </w:r>
    </w:p>
    <w:p w:rsidR="00067FED" w:rsidRPr="002002A4" w:rsidRDefault="00067FED" w:rsidP="00FF0B61">
      <w:pPr>
        <w:spacing w:line="240" w:lineRule="auto"/>
        <w:rPr>
          <w:b/>
          <w:lang w:val="en-CA" w:eastAsia="en-CA"/>
        </w:rPr>
      </w:pPr>
      <w:r w:rsidRPr="002A0E63">
        <w:rPr>
          <w:b/>
          <w:u w:val="single"/>
          <w:lang w:val="en-CA" w:eastAsia="en-CA"/>
        </w:rPr>
        <w:t xml:space="preserve">[i] </w:t>
      </w:r>
      <w:r w:rsidRPr="002A0E63">
        <w:rPr>
          <w:b/>
          <w:i/>
          <w:u w:val="single"/>
          <w:lang w:val="en-CA" w:eastAsia="en-CA"/>
        </w:rPr>
        <w:t>Accounting Standards</w:t>
      </w:r>
      <w:r w:rsidR="00E03D84" w:rsidRPr="002A0E63">
        <w:rPr>
          <w:b/>
          <w:u w:val="single"/>
          <w:lang w:val="en-CA" w:eastAsia="en-CA"/>
        </w:rPr>
        <w:t>:</w:t>
      </w:r>
      <w:r w:rsidR="00E03D84">
        <w:rPr>
          <w:b/>
          <w:lang w:val="en-CA" w:eastAsia="en-CA"/>
        </w:rPr>
        <w:t xml:space="preserve"> </w:t>
      </w:r>
      <w:r w:rsidR="00E03D84">
        <w:rPr>
          <w:lang w:val="en-CA" w:eastAsia="en-CA"/>
        </w:rPr>
        <w:t>Reporting Issuer’s financial statements must be prepared according to International Fin</w:t>
      </w:r>
      <w:r w:rsidR="008B616B">
        <w:rPr>
          <w:lang w:val="en-CA" w:eastAsia="en-CA"/>
        </w:rPr>
        <w:t>ancial Report Standards (IFRS) (this is principles-based ac</w:t>
      </w:r>
      <w:r w:rsidR="002002A4">
        <w:rPr>
          <w:lang w:val="en-CA" w:eastAsia="en-CA"/>
        </w:rPr>
        <w:t>counting and less rules-based) (</w:t>
      </w:r>
      <w:r w:rsidR="002002A4" w:rsidRPr="002002A4">
        <w:rPr>
          <w:b/>
          <w:color w:val="7030A0"/>
          <w:lang w:val="en-CA" w:eastAsia="en-CA"/>
        </w:rPr>
        <w:t>NI 52-107, s</w:t>
      </w:r>
      <w:r w:rsidR="004E4F7A">
        <w:rPr>
          <w:b/>
          <w:color w:val="7030A0"/>
          <w:lang w:val="en-CA" w:eastAsia="en-CA"/>
        </w:rPr>
        <w:t>.</w:t>
      </w:r>
      <w:r w:rsidR="002002A4" w:rsidRPr="002002A4">
        <w:rPr>
          <w:b/>
          <w:color w:val="7030A0"/>
          <w:lang w:val="en-CA" w:eastAsia="en-CA"/>
        </w:rPr>
        <w:t>3.2(1)</w:t>
      </w:r>
      <w:r w:rsidR="002002A4">
        <w:rPr>
          <w:b/>
          <w:lang w:val="en-CA" w:eastAsia="en-CA"/>
        </w:rPr>
        <w:t>)</w:t>
      </w:r>
    </w:p>
    <w:p w:rsidR="001A19EB" w:rsidRDefault="00B03E53" w:rsidP="00FF0B61">
      <w:pPr>
        <w:spacing w:after="0" w:line="240" w:lineRule="auto"/>
        <w:rPr>
          <w:lang w:val="en-CA" w:eastAsia="en-CA"/>
        </w:rPr>
      </w:pPr>
      <w:r>
        <w:rPr>
          <w:b/>
          <w:lang w:val="en-CA" w:eastAsia="en-CA"/>
        </w:rPr>
        <w:t>BASIC “FORMULAS</w:t>
      </w:r>
      <w:r w:rsidR="001A19EB">
        <w:rPr>
          <w:b/>
          <w:lang w:val="en-CA" w:eastAsia="en-CA"/>
        </w:rPr>
        <w:t>”:</w:t>
      </w:r>
      <w:r w:rsidR="000B53B5">
        <w:rPr>
          <w:b/>
          <w:lang w:val="en-CA" w:eastAsia="en-CA"/>
        </w:rPr>
        <w:t xml:space="preserve"> </w:t>
      </w:r>
      <w:r w:rsidR="001A19EB" w:rsidRPr="000B53B5">
        <w:rPr>
          <w:b/>
          <w:lang w:val="en-CA" w:eastAsia="en-CA"/>
        </w:rPr>
        <w:t xml:space="preserve">Statement of financial position = </w:t>
      </w:r>
      <w:r w:rsidR="001A19EB" w:rsidRPr="000B53B5">
        <w:rPr>
          <w:lang w:val="en-CA" w:eastAsia="en-CA"/>
        </w:rPr>
        <w:t>revenues – expenses</w:t>
      </w:r>
      <w:r w:rsidR="000B53B5">
        <w:rPr>
          <w:b/>
          <w:lang w:val="en-CA" w:eastAsia="en-CA"/>
        </w:rPr>
        <w:t xml:space="preserve"> </w:t>
      </w:r>
      <w:r w:rsidR="000B53B5" w:rsidRPr="000B53B5">
        <w:rPr>
          <w:b/>
          <w:lang w:val="en-CA" w:eastAsia="en-CA"/>
        </w:rPr>
        <w:t>//</w:t>
      </w:r>
      <w:r w:rsidR="000B53B5">
        <w:rPr>
          <w:lang w:val="en-CA" w:eastAsia="en-CA"/>
        </w:rPr>
        <w:t xml:space="preserve"> </w:t>
      </w:r>
      <w:r w:rsidR="001A19EB" w:rsidRPr="000B53B5">
        <w:rPr>
          <w:b/>
          <w:lang w:val="en-CA" w:eastAsia="en-CA"/>
        </w:rPr>
        <w:t xml:space="preserve">Comprehensive income = </w:t>
      </w:r>
      <w:r w:rsidR="001A19EB" w:rsidRPr="000B53B5">
        <w:rPr>
          <w:lang w:val="en-CA" w:eastAsia="en-CA"/>
        </w:rPr>
        <w:t>More detail breakdown of what’s coming in</w:t>
      </w:r>
      <w:r w:rsidR="000B53B5">
        <w:rPr>
          <w:b/>
          <w:lang w:val="en-CA" w:eastAsia="en-CA"/>
        </w:rPr>
        <w:t xml:space="preserve"> // </w:t>
      </w:r>
      <w:r w:rsidR="001A19EB" w:rsidRPr="000B53B5">
        <w:rPr>
          <w:b/>
          <w:lang w:val="en-CA" w:eastAsia="en-CA"/>
        </w:rPr>
        <w:t xml:space="preserve">Changes of statements in equity – </w:t>
      </w:r>
      <w:r w:rsidR="000B53B5">
        <w:rPr>
          <w:lang w:val="en-CA" w:eastAsia="en-CA"/>
        </w:rPr>
        <w:t xml:space="preserve">Shares outstanding </w:t>
      </w:r>
      <w:r w:rsidR="000B53B5">
        <w:rPr>
          <w:b/>
          <w:lang w:val="en-CA" w:eastAsia="en-CA"/>
        </w:rPr>
        <w:t xml:space="preserve">// </w:t>
      </w:r>
      <w:r w:rsidR="001A19EB" w:rsidRPr="000B53B5">
        <w:rPr>
          <w:b/>
          <w:lang w:val="en-CA" w:eastAsia="en-CA"/>
        </w:rPr>
        <w:t>Statement of Cash Flows –</w:t>
      </w:r>
      <w:r w:rsidR="001A19EB" w:rsidRPr="000B53B5">
        <w:rPr>
          <w:lang w:val="en-CA" w:eastAsia="en-CA"/>
        </w:rPr>
        <w:t xml:space="preserve"> Money coming in and going out. </w:t>
      </w:r>
    </w:p>
    <w:p w:rsidR="00503FC6" w:rsidRDefault="00503FC6" w:rsidP="00FF0B61">
      <w:pPr>
        <w:spacing w:after="0" w:line="240" w:lineRule="auto"/>
        <w:rPr>
          <w:b/>
          <w:u w:val="single"/>
          <w:lang w:val="en-CA" w:eastAsia="en-CA"/>
        </w:rPr>
      </w:pPr>
    </w:p>
    <w:p w:rsidR="00067FED" w:rsidRDefault="00067FED" w:rsidP="00FF0B61">
      <w:pPr>
        <w:spacing w:after="0" w:line="240" w:lineRule="auto"/>
        <w:rPr>
          <w:b/>
          <w:lang w:val="en-CA" w:eastAsia="en-CA"/>
        </w:rPr>
      </w:pPr>
      <w:r w:rsidRPr="00966059">
        <w:rPr>
          <w:b/>
          <w:u w:val="single"/>
          <w:lang w:val="en-CA" w:eastAsia="en-CA"/>
        </w:rPr>
        <w:t xml:space="preserve">[ii] </w:t>
      </w:r>
      <w:r w:rsidRPr="00966059">
        <w:rPr>
          <w:b/>
          <w:i/>
          <w:u w:val="single"/>
          <w:lang w:val="en-CA" w:eastAsia="en-CA"/>
        </w:rPr>
        <w:t>Timing</w:t>
      </w:r>
      <w:r w:rsidR="00177041">
        <w:rPr>
          <w:b/>
          <w:i/>
          <w:u w:val="single"/>
          <w:lang w:val="en-CA" w:eastAsia="en-CA"/>
        </w:rPr>
        <w:t>, Delivery &amp; Filing</w:t>
      </w:r>
      <w:r w:rsidR="00966059">
        <w:rPr>
          <w:b/>
          <w:lang w:val="en-CA" w:eastAsia="en-CA"/>
        </w:rPr>
        <w:t xml:space="preserve">: </w:t>
      </w:r>
    </w:p>
    <w:p w:rsidR="00D82B20" w:rsidRDefault="00DE4C66" w:rsidP="00FF0B61">
      <w:pPr>
        <w:pStyle w:val="ListParagraph"/>
        <w:numPr>
          <w:ilvl w:val="0"/>
          <w:numId w:val="42"/>
        </w:numPr>
        <w:ind w:left="360"/>
        <w:rPr>
          <w:lang w:val="en-CA" w:eastAsia="en-CA"/>
        </w:rPr>
      </w:pPr>
      <w:r>
        <w:rPr>
          <w:b/>
          <w:lang w:val="en-CA" w:eastAsia="en-CA"/>
        </w:rPr>
        <w:t xml:space="preserve">ANNUAL </w:t>
      </w:r>
      <w:r w:rsidR="00D82B20">
        <w:rPr>
          <w:b/>
          <w:lang w:val="en-CA" w:eastAsia="en-CA"/>
        </w:rPr>
        <w:t>Financial Statements:</w:t>
      </w:r>
      <w:r w:rsidR="002002A4" w:rsidRPr="002002A4">
        <w:t xml:space="preserve"> </w:t>
      </w:r>
      <w:r w:rsidR="002002A4" w:rsidRPr="002002A4">
        <w:rPr>
          <w:lang w:val="en-CA" w:eastAsia="en-CA"/>
        </w:rPr>
        <w:t xml:space="preserve">A </w:t>
      </w:r>
      <w:r w:rsidR="002002A4" w:rsidRPr="00E75EA7">
        <w:rPr>
          <w:u w:val="single"/>
          <w:lang w:val="en-CA" w:eastAsia="en-CA"/>
        </w:rPr>
        <w:t>non-venture</w:t>
      </w:r>
      <w:r w:rsidR="002002A4" w:rsidRPr="002002A4">
        <w:rPr>
          <w:lang w:val="en-CA" w:eastAsia="en-CA"/>
        </w:rPr>
        <w:t xml:space="preserve"> </w:t>
      </w:r>
      <w:r w:rsidR="00E30385">
        <w:rPr>
          <w:lang w:val="en-CA" w:eastAsia="en-CA"/>
        </w:rPr>
        <w:t>RI</w:t>
      </w:r>
      <w:r w:rsidR="002002A4" w:rsidRPr="002002A4">
        <w:rPr>
          <w:lang w:val="en-CA" w:eastAsia="en-CA"/>
        </w:rPr>
        <w:t xml:space="preserve"> must file audited annual financial </w:t>
      </w:r>
      <w:r w:rsidR="002002A4" w:rsidRPr="006E5266">
        <w:rPr>
          <w:b/>
          <w:i/>
          <w:lang w:val="en-CA" w:eastAsia="en-CA"/>
        </w:rPr>
        <w:t>statements within 90 days</w:t>
      </w:r>
      <w:r w:rsidR="006E5266">
        <w:rPr>
          <w:lang w:val="en-CA" w:eastAsia="en-CA"/>
        </w:rPr>
        <w:t xml:space="preserve"> of its year-end </w:t>
      </w:r>
      <w:r w:rsidR="002002A4" w:rsidRPr="002002A4">
        <w:rPr>
          <w:lang w:val="en-CA" w:eastAsia="en-CA"/>
        </w:rPr>
        <w:t>(</w:t>
      </w:r>
      <w:r w:rsidR="0040766A" w:rsidRPr="0040766A">
        <w:rPr>
          <w:b/>
          <w:color w:val="7030A0"/>
          <w:lang w:val="en-CA" w:eastAsia="en-CA"/>
        </w:rPr>
        <w:t xml:space="preserve">NI 51-102 </w:t>
      </w:r>
      <w:r w:rsidR="002002A4" w:rsidRPr="0040766A">
        <w:rPr>
          <w:b/>
          <w:color w:val="7030A0"/>
          <w:lang w:val="en-CA" w:eastAsia="en-CA"/>
        </w:rPr>
        <w:t>s.4.2</w:t>
      </w:r>
      <w:r w:rsidR="002002A4" w:rsidRPr="002002A4">
        <w:rPr>
          <w:lang w:val="en-CA" w:eastAsia="en-CA"/>
        </w:rPr>
        <w:t xml:space="preserve">) It must </w:t>
      </w:r>
      <w:r w:rsidR="002002A4" w:rsidRPr="00263609">
        <w:rPr>
          <w:u w:val="single"/>
          <w:lang w:val="en-CA" w:eastAsia="en-CA"/>
        </w:rPr>
        <w:t>compare the current year’s</w:t>
      </w:r>
      <w:r w:rsidR="004649CD" w:rsidRPr="00263609">
        <w:rPr>
          <w:u w:val="single"/>
          <w:lang w:val="en-CA" w:eastAsia="en-CA"/>
        </w:rPr>
        <w:t xml:space="preserve"> results to the previous year’s</w:t>
      </w:r>
      <w:r w:rsidR="004649CD">
        <w:rPr>
          <w:lang w:val="en-CA" w:eastAsia="en-CA"/>
        </w:rPr>
        <w:t xml:space="preserve"> </w:t>
      </w:r>
      <w:r w:rsidR="004649CD">
        <w:rPr>
          <w:b/>
          <w:lang w:val="en-CA" w:eastAsia="en-CA"/>
        </w:rPr>
        <w:t xml:space="preserve">// </w:t>
      </w:r>
      <w:r w:rsidR="00966FA3">
        <w:rPr>
          <w:b/>
          <w:lang w:val="en-CA" w:eastAsia="en-CA"/>
        </w:rPr>
        <w:t>Info</w:t>
      </w:r>
      <w:r w:rsidR="00BF4404">
        <w:rPr>
          <w:b/>
          <w:lang w:val="en-CA" w:eastAsia="en-CA"/>
        </w:rPr>
        <w:t xml:space="preserve"> Filed</w:t>
      </w:r>
      <w:r w:rsidR="00966FA3">
        <w:rPr>
          <w:b/>
          <w:lang w:val="en-CA" w:eastAsia="en-CA"/>
        </w:rPr>
        <w:t>:</w:t>
      </w:r>
      <w:r w:rsidR="002002A4" w:rsidRPr="002002A4">
        <w:rPr>
          <w:lang w:val="en-CA" w:eastAsia="en-CA"/>
        </w:rPr>
        <w:t xml:space="preserve"> a </w:t>
      </w:r>
      <w:r w:rsidR="00863686">
        <w:rPr>
          <w:lang w:val="en-CA" w:eastAsia="en-CA"/>
        </w:rPr>
        <w:t xml:space="preserve">statement of </w:t>
      </w:r>
      <w:r w:rsidR="002002A4" w:rsidRPr="002002A4">
        <w:rPr>
          <w:lang w:val="en-CA" w:eastAsia="en-CA"/>
        </w:rPr>
        <w:t>comprehensive income, statement of changes</w:t>
      </w:r>
      <w:r w:rsidR="00F561F7">
        <w:rPr>
          <w:lang w:val="en-CA" w:eastAsia="en-CA"/>
        </w:rPr>
        <w:t xml:space="preserve"> in equity and a statement of cash flows for the financial year</w:t>
      </w:r>
      <w:r w:rsidR="002002A4" w:rsidRPr="002002A4">
        <w:rPr>
          <w:lang w:val="en-CA" w:eastAsia="en-CA"/>
        </w:rPr>
        <w:t>, statement of financial position as a</w:t>
      </w:r>
      <w:r w:rsidR="00295424">
        <w:rPr>
          <w:lang w:val="en-CA" w:eastAsia="en-CA"/>
        </w:rPr>
        <w:t>t the end of the financial year</w:t>
      </w:r>
      <w:r w:rsidR="00A22BA1">
        <w:rPr>
          <w:lang w:val="en-CA" w:eastAsia="en-CA"/>
        </w:rPr>
        <w:t>, and notes to the annual financial statements must be filed</w:t>
      </w:r>
      <w:r w:rsidR="00295424">
        <w:rPr>
          <w:lang w:val="en-CA" w:eastAsia="en-CA"/>
        </w:rPr>
        <w:t xml:space="preserve"> (</w:t>
      </w:r>
      <w:r w:rsidR="00295424" w:rsidRPr="0040766A">
        <w:rPr>
          <w:b/>
          <w:color w:val="7030A0"/>
          <w:lang w:val="en-CA" w:eastAsia="en-CA"/>
        </w:rPr>
        <w:t xml:space="preserve">NI 51-102 </w:t>
      </w:r>
      <w:r w:rsidR="00295424">
        <w:rPr>
          <w:b/>
          <w:color w:val="7030A0"/>
          <w:lang w:val="en-CA" w:eastAsia="en-CA"/>
        </w:rPr>
        <w:t>s.4.1)</w:t>
      </w:r>
    </w:p>
    <w:p w:rsidR="006E5266" w:rsidRPr="009809BC" w:rsidRDefault="006E5266" w:rsidP="00FF0B61">
      <w:pPr>
        <w:pStyle w:val="ListParagraph"/>
        <w:numPr>
          <w:ilvl w:val="1"/>
          <w:numId w:val="37"/>
        </w:numPr>
        <w:ind w:left="1080"/>
        <w:rPr>
          <w:b/>
          <w:lang w:val="en-CA" w:eastAsia="en-CA"/>
        </w:rPr>
      </w:pPr>
      <w:r>
        <w:rPr>
          <w:b/>
          <w:lang w:val="en-CA" w:eastAsia="en-CA"/>
        </w:rPr>
        <w:t>NB:</w:t>
      </w:r>
      <w:r>
        <w:rPr>
          <w:lang w:val="en-CA" w:eastAsia="en-CA"/>
        </w:rPr>
        <w:t xml:space="preserve"> A </w:t>
      </w:r>
      <w:r w:rsidR="00E9445F">
        <w:rPr>
          <w:b/>
          <w:lang w:val="en-CA" w:eastAsia="en-CA"/>
        </w:rPr>
        <w:t>“</w:t>
      </w:r>
      <w:r w:rsidRPr="002002A4">
        <w:rPr>
          <w:lang w:val="en-CA" w:eastAsia="en-CA"/>
        </w:rPr>
        <w:t>venture issuer</w:t>
      </w:r>
      <w:r w:rsidR="00E9445F">
        <w:rPr>
          <w:b/>
          <w:lang w:val="en-CA" w:eastAsia="en-CA"/>
        </w:rPr>
        <w:t>”</w:t>
      </w:r>
      <w:r w:rsidRPr="002002A4">
        <w:rPr>
          <w:lang w:val="en-CA" w:eastAsia="en-CA"/>
        </w:rPr>
        <w:t xml:space="preserve"> has 120</w:t>
      </w:r>
      <w:r w:rsidR="003D2EAD">
        <w:rPr>
          <w:lang w:val="en-CA" w:eastAsia="en-CA"/>
        </w:rPr>
        <w:t xml:space="preserve"> days</w:t>
      </w:r>
      <w:r>
        <w:rPr>
          <w:b/>
          <w:lang w:val="en-CA" w:eastAsia="en-CA"/>
        </w:rPr>
        <w:t xml:space="preserve"> </w:t>
      </w:r>
      <w:r w:rsidRPr="006E5266">
        <w:rPr>
          <w:b/>
          <w:lang w:val="en-CA" w:eastAsia="en-CA"/>
        </w:rPr>
        <w:sym w:font="Wingdings" w:char="F0E0"/>
      </w:r>
      <w:r>
        <w:rPr>
          <w:b/>
          <w:lang w:val="en-CA" w:eastAsia="en-CA"/>
        </w:rPr>
        <w:t xml:space="preserve"> </w:t>
      </w:r>
      <w:r w:rsidR="00D16D6A">
        <w:rPr>
          <w:b/>
          <w:lang w:val="en-CA" w:eastAsia="en-CA"/>
        </w:rPr>
        <w:t xml:space="preserve">“Venture Issuer” </w:t>
      </w:r>
      <w:r w:rsidR="003D2EAD">
        <w:rPr>
          <w:b/>
          <w:lang w:val="en-CA" w:eastAsia="en-CA"/>
        </w:rPr>
        <w:t>(</w:t>
      </w:r>
      <w:r w:rsidR="003D2EAD" w:rsidRPr="006E5266">
        <w:rPr>
          <w:b/>
          <w:color w:val="7030A0"/>
          <w:lang w:val="en-CA" w:eastAsia="en-CA"/>
        </w:rPr>
        <w:t>NI 51-102</w:t>
      </w:r>
      <w:r w:rsidR="003D2EAD">
        <w:rPr>
          <w:b/>
          <w:color w:val="7030A0"/>
          <w:lang w:val="en-CA" w:eastAsia="en-CA"/>
        </w:rPr>
        <w:t xml:space="preserve"> </w:t>
      </w:r>
      <w:r w:rsidR="003D2EAD" w:rsidRPr="003D2EAD">
        <w:rPr>
          <w:b/>
          <w:color w:val="7030A0"/>
          <w:lang w:val="en-CA" w:eastAsia="en-CA"/>
        </w:rPr>
        <w:t>s.1(1)</w:t>
      </w:r>
      <w:r w:rsidR="003D2EAD">
        <w:rPr>
          <w:lang w:val="en-CA" w:eastAsia="en-CA"/>
        </w:rPr>
        <w:t>)</w:t>
      </w:r>
      <w:r w:rsidR="00D16D6A">
        <w:rPr>
          <w:b/>
          <w:lang w:val="en-CA" w:eastAsia="en-CA"/>
        </w:rPr>
        <w:t>-</w:t>
      </w:r>
      <w:r>
        <w:rPr>
          <w:b/>
          <w:lang w:val="en-CA" w:eastAsia="en-CA"/>
        </w:rPr>
        <w:t xml:space="preserve"> </w:t>
      </w:r>
      <w:r w:rsidR="000E1D57">
        <w:rPr>
          <w:lang w:val="en-CA" w:eastAsia="en-CA"/>
        </w:rPr>
        <w:t>RI</w:t>
      </w:r>
      <w:r>
        <w:rPr>
          <w:lang w:val="en-CA" w:eastAsia="en-CA"/>
        </w:rPr>
        <w:t xml:space="preserve"> that did not have any of its securities li</w:t>
      </w:r>
      <w:r w:rsidR="00D16D6A">
        <w:rPr>
          <w:lang w:val="en-CA" w:eastAsia="en-CA"/>
        </w:rPr>
        <w:t>sted or quoted on at of the TSX or</w:t>
      </w:r>
      <w:r>
        <w:rPr>
          <w:lang w:val="en-CA" w:eastAsia="en-CA"/>
        </w:rPr>
        <w:t xml:space="preserve"> other exchanges (Special rules for</w:t>
      </w:r>
      <w:r w:rsidR="009809BC">
        <w:rPr>
          <w:lang w:val="en-CA" w:eastAsia="en-CA"/>
        </w:rPr>
        <w:t xml:space="preserve"> small companies not listed</w:t>
      </w:r>
      <w:r>
        <w:rPr>
          <w:lang w:val="en-CA" w:eastAsia="en-CA"/>
        </w:rPr>
        <w:t xml:space="preserve">).  </w:t>
      </w:r>
      <w:r w:rsidRPr="00703B22">
        <w:rPr>
          <w:lang w:val="en-CA" w:eastAsia="en-CA"/>
        </w:rPr>
        <w:t xml:space="preserve"> </w:t>
      </w:r>
    </w:p>
    <w:p w:rsidR="00D82B20" w:rsidRPr="001C3916" w:rsidRDefault="00DE4C66" w:rsidP="00FF0B61">
      <w:pPr>
        <w:pStyle w:val="ListParagraph"/>
        <w:numPr>
          <w:ilvl w:val="0"/>
          <w:numId w:val="42"/>
        </w:numPr>
        <w:ind w:left="360"/>
        <w:rPr>
          <w:lang w:val="en-CA" w:eastAsia="en-CA"/>
        </w:rPr>
      </w:pPr>
      <w:r>
        <w:rPr>
          <w:b/>
          <w:lang w:val="en-CA" w:eastAsia="en-CA"/>
        </w:rPr>
        <w:lastRenderedPageBreak/>
        <w:t xml:space="preserve">INTERIM </w:t>
      </w:r>
      <w:r w:rsidR="00D82B20">
        <w:rPr>
          <w:b/>
          <w:lang w:val="en-CA" w:eastAsia="en-CA"/>
        </w:rPr>
        <w:t>Financial Statements:</w:t>
      </w:r>
      <w:r w:rsidR="002002A4" w:rsidRPr="002002A4">
        <w:t xml:space="preserve"> </w:t>
      </w:r>
      <w:r w:rsidR="00491AF9">
        <w:rPr>
          <w:lang w:val="en-CA" w:eastAsia="en-CA"/>
        </w:rPr>
        <w:t>Periods ending 9, 6</w:t>
      </w:r>
      <w:r w:rsidR="002002A4" w:rsidRPr="002002A4">
        <w:rPr>
          <w:lang w:val="en-CA" w:eastAsia="en-CA"/>
        </w:rPr>
        <w:t>, an</w:t>
      </w:r>
      <w:r w:rsidR="00491AF9">
        <w:rPr>
          <w:lang w:val="en-CA" w:eastAsia="en-CA"/>
        </w:rPr>
        <w:t>d 3</w:t>
      </w:r>
      <w:r w:rsidR="002002A4" w:rsidRPr="002002A4">
        <w:rPr>
          <w:lang w:val="en-CA" w:eastAsia="en-CA"/>
        </w:rPr>
        <w:t xml:space="preserve"> </w:t>
      </w:r>
      <w:r w:rsidR="002002A4" w:rsidRPr="003C2D0A">
        <w:rPr>
          <w:b/>
          <w:i/>
          <w:lang w:val="en-CA" w:eastAsia="en-CA"/>
        </w:rPr>
        <w:t>months before the end of its financial year</w:t>
      </w:r>
      <w:r w:rsidR="003A2E11">
        <w:rPr>
          <w:b/>
          <w:i/>
          <w:lang w:val="en-CA" w:eastAsia="en-CA"/>
        </w:rPr>
        <w:t xml:space="preserve"> </w:t>
      </w:r>
      <w:r w:rsidR="003A2E11">
        <w:rPr>
          <w:b/>
          <w:lang w:val="en-CA" w:eastAsia="en-CA"/>
        </w:rPr>
        <w:t>(i.e “quarterly”)</w:t>
      </w:r>
      <w:r w:rsidR="002002A4" w:rsidRPr="002002A4">
        <w:rPr>
          <w:lang w:val="en-CA" w:eastAsia="en-CA"/>
        </w:rPr>
        <w:t xml:space="preserve">. </w:t>
      </w:r>
      <w:r w:rsidR="00EE094E">
        <w:rPr>
          <w:lang w:val="en-CA" w:eastAsia="en-CA"/>
        </w:rPr>
        <w:t>Due w/</w:t>
      </w:r>
      <w:r w:rsidR="002002A4" w:rsidRPr="002002A4">
        <w:rPr>
          <w:lang w:val="en-CA" w:eastAsia="en-CA"/>
        </w:rPr>
        <w:t xml:space="preserve">in </w:t>
      </w:r>
      <w:r w:rsidR="002002A4" w:rsidRPr="00392DA5">
        <w:rPr>
          <w:b/>
          <w:i/>
          <w:u w:val="single"/>
          <w:lang w:val="en-CA" w:eastAsia="en-CA"/>
        </w:rPr>
        <w:t>45 days</w:t>
      </w:r>
      <w:r w:rsidR="002002A4" w:rsidRPr="002002A4">
        <w:rPr>
          <w:lang w:val="en-CA" w:eastAsia="en-CA"/>
        </w:rPr>
        <w:t xml:space="preserve"> for non-venture issuers</w:t>
      </w:r>
      <w:r w:rsidR="00EE40A6">
        <w:rPr>
          <w:lang w:val="en-CA" w:eastAsia="en-CA"/>
        </w:rPr>
        <w:t xml:space="preserve"> (</w:t>
      </w:r>
      <w:r w:rsidR="00EE40A6" w:rsidRPr="0040766A">
        <w:rPr>
          <w:b/>
          <w:color w:val="7030A0"/>
          <w:lang w:val="en-CA" w:eastAsia="en-CA"/>
        </w:rPr>
        <w:t xml:space="preserve">NI 51-102 </w:t>
      </w:r>
      <w:r w:rsidR="00EE40A6">
        <w:rPr>
          <w:b/>
          <w:color w:val="7030A0"/>
          <w:lang w:val="en-CA" w:eastAsia="en-CA"/>
        </w:rPr>
        <w:t>s</w:t>
      </w:r>
      <w:r w:rsidR="003D39CD">
        <w:rPr>
          <w:b/>
          <w:color w:val="7030A0"/>
          <w:lang w:val="en-CA" w:eastAsia="en-CA"/>
        </w:rPr>
        <w:t>s</w:t>
      </w:r>
      <w:r w:rsidR="00006B3E">
        <w:rPr>
          <w:b/>
          <w:color w:val="7030A0"/>
          <w:lang w:val="en-CA" w:eastAsia="en-CA"/>
        </w:rPr>
        <w:t>.4.3-4.4</w:t>
      </w:r>
      <w:r w:rsidR="00EE40A6">
        <w:rPr>
          <w:b/>
          <w:color w:val="7030A0"/>
          <w:lang w:val="en-CA" w:eastAsia="en-CA"/>
        </w:rPr>
        <w:t>)</w:t>
      </w:r>
      <w:r w:rsidR="00022752">
        <w:rPr>
          <w:lang w:val="en-CA" w:eastAsia="en-CA"/>
        </w:rPr>
        <w:t xml:space="preserve"> </w:t>
      </w:r>
      <w:r w:rsidR="004649CD">
        <w:rPr>
          <w:b/>
          <w:lang w:val="en-CA" w:eastAsia="en-CA"/>
        </w:rPr>
        <w:t>//</w:t>
      </w:r>
      <w:r w:rsidR="002002A4" w:rsidRPr="002002A4">
        <w:rPr>
          <w:lang w:val="en-CA" w:eastAsia="en-CA"/>
        </w:rPr>
        <w:t xml:space="preserve"> </w:t>
      </w:r>
      <w:r w:rsidR="003C53E8">
        <w:rPr>
          <w:b/>
          <w:lang w:val="en-CA" w:eastAsia="en-CA"/>
        </w:rPr>
        <w:t xml:space="preserve">Info Included: </w:t>
      </w:r>
      <w:r w:rsidR="003C53E8">
        <w:rPr>
          <w:lang w:val="en-CA" w:eastAsia="en-CA"/>
        </w:rPr>
        <w:t>Same info as annual statements</w:t>
      </w:r>
      <w:r w:rsidR="004975B3">
        <w:rPr>
          <w:lang w:val="en-CA" w:eastAsia="en-CA"/>
        </w:rPr>
        <w:t xml:space="preserve"> (above)</w:t>
      </w:r>
      <w:r w:rsidR="003C53E8">
        <w:rPr>
          <w:lang w:val="en-CA" w:eastAsia="en-CA"/>
        </w:rPr>
        <w:t>. Need not include an auditors report, but are</w:t>
      </w:r>
      <w:r w:rsidR="00EE40A6">
        <w:rPr>
          <w:lang w:val="en-CA" w:eastAsia="en-CA"/>
        </w:rPr>
        <w:t xml:space="preserve"> subject to an </w:t>
      </w:r>
      <w:r w:rsidR="003C31B8">
        <w:rPr>
          <w:lang w:val="en-CA" w:eastAsia="en-CA"/>
        </w:rPr>
        <w:t>auditor’s</w:t>
      </w:r>
      <w:r w:rsidR="00EE40A6">
        <w:rPr>
          <w:lang w:val="en-CA" w:eastAsia="en-CA"/>
        </w:rPr>
        <w:t xml:space="preserve"> review </w:t>
      </w:r>
      <w:r w:rsidR="00EE40A6" w:rsidRPr="002002A4">
        <w:rPr>
          <w:lang w:val="en-CA" w:eastAsia="en-CA"/>
        </w:rPr>
        <w:t>(</w:t>
      </w:r>
      <w:r w:rsidR="00EE40A6" w:rsidRPr="0040766A">
        <w:rPr>
          <w:b/>
          <w:color w:val="7030A0"/>
          <w:lang w:val="en-CA" w:eastAsia="en-CA"/>
        </w:rPr>
        <w:t xml:space="preserve">NI 51-102 </w:t>
      </w:r>
      <w:r w:rsidR="00EE40A6">
        <w:rPr>
          <w:b/>
          <w:color w:val="7030A0"/>
          <w:lang w:val="en-CA" w:eastAsia="en-CA"/>
        </w:rPr>
        <w:t>s.4.3</w:t>
      </w:r>
      <w:r w:rsidR="003D39CD">
        <w:rPr>
          <w:b/>
          <w:color w:val="7030A0"/>
          <w:lang w:val="en-CA" w:eastAsia="en-CA"/>
        </w:rPr>
        <w:t>(3)</w:t>
      </w:r>
      <w:r w:rsidR="00EE40A6">
        <w:rPr>
          <w:b/>
          <w:color w:val="7030A0"/>
          <w:lang w:val="en-CA" w:eastAsia="en-CA"/>
        </w:rPr>
        <w:t>)</w:t>
      </w:r>
    </w:p>
    <w:p w:rsidR="00956A67" w:rsidRPr="00956A67" w:rsidRDefault="00956A67" w:rsidP="00FF0B61">
      <w:pPr>
        <w:pStyle w:val="ListParagraph"/>
        <w:numPr>
          <w:ilvl w:val="1"/>
          <w:numId w:val="42"/>
        </w:numPr>
        <w:ind w:left="1080"/>
        <w:rPr>
          <w:lang w:val="en-CA" w:eastAsia="en-CA"/>
        </w:rPr>
      </w:pPr>
      <w:r>
        <w:t xml:space="preserve">If an auditor </w:t>
      </w:r>
      <w:r w:rsidRPr="00956A67">
        <w:rPr>
          <w:u w:val="single"/>
        </w:rPr>
        <w:t>has not performed a review</w:t>
      </w:r>
      <w:r>
        <w:t xml:space="preserve"> of an interim financial report the interim financial report must be </w:t>
      </w:r>
      <w:r w:rsidRPr="00956A67">
        <w:rPr>
          <w:b/>
          <w:i/>
        </w:rPr>
        <w:t>accompanied by a notice</w:t>
      </w:r>
      <w:r>
        <w:t xml:space="preserve"> indicating that the interim financial report has not been reviewed by an auditor (</w:t>
      </w:r>
      <w:r w:rsidRPr="006036BE">
        <w:rPr>
          <w:b/>
          <w:color w:val="7030A0"/>
        </w:rPr>
        <w:t>s.4.3(3)(a)</w:t>
      </w:r>
      <w:r>
        <w:rPr>
          <w:b/>
        </w:rPr>
        <w:t>)</w:t>
      </w:r>
    </w:p>
    <w:p w:rsidR="00F9231E" w:rsidRPr="004E4F7A" w:rsidRDefault="00F9231E" w:rsidP="00FF0B61">
      <w:pPr>
        <w:pStyle w:val="ListParagraph"/>
        <w:numPr>
          <w:ilvl w:val="1"/>
          <w:numId w:val="42"/>
        </w:numPr>
        <w:ind w:left="1080"/>
        <w:rPr>
          <w:lang w:val="en-CA" w:eastAsia="en-CA"/>
        </w:rPr>
      </w:pPr>
      <w:r>
        <w:rPr>
          <w:b/>
          <w:lang w:val="en-CA" w:eastAsia="en-CA"/>
        </w:rPr>
        <w:t xml:space="preserve">NB: </w:t>
      </w:r>
      <w:r w:rsidRPr="002002A4">
        <w:rPr>
          <w:lang w:val="en-CA" w:eastAsia="en-CA"/>
        </w:rPr>
        <w:t>60 days of the end of the interim</w:t>
      </w:r>
      <w:r>
        <w:rPr>
          <w:lang w:val="en-CA" w:eastAsia="en-CA"/>
        </w:rPr>
        <w:t xml:space="preserve"> period for </w:t>
      </w:r>
      <w:r w:rsidR="0048016D">
        <w:rPr>
          <w:lang w:val="en-CA" w:eastAsia="en-CA"/>
        </w:rPr>
        <w:t>“</w:t>
      </w:r>
      <w:r w:rsidR="00AB150D">
        <w:rPr>
          <w:lang w:val="en-CA" w:eastAsia="en-CA"/>
        </w:rPr>
        <w:t>venture issuers” (</w:t>
      </w:r>
      <w:r w:rsidR="00AB150D" w:rsidRPr="0040766A">
        <w:rPr>
          <w:b/>
          <w:color w:val="7030A0"/>
          <w:lang w:val="en-CA" w:eastAsia="en-CA"/>
        </w:rPr>
        <w:t xml:space="preserve">NI 51-102 </w:t>
      </w:r>
      <w:r w:rsidR="00AB150D">
        <w:rPr>
          <w:b/>
          <w:color w:val="7030A0"/>
          <w:lang w:val="en-CA" w:eastAsia="en-CA"/>
        </w:rPr>
        <w:t>s.4.4)</w:t>
      </w:r>
      <w:r w:rsidR="00295424">
        <w:rPr>
          <w:b/>
          <w:color w:val="7030A0"/>
          <w:lang w:val="en-CA" w:eastAsia="en-CA"/>
        </w:rPr>
        <w:t xml:space="preserve">. </w:t>
      </w:r>
    </w:p>
    <w:p w:rsidR="004E4F7A" w:rsidRDefault="004E4F7A" w:rsidP="00FF0B61">
      <w:pPr>
        <w:spacing w:after="0" w:line="240" w:lineRule="auto"/>
        <w:rPr>
          <w:b/>
          <w:color w:val="7030A0"/>
          <w:lang w:val="en-CA" w:eastAsia="en-CA"/>
        </w:rPr>
      </w:pPr>
      <w:r>
        <w:rPr>
          <w:b/>
          <w:lang w:val="en-CA" w:eastAsia="en-CA"/>
        </w:rPr>
        <w:t xml:space="preserve">Delivery of Financial Statements: </w:t>
      </w:r>
      <w:r w:rsidR="00B9753B" w:rsidRPr="00B9753B">
        <w:rPr>
          <w:lang w:val="en-CA" w:eastAsia="en-CA"/>
        </w:rPr>
        <w:t xml:space="preserve">RI must send annually a </w:t>
      </w:r>
      <w:r w:rsidR="00B9753B" w:rsidRPr="00636025">
        <w:rPr>
          <w:u w:val="single"/>
          <w:lang w:val="en-CA" w:eastAsia="en-CA"/>
        </w:rPr>
        <w:t>request form</w:t>
      </w:r>
      <w:r w:rsidR="00B9753B" w:rsidRPr="00B9753B">
        <w:rPr>
          <w:lang w:val="en-CA" w:eastAsia="en-CA"/>
        </w:rPr>
        <w:t xml:space="preserve"> to the </w:t>
      </w:r>
      <w:r w:rsidR="00B9753B" w:rsidRPr="00636025">
        <w:rPr>
          <w:b/>
          <w:i/>
          <w:lang w:val="en-CA" w:eastAsia="en-CA"/>
        </w:rPr>
        <w:t>registered holders and beneficial owners</w:t>
      </w:r>
      <w:r w:rsidR="00B9753B" w:rsidRPr="00B9753B">
        <w:rPr>
          <w:lang w:val="en-CA" w:eastAsia="en-CA"/>
        </w:rPr>
        <w:t xml:space="preserve"> of its securities, other than debt instruments, asking if they request AFS and MD&amp;A. For interim, not required to send copies of statements past 1 year</w:t>
      </w:r>
      <w:r w:rsidR="00B9753B">
        <w:rPr>
          <w:b/>
          <w:lang w:val="en-CA" w:eastAsia="en-CA"/>
        </w:rPr>
        <w:t xml:space="preserve"> (</w:t>
      </w:r>
      <w:r w:rsidR="00B9753B" w:rsidRPr="0040766A">
        <w:rPr>
          <w:b/>
          <w:color w:val="7030A0"/>
          <w:lang w:val="en-CA" w:eastAsia="en-CA"/>
        </w:rPr>
        <w:t xml:space="preserve">NI 51-102 </w:t>
      </w:r>
      <w:r w:rsidR="00B9753B">
        <w:rPr>
          <w:b/>
          <w:color w:val="7030A0"/>
          <w:lang w:val="en-CA" w:eastAsia="en-CA"/>
        </w:rPr>
        <w:t xml:space="preserve">s.4.6). </w:t>
      </w:r>
    </w:p>
    <w:p w:rsidR="00177041" w:rsidRDefault="00177041" w:rsidP="00FF0B61">
      <w:pPr>
        <w:spacing w:after="0" w:line="240" w:lineRule="auto"/>
        <w:rPr>
          <w:b/>
          <w:color w:val="7030A0"/>
          <w:lang w:val="en-CA" w:eastAsia="en-CA"/>
        </w:rPr>
      </w:pPr>
    </w:p>
    <w:p w:rsidR="000F6DF8" w:rsidRDefault="00177041" w:rsidP="00FF0B61">
      <w:pPr>
        <w:spacing w:after="0" w:line="240" w:lineRule="auto"/>
        <w:rPr>
          <w:lang w:val="en-CA" w:eastAsia="en-CA"/>
        </w:rPr>
      </w:pPr>
      <w:r w:rsidRPr="00DD1891">
        <w:rPr>
          <w:b/>
          <w:lang w:val="en-CA" w:eastAsia="en-CA"/>
        </w:rPr>
        <w:t xml:space="preserve">Filing of Financial Statements: </w:t>
      </w:r>
      <w:r w:rsidR="00E30385">
        <w:rPr>
          <w:b/>
          <w:color w:val="7030A0"/>
          <w:lang w:val="en-CA" w:eastAsia="en-CA"/>
        </w:rPr>
        <w:t>NI 51-102</w:t>
      </w:r>
      <w:r w:rsidR="00E44863" w:rsidRPr="00DD1891">
        <w:rPr>
          <w:b/>
          <w:color w:val="7030A0"/>
          <w:lang w:val="en-CA" w:eastAsia="en-CA"/>
        </w:rPr>
        <w:t xml:space="preserve"> s.4.7 </w:t>
      </w:r>
      <w:r w:rsidR="000F6DF8" w:rsidRPr="000F6DF8">
        <w:rPr>
          <w:b/>
          <w:u w:val="single"/>
          <w:lang w:val="en-CA" w:eastAsia="en-CA"/>
        </w:rPr>
        <w:t>sets out filing criteria:</w:t>
      </w:r>
      <w:r w:rsidR="000F6DF8">
        <w:rPr>
          <w:lang w:val="en-CA" w:eastAsia="en-CA"/>
        </w:rPr>
        <w:t xml:space="preserve"> </w:t>
      </w:r>
      <w:r w:rsidR="000F6DF8" w:rsidRPr="000F6DF8">
        <w:rPr>
          <w:lang w:val="en-CA" w:eastAsia="en-CA"/>
        </w:rPr>
        <w:t xml:space="preserve">The first annual </w:t>
      </w:r>
      <w:r w:rsidR="000F6DF8">
        <w:rPr>
          <w:lang w:val="en-CA" w:eastAsia="en-CA"/>
        </w:rPr>
        <w:t>FS</w:t>
      </w:r>
      <w:r w:rsidR="000F6DF8" w:rsidRPr="000F6DF8">
        <w:rPr>
          <w:lang w:val="en-CA" w:eastAsia="en-CA"/>
        </w:rPr>
        <w:t xml:space="preserve"> and interim financial reports that an RI must file are </w:t>
      </w:r>
      <w:r w:rsidR="000F6DF8">
        <w:rPr>
          <w:lang w:val="en-CA" w:eastAsia="en-CA"/>
        </w:rPr>
        <w:t>FS</w:t>
      </w:r>
      <w:r w:rsidR="000F6DF8" w:rsidRPr="000F6DF8">
        <w:rPr>
          <w:lang w:val="en-CA" w:eastAsia="en-CA"/>
        </w:rPr>
        <w:t xml:space="preserve"> for the financial year and interim periods immediately following the periods for which </w:t>
      </w:r>
      <w:r w:rsidR="000F6DF8">
        <w:rPr>
          <w:lang w:val="en-CA" w:eastAsia="en-CA"/>
        </w:rPr>
        <w:t>FS</w:t>
      </w:r>
      <w:r w:rsidR="000F6DF8" w:rsidRPr="000F6DF8">
        <w:rPr>
          <w:lang w:val="en-CA" w:eastAsia="en-CA"/>
        </w:rPr>
        <w:t xml:space="preserve"> of the issuer were included in a d</w:t>
      </w:r>
      <w:r w:rsidR="000F6DF8">
        <w:rPr>
          <w:lang w:val="en-CA" w:eastAsia="en-CA"/>
        </w:rPr>
        <w:t>ocument filed:</w:t>
      </w:r>
      <w:r w:rsidR="000F6DF8" w:rsidRPr="000F6DF8">
        <w:rPr>
          <w:lang w:val="en-CA" w:eastAsia="en-CA"/>
        </w:rPr>
        <w:t xml:space="preserve"> </w:t>
      </w:r>
      <w:r w:rsidR="000F6DF8" w:rsidRPr="000F6DF8">
        <w:rPr>
          <w:b/>
          <w:lang w:val="en-CA" w:eastAsia="en-CA"/>
        </w:rPr>
        <w:t>(a)</w:t>
      </w:r>
      <w:r w:rsidR="000F6DF8">
        <w:rPr>
          <w:lang w:val="en-CA" w:eastAsia="en-CA"/>
        </w:rPr>
        <w:t xml:space="preserve"> </w:t>
      </w:r>
      <w:r w:rsidR="000F6DF8" w:rsidRPr="000F6DF8">
        <w:rPr>
          <w:lang w:val="en-CA" w:eastAsia="en-CA"/>
        </w:rPr>
        <w:t xml:space="preserve">that resulted in the issuer becoming a </w:t>
      </w:r>
      <w:r w:rsidR="000F6DF8">
        <w:rPr>
          <w:lang w:val="en-CA" w:eastAsia="en-CA"/>
        </w:rPr>
        <w:t>RI.</w:t>
      </w:r>
      <w:r w:rsidR="000F6DF8" w:rsidRPr="000F6DF8">
        <w:rPr>
          <w:lang w:val="en-CA" w:eastAsia="en-CA"/>
        </w:rPr>
        <w:t xml:space="preserve"> </w:t>
      </w:r>
    </w:p>
    <w:p w:rsidR="00177041" w:rsidRPr="000F6DF8" w:rsidRDefault="000F6DF8" w:rsidP="00FF0B61">
      <w:pPr>
        <w:pStyle w:val="ListParagraph"/>
        <w:numPr>
          <w:ilvl w:val="0"/>
          <w:numId w:val="42"/>
        </w:numPr>
        <w:spacing w:after="0"/>
        <w:rPr>
          <w:lang w:val="en-CA" w:eastAsia="en-CA"/>
        </w:rPr>
      </w:pPr>
      <w:r>
        <w:rPr>
          <w:b/>
          <w:lang w:val="en-CA" w:eastAsia="en-CA"/>
        </w:rPr>
        <w:t xml:space="preserve">Date: </w:t>
      </w:r>
      <w:r w:rsidRPr="000F6DF8">
        <w:rPr>
          <w:lang w:val="en-CA" w:eastAsia="en-CA"/>
        </w:rPr>
        <w:t>Must file those annual statements on or before the later of the filing deadline in s.4.2 or the 20th day after becoming an RI</w:t>
      </w:r>
    </w:p>
    <w:p w:rsidR="0094435D" w:rsidRPr="0094435D" w:rsidRDefault="0094435D" w:rsidP="00FF0B61">
      <w:pPr>
        <w:pStyle w:val="ListParagraph"/>
        <w:numPr>
          <w:ilvl w:val="0"/>
          <w:numId w:val="43"/>
        </w:numPr>
        <w:spacing w:after="0"/>
        <w:rPr>
          <w:lang w:val="en-CA" w:eastAsia="en-CA"/>
        </w:rPr>
      </w:pPr>
      <w:r w:rsidRPr="00DD1891">
        <w:rPr>
          <w:b/>
          <w:lang w:val="en-CA" w:eastAsia="en-CA"/>
        </w:rPr>
        <w:t>Exemption (</w:t>
      </w:r>
      <w:r w:rsidRPr="00DD1891">
        <w:rPr>
          <w:b/>
          <w:color w:val="7030A0"/>
          <w:lang w:val="en-CA" w:eastAsia="en-CA"/>
        </w:rPr>
        <w:t>s.4.7(4)</w:t>
      </w:r>
      <w:r w:rsidRPr="00DD1891">
        <w:rPr>
          <w:b/>
          <w:lang w:val="en-CA" w:eastAsia="en-CA"/>
        </w:rPr>
        <w:t xml:space="preserve">): </w:t>
      </w:r>
      <w:r w:rsidR="008E30E3" w:rsidRPr="00DD1891">
        <w:rPr>
          <w:lang w:val="en-CA" w:eastAsia="en-CA"/>
        </w:rPr>
        <w:t xml:space="preserve">RI is not required to provide comparative interim financial info for periods that ended before the issuer became a RI if: </w:t>
      </w:r>
      <w:r w:rsidR="008E30E3" w:rsidRPr="00DD1891">
        <w:rPr>
          <w:b/>
          <w:lang w:val="en-CA" w:eastAsia="en-CA"/>
        </w:rPr>
        <w:t xml:space="preserve">a) </w:t>
      </w:r>
      <w:r w:rsidR="008E30E3" w:rsidRPr="00DD1891">
        <w:rPr>
          <w:lang w:val="en-CA" w:eastAsia="en-CA"/>
        </w:rPr>
        <w:t>to</w:t>
      </w:r>
      <w:r w:rsidR="008E30E3">
        <w:rPr>
          <w:lang w:val="en-CA" w:eastAsia="en-CA"/>
        </w:rPr>
        <w:t xml:space="preserve"> a reasonable person impracticable to present prior-info, </w:t>
      </w:r>
      <w:r w:rsidR="008E30E3">
        <w:rPr>
          <w:b/>
          <w:lang w:val="en-CA" w:eastAsia="en-CA"/>
        </w:rPr>
        <w:t xml:space="preserve">b) </w:t>
      </w:r>
      <w:r w:rsidR="008E30E3">
        <w:rPr>
          <w:lang w:val="en-CA" w:eastAsia="en-CA"/>
        </w:rPr>
        <w:t xml:space="preserve">prior-period info that is available is presented, and </w:t>
      </w:r>
      <w:r w:rsidR="008E30E3">
        <w:rPr>
          <w:b/>
          <w:lang w:val="en-CA" w:eastAsia="en-CA"/>
        </w:rPr>
        <w:t xml:space="preserve">c) </w:t>
      </w:r>
      <w:r w:rsidR="008E30E3">
        <w:rPr>
          <w:lang w:val="en-CA" w:eastAsia="en-CA"/>
        </w:rPr>
        <w:t xml:space="preserve">the notes to the interim financial report disclosure the fact that the prior-period info has not been prepared on a basis consistent w/ thje most recent interim financial info. </w:t>
      </w:r>
    </w:p>
    <w:p w:rsidR="00763847" w:rsidRPr="00D82B20" w:rsidRDefault="00763847" w:rsidP="00FF0B61">
      <w:pPr>
        <w:pStyle w:val="ListParagraph"/>
        <w:spacing w:after="0"/>
        <w:rPr>
          <w:lang w:val="en-CA" w:eastAsia="en-CA"/>
        </w:rPr>
      </w:pPr>
    </w:p>
    <w:p w:rsidR="00067FED" w:rsidRDefault="00067FED" w:rsidP="00FF0B61">
      <w:pPr>
        <w:spacing w:after="0" w:line="240" w:lineRule="auto"/>
        <w:rPr>
          <w:b/>
          <w:lang w:val="en-CA" w:eastAsia="en-CA"/>
        </w:rPr>
      </w:pPr>
      <w:r w:rsidRPr="006E1D83">
        <w:rPr>
          <w:b/>
          <w:u w:val="single"/>
          <w:lang w:val="en-CA" w:eastAsia="en-CA"/>
        </w:rPr>
        <w:t xml:space="preserve">[iii] </w:t>
      </w:r>
      <w:r w:rsidRPr="006E1D83">
        <w:rPr>
          <w:b/>
          <w:i/>
          <w:u w:val="single"/>
          <w:lang w:val="en-CA" w:eastAsia="en-CA"/>
        </w:rPr>
        <w:t>Auditors Reports</w:t>
      </w:r>
      <w:r w:rsidR="006E1D83">
        <w:rPr>
          <w:b/>
          <w:lang w:val="en-CA" w:eastAsia="en-CA"/>
        </w:rPr>
        <w:t xml:space="preserve">: </w:t>
      </w:r>
      <w:r w:rsidR="00C006A6">
        <w:rPr>
          <w:lang w:val="en-CA" w:eastAsia="en-CA"/>
        </w:rPr>
        <w:t>Audited Financial Statements (i.e. all annual statements and any interim statements the issuer voluntarily chooses to have audited) must be audited in accordance w/ “fair presentation framework”</w:t>
      </w:r>
      <w:r w:rsidR="003338B8">
        <w:rPr>
          <w:lang w:val="en-CA" w:eastAsia="en-CA"/>
        </w:rPr>
        <w:t xml:space="preserve"> o</w:t>
      </w:r>
      <w:r w:rsidR="00C006A6">
        <w:rPr>
          <w:lang w:val="en-CA" w:eastAsia="en-CA"/>
        </w:rPr>
        <w:t>f the IFRS (</w:t>
      </w:r>
      <w:r w:rsidR="00C006A6" w:rsidRPr="00C006A6">
        <w:rPr>
          <w:b/>
          <w:color w:val="7030A0"/>
          <w:lang w:val="en-CA" w:eastAsia="en-CA"/>
        </w:rPr>
        <w:t>NI 52-107 s.3.3</w:t>
      </w:r>
      <w:r w:rsidR="00C006A6">
        <w:rPr>
          <w:b/>
          <w:lang w:val="en-CA" w:eastAsia="en-CA"/>
        </w:rPr>
        <w:t>)</w:t>
      </w:r>
    </w:p>
    <w:p w:rsidR="00DD1891" w:rsidRPr="00DD1891" w:rsidRDefault="00F16A57" w:rsidP="00FF0B61">
      <w:pPr>
        <w:pStyle w:val="ListParagraph"/>
        <w:numPr>
          <w:ilvl w:val="0"/>
          <w:numId w:val="44"/>
        </w:numPr>
        <w:spacing w:after="0"/>
        <w:rPr>
          <w:b/>
          <w:lang w:val="en-CA" w:eastAsia="en-CA"/>
        </w:rPr>
      </w:pPr>
      <w:r>
        <w:rPr>
          <w:b/>
          <w:lang w:val="en-CA" w:eastAsia="en-CA"/>
        </w:rPr>
        <w:t xml:space="preserve">Purpose: </w:t>
      </w:r>
      <w:r w:rsidRPr="003120AC">
        <w:t xml:space="preserve">Their audits are intended to enable </w:t>
      </w:r>
      <w:r w:rsidR="003D455A">
        <w:t xml:space="preserve">security </w:t>
      </w:r>
      <w:r w:rsidR="003D455A" w:rsidRPr="003120AC">
        <w:t>holders</w:t>
      </w:r>
      <w:r w:rsidRPr="003120AC">
        <w:t xml:space="preserve"> to oversee mgmt, not to assist</w:t>
      </w:r>
      <w:r w:rsidR="00EE647A">
        <w:t xml:space="preserve"> SHs</w:t>
      </w:r>
      <w:r w:rsidRPr="003120AC">
        <w:t xml:space="preserve"> in personal investment decisions. No fid</w:t>
      </w:r>
      <w:r w:rsidR="00035156">
        <w:t xml:space="preserve"> duty to public or shareholders (</w:t>
      </w:r>
      <w:r w:rsidR="00035156" w:rsidRPr="00035156">
        <w:rPr>
          <w:b/>
          <w:i/>
          <w:color w:val="1006E0"/>
        </w:rPr>
        <w:t>Hercules Mgt</w:t>
      </w:r>
      <w:r w:rsidR="00035156">
        <w:t>)</w:t>
      </w:r>
    </w:p>
    <w:p w:rsidR="00A65B18" w:rsidRPr="00DD1891" w:rsidRDefault="00A65B18" w:rsidP="00FF0B61">
      <w:pPr>
        <w:pStyle w:val="ListParagraph"/>
        <w:numPr>
          <w:ilvl w:val="0"/>
          <w:numId w:val="44"/>
        </w:numPr>
        <w:spacing w:after="0"/>
        <w:rPr>
          <w:b/>
          <w:lang w:val="en-CA" w:eastAsia="en-CA"/>
        </w:rPr>
      </w:pPr>
      <w:r w:rsidRPr="00DD1891">
        <w:rPr>
          <w:b/>
          <w:lang w:val="en-CA" w:eastAsia="en-CA"/>
        </w:rPr>
        <w:t>Change of Auditor (</w:t>
      </w:r>
      <w:r w:rsidRPr="00DD1891">
        <w:rPr>
          <w:b/>
          <w:color w:val="7030A0"/>
          <w:lang w:val="en-CA" w:eastAsia="en-CA"/>
        </w:rPr>
        <w:t>NI 51-102 s. 4.11)</w:t>
      </w:r>
      <w:r w:rsidRPr="00DD1891">
        <w:rPr>
          <w:b/>
          <w:lang w:val="en-CA" w:eastAsia="en-CA"/>
        </w:rPr>
        <w:t xml:space="preserve"> – </w:t>
      </w:r>
      <w:r w:rsidRPr="00DD1891">
        <w:rPr>
          <w:lang w:val="en-CA" w:eastAsia="en-CA"/>
        </w:rPr>
        <w:t>Extensive set of disclosure requirements re: what happens if disagree, fire or hire a new auditor. Must disclose all of the info, auditor must provide statement of why they understand they were fired and you must provide a statement.</w:t>
      </w:r>
    </w:p>
    <w:p w:rsidR="00DD1891" w:rsidRPr="00DD1891" w:rsidRDefault="00DD1891" w:rsidP="00FF0B61">
      <w:pPr>
        <w:pStyle w:val="ListParagraph"/>
        <w:spacing w:after="0"/>
        <w:rPr>
          <w:b/>
          <w:lang w:val="en-CA" w:eastAsia="en-CA"/>
        </w:rPr>
      </w:pPr>
    </w:p>
    <w:p w:rsidR="008D6F58" w:rsidRPr="00190BA6" w:rsidRDefault="00067FED" w:rsidP="00FF0B61">
      <w:pPr>
        <w:spacing w:line="240" w:lineRule="auto"/>
        <w:rPr>
          <w:lang w:val="en-CA" w:eastAsia="en-CA"/>
        </w:rPr>
      </w:pPr>
      <w:r w:rsidRPr="00190BA6">
        <w:rPr>
          <w:b/>
          <w:u w:val="single"/>
          <w:lang w:val="en-CA" w:eastAsia="en-CA"/>
        </w:rPr>
        <w:t xml:space="preserve">[iv] </w:t>
      </w:r>
      <w:r w:rsidR="004B5F91" w:rsidRPr="00190BA6">
        <w:rPr>
          <w:b/>
          <w:i/>
          <w:u w:val="single"/>
          <w:lang w:val="en-CA" w:eastAsia="en-CA"/>
        </w:rPr>
        <w:t>Sign</w:t>
      </w:r>
      <w:r w:rsidR="00190BA6">
        <w:rPr>
          <w:b/>
          <w:i/>
          <w:u w:val="single"/>
          <w:lang w:val="en-CA" w:eastAsia="en-CA"/>
        </w:rPr>
        <w:t>ificant or Material Information</w:t>
      </w:r>
      <w:r w:rsidR="00190BA6">
        <w:rPr>
          <w:b/>
          <w:u w:val="single"/>
          <w:lang w:val="en-CA" w:eastAsia="en-CA"/>
        </w:rPr>
        <w:t xml:space="preserve">: </w:t>
      </w:r>
      <w:r w:rsidR="008D6F58">
        <w:rPr>
          <w:lang w:val="en-CA" w:eastAsia="en-CA"/>
        </w:rPr>
        <w:t>Financial statements need contain only significant – i.e. material –</w:t>
      </w:r>
      <w:r w:rsidR="002778E1">
        <w:rPr>
          <w:lang w:val="en-CA" w:eastAsia="en-CA"/>
        </w:rPr>
        <w:t xml:space="preserve"> matters (</w:t>
      </w:r>
      <w:r w:rsidR="002778E1" w:rsidRPr="008D2350">
        <w:rPr>
          <w:b/>
          <w:lang w:val="en-CA" w:eastAsia="en-CA"/>
        </w:rPr>
        <w:t>NB:</w:t>
      </w:r>
      <w:r w:rsidR="002778E1">
        <w:rPr>
          <w:lang w:val="en-CA" w:eastAsia="en-CA"/>
        </w:rPr>
        <w:t xml:space="preserve"> Prospectus principle of full disclosure of all material facts equally applies to financial statements). </w:t>
      </w:r>
    </w:p>
    <w:p w:rsidR="00153CDE" w:rsidRDefault="004B5F91" w:rsidP="00FF0B61">
      <w:pPr>
        <w:spacing w:line="240" w:lineRule="auto"/>
        <w:rPr>
          <w:b/>
          <w:lang w:val="en-CA" w:eastAsia="en-CA"/>
        </w:rPr>
      </w:pPr>
      <w:r w:rsidRPr="00D94165">
        <w:rPr>
          <w:b/>
          <w:u w:val="single"/>
          <w:lang w:val="en-CA" w:eastAsia="en-CA"/>
        </w:rPr>
        <w:t xml:space="preserve">[v] </w:t>
      </w:r>
      <w:r w:rsidRPr="00D94165">
        <w:rPr>
          <w:b/>
          <w:i/>
          <w:u w:val="single"/>
          <w:lang w:val="en-CA" w:eastAsia="en-CA"/>
        </w:rPr>
        <w:t>Exemptions</w:t>
      </w:r>
      <w:r w:rsidR="00D94165">
        <w:rPr>
          <w:b/>
          <w:lang w:val="en-CA" w:eastAsia="en-CA"/>
        </w:rPr>
        <w:t>:</w:t>
      </w:r>
      <w:r w:rsidR="00751050">
        <w:rPr>
          <w:b/>
          <w:lang w:val="en-CA" w:eastAsia="en-CA"/>
        </w:rPr>
        <w:t xml:space="preserve"> </w:t>
      </w:r>
      <w:r w:rsidR="00751050">
        <w:rPr>
          <w:lang w:val="en-CA" w:eastAsia="en-CA"/>
        </w:rPr>
        <w:t>Commission may grant an exemption from any part of NI 51-102, subject to any condition or restrictions it imposes (</w:t>
      </w:r>
      <w:r w:rsidR="00751050" w:rsidRPr="00751050">
        <w:rPr>
          <w:b/>
          <w:color w:val="7030A0"/>
          <w:lang w:val="en-CA" w:eastAsia="en-CA"/>
        </w:rPr>
        <w:t>s.13.1(1)</w:t>
      </w:r>
      <w:r w:rsidR="00751050">
        <w:rPr>
          <w:b/>
          <w:lang w:val="en-CA" w:eastAsia="en-CA"/>
        </w:rPr>
        <w:t>)</w:t>
      </w:r>
    </w:p>
    <w:p w:rsidR="00153CDE" w:rsidRPr="00153CDE" w:rsidRDefault="004B5F91" w:rsidP="00FF0B61">
      <w:pPr>
        <w:spacing w:after="0" w:line="240" w:lineRule="auto"/>
        <w:rPr>
          <w:b/>
          <w:lang w:val="en-CA" w:eastAsia="en-CA"/>
        </w:rPr>
      </w:pPr>
      <w:r w:rsidRPr="00145EDF">
        <w:rPr>
          <w:b/>
          <w:u w:val="single"/>
          <w:lang w:val="en-CA" w:eastAsia="en-CA"/>
        </w:rPr>
        <w:t xml:space="preserve">[vi] </w:t>
      </w:r>
      <w:r w:rsidR="00EC20FA" w:rsidRPr="00131A5A">
        <w:rPr>
          <w:b/>
          <w:i/>
          <w:u w:val="single"/>
        </w:rPr>
        <w:t>F</w:t>
      </w:r>
      <w:r w:rsidR="00153CDE" w:rsidRPr="00131A5A">
        <w:rPr>
          <w:b/>
          <w:i/>
          <w:u w:val="single"/>
        </w:rPr>
        <w:t xml:space="preserve">orward </w:t>
      </w:r>
      <w:r w:rsidR="00EC20FA" w:rsidRPr="00131A5A">
        <w:rPr>
          <w:b/>
          <w:i/>
          <w:u w:val="single"/>
        </w:rPr>
        <w:t>Looking I</w:t>
      </w:r>
      <w:r w:rsidR="00153CDE" w:rsidRPr="00131A5A">
        <w:rPr>
          <w:b/>
          <w:i/>
          <w:u w:val="single"/>
        </w:rPr>
        <w:t>nfo;</w:t>
      </w:r>
      <w:r w:rsidR="00EC20FA" w:rsidRPr="00131A5A">
        <w:rPr>
          <w:b/>
          <w:i/>
          <w:u w:val="single"/>
        </w:rPr>
        <w:t xml:space="preserve"> Future-Oriented Financial Info</w:t>
      </w:r>
      <w:r w:rsidR="00153CDE" w:rsidRPr="00131A5A">
        <w:rPr>
          <w:b/>
          <w:i/>
          <w:u w:val="single"/>
        </w:rPr>
        <w:t xml:space="preserve"> </w:t>
      </w:r>
      <w:r w:rsidR="00EC20FA" w:rsidRPr="00131A5A">
        <w:rPr>
          <w:b/>
          <w:i/>
          <w:u w:val="single"/>
        </w:rPr>
        <w:t>(“</w:t>
      </w:r>
      <w:r w:rsidR="00153CDE" w:rsidRPr="00131A5A">
        <w:rPr>
          <w:b/>
          <w:i/>
          <w:u w:val="single"/>
        </w:rPr>
        <w:t>FOFI</w:t>
      </w:r>
      <w:r w:rsidR="00EC20FA" w:rsidRPr="00131A5A">
        <w:rPr>
          <w:b/>
          <w:i/>
          <w:u w:val="single"/>
        </w:rPr>
        <w:t>”)</w:t>
      </w:r>
      <w:r w:rsidR="008C26E3" w:rsidRPr="00131A5A">
        <w:rPr>
          <w:b/>
          <w:i/>
          <w:u w:val="single"/>
        </w:rPr>
        <w:t>;</w:t>
      </w:r>
      <w:r w:rsidR="00153CDE" w:rsidRPr="00131A5A">
        <w:rPr>
          <w:b/>
          <w:i/>
          <w:u w:val="single"/>
        </w:rPr>
        <w:t xml:space="preserve"> and </w:t>
      </w:r>
      <w:r w:rsidR="00EC20FA" w:rsidRPr="00131A5A">
        <w:rPr>
          <w:b/>
          <w:i/>
          <w:u w:val="single"/>
        </w:rPr>
        <w:t>Fi</w:t>
      </w:r>
      <w:r w:rsidR="00153CDE" w:rsidRPr="00131A5A">
        <w:rPr>
          <w:b/>
          <w:i/>
          <w:u w:val="single"/>
        </w:rPr>
        <w:t xml:space="preserve">nancial </w:t>
      </w:r>
      <w:r w:rsidR="00EC20FA" w:rsidRPr="00131A5A">
        <w:rPr>
          <w:b/>
          <w:i/>
          <w:u w:val="single"/>
        </w:rPr>
        <w:t>O</w:t>
      </w:r>
      <w:r w:rsidR="00153CDE" w:rsidRPr="00131A5A">
        <w:rPr>
          <w:b/>
          <w:i/>
          <w:u w:val="single"/>
        </w:rPr>
        <w:t>utlook.</w:t>
      </w:r>
      <w:r w:rsidR="00153CDE" w:rsidRPr="003120AC">
        <w:t xml:space="preserve"> </w:t>
      </w:r>
    </w:p>
    <w:p w:rsidR="00D165AB" w:rsidRPr="00D165AB" w:rsidRDefault="005E284F" w:rsidP="00FF0B61">
      <w:pPr>
        <w:pStyle w:val="ListParagraph"/>
        <w:numPr>
          <w:ilvl w:val="0"/>
          <w:numId w:val="44"/>
        </w:numPr>
        <w:rPr>
          <w:szCs w:val="12"/>
        </w:rPr>
      </w:pPr>
      <w:r>
        <w:rPr>
          <w:b/>
          <w:szCs w:val="12"/>
        </w:rPr>
        <w:t>Forward-</w:t>
      </w:r>
      <w:r w:rsidR="00153CDE" w:rsidRPr="00153CDE">
        <w:rPr>
          <w:b/>
          <w:szCs w:val="12"/>
        </w:rPr>
        <w:t>Looking Information</w:t>
      </w:r>
      <w:r w:rsidR="00153CDE">
        <w:rPr>
          <w:szCs w:val="12"/>
        </w:rPr>
        <w:t xml:space="preserve">: </w:t>
      </w:r>
      <w:r w:rsidR="00D165AB" w:rsidRPr="003120AC">
        <w:t xml:space="preserve">is </w:t>
      </w:r>
      <w:r w:rsidR="00D165AB" w:rsidRPr="003120AC">
        <w:rPr>
          <w:b/>
        </w:rPr>
        <w:t>broadest term</w:t>
      </w:r>
      <w:r w:rsidR="00D165AB" w:rsidRPr="003120AC">
        <w:t xml:space="preserve"> and covers </w:t>
      </w:r>
      <w:r w:rsidR="00D165AB" w:rsidRPr="00A47681">
        <w:rPr>
          <w:u w:val="single"/>
        </w:rPr>
        <w:t>all disclosure regarding possible events</w:t>
      </w:r>
      <w:r w:rsidR="00D165AB" w:rsidRPr="003120AC">
        <w:t>, conditions or fin</w:t>
      </w:r>
      <w:r w:rsidR="00686EFF">
        <w:t>ancial</w:t>
      </w:r>
      <w:r w:rsidR="00D165AB" w:rsidRPr="003120AC">
        <w:t xml:space="preserve"> performance that is based on assumptions about future economic conditions and courses of action. It includes FOFI w/ respect to </w:t>
      </w:r>
      <w:r w:rsidR="00D165AB" w:rsidRPr="003120AC">
        <w:rPr>
          <w:b/>
        </w:rPr>
        <w:t>prospective fin</w:t>
      </w:r>
      <w:r w:rsidR="00686EFF">
        <w:rPr>
          <w:b/>
        </w:rPr>
        <w:t>ancial</w:t>
      </w:r>
      <w:r w:rsidR="00D165AB" w:rsidRPr="003120AC">
        <w:rPr>
          <w:b/>
        </w:rPr>
        <w:t xml:space="preserve"> performance, fin</w:t>
      </w:r>
      <w:r w:rsidR="00686EFF">
        <w:rPr>
          <w:b/>
        </w:rPr>
        <w:t>ancial</w:t>
      </w:r>
      <w:r w:rsidR="00D165AB" w:rsidRPr="003120AC">
        <w:rPr>
          <w:b/>
        </w:rPr>
        <w:t xml:space="preserve"> position or cash flows</w:t>
      </w:r>
      <w:r w:rsidR="00D165AB" w:rsidRPr="003120AC">
        <w:t>, presented either as a forecast or a projection.</w:t>
      </w:r>
    </w:p>
    <w:p w:rsidR="00153CDE" w:rsidRPr="00F65138" w:rsidRDefault="00A47681" w:rsidP="00FF0B61">
      <w:pPr>
        <w:pStyle w:val="ListParagraph"/>
        <w:numPr>
          <w:ilvl w:val="1"/>
          <w:numId w:val="44"/>
        </w:numPr>
        <w:rPr>
          <w:szCs w:val="12"/>
        </w:rPr>
      </w:pPr>
      <w:r>
        <w:rPr>
          <w:b/>
          <w:szCs w:val="12"/>
        </w:rPr>
        <w:t>FOFI &amp;</w:t>
      </w:r>
      <w:r w:rsidR="00153CDE" w:rsidRPr="00D165AB">
        <w:rPr>
          <w:b/>
          <w:szCs w:val="12"/>
        </w:rPr>
        <w:t xml:space="preserve"> Financial Outlooks</w:t>
      </w:r>
      <w:r w:rsidR="00D165AB" w:rsidRPr="00D165AB">
        <w:rPr>
          <w:b/>
          <w:szCs w:val="12"/>
        </w:rPr>
        <w:t>:</w:t>
      </w:r>
      <w:r w:rsidR="00D165AB" w:rsidRPr="00D165AB">
        <w:rPr>
          <w:b/>
        </w:rPr>
        <w:t xml:space="preserve"> </w:t>
      </w:r>
      <w:r w:rsidR="00D165AB">
        <w:t>are</w:t>
      </w:r>
      <w:r w:rsidR="00D165AB" w:rsidRPr="00D165AB">
        <w:rPr>
          <w:b/>
          <w:szCs w:val="12"/>
        </w:rPr>
        <w:t xml:space="preserve"> </w:t>
      </w:r>
      <w:r w:rsidR="00D165AB" w:rsidRPr="00D165AB">
        <w:rPr>
          <w:u w:val="single"/>
        </w:rPr>
        <w:t>types of forward looking</w:t>
      </w:r>
      <w:r w:rsidR="00D165AB" w:rsidRPr="003120AC">
        <w:t xml:space="preserve"> info about prospective fin</w:t>
      </w:r>
      <w:r w:rsidR="00686EFF">
        <w:t>ancial</w:t>
      </w:r>
      <w:r w:rsidR="00D165AB" w:rsidRPr="003120AC">
        <w:t xml:space="preserve"> performance, fin</w:t>
      </w:r>
      <w:r w:rsidR="00686EFF">
        <w:t>ancial</w:t>
      </w:r>
      <w:r w:rsidR="00D165AB" w:rsidRPr="003120AC">
        <w:t xml:space="preserve"> position or cash flows. This info is FOFI when presented in the format of a historical statement of fin position, statement of comprehensive income or statement of cash flows, when presented in any other form it is a financial outlook. </w:t>
      </w:r>
    </w:p>
    <w:p w:rsidR="00F65138" w:rsidRDefault="00F65138" w:rsidP="00FF0B61">
      <w:pPr>
        <w:pStyle w:val="ListParagraph"/>
        <w:numPr>
          <w:ilvl w:val="0"/>
          <w:numId w:val="44"/>
        </w:numPr>
        <w:rPr>
          <w:lang w:val="en-CA" w:eastAsia="en-CA"/>
        </w:rPr>
      </w:pPr>
      <w:r w:rsidRPr="00F65138">
        <w:rPr>
          <w:lang w:val="en-CA" w:eastAsia="en-CA"/>
        </w:rPr>
        <w:t>Whether you talk about prospectus or continuous disclosure this is how you discuss forward looking information.</w:t>
      </w:r>
    </w:p>
    <w:p w:rsidR="00F65138" w:rsidRPr="00F65138" w:rsidRDefault="00F65138" w:rsidP="00FF0B61">
      <w:pPr>
        <w:pStyle w:val="ListParagraph"/>
        <w:spacing w:after="0"/>
        <w:rPr>
          <w:lang w:val="en-CA" w:eastAsia="en-CA"/>
        </w:rPr>
      </w:pPr>
    </w:p>
    <w:p w:rsidR="004B5F91" w:rsidRDefault="004F19C3" w:rsidP="00FF0B61">
      <w:pPr>
        <w:spacing w:after="0" w:line="240" w:lineRule="auto"/>
        <w:rPr>
          <w:b/>
          <w:lang w:val="en-CA" w:eastAsia="en-CA"/>
        </w:rPr>
      </w:pPr>
      <w:r>
        <w:rPr>
          <w:b/>
          <w:lang w:val="en-CA" w:eastAsia="en-CA"/>
        </w:rPr>
        <w:t xml:space="preserve">Disclosure </w:t>
      </w:r>
      <w:r w:rsidR="005E284F">
        <w:rPr>
          <w:b/>
          <w:lang w:val="en-CA" w:eastAsia="en-CA"/>
        </w:rPr>
        <w:t>of Forward-looking Info</w:t>
      </w:r>
      <w:r>
        <w:rPr>
          <w:b/>
          <w:lang w:val="en-CA" w:eastAsia="en-CA"/>
        </w:rPr>
        <w:t xml:space="preserve"> (</w:t>
      </w:r>
      <w:r w:rsidR="00CB706C">
        <w:rPr>
          <w:b/>
          <w:color w:val="7030A0"/>
          <w:lang w:val="en-CA" w:eastAsia="en-CA"/>
        </w:rPr>
        <w:t>NI 51-102</w:t>
      </w:r>
      <w:r>
        <w:rPr>
          <w:b/>
          <w:lang w:val="en-CA" w:eastAsia="en-CA"/>
        </w:rPr>
        <w:t>):</w:t>
      </w:r>
    </w:p>
    <w:p w:rsidR="00DC2E13" w:rsidRPr="00DC2E13" w:rsidRDefault="004F19C3" w:rsidP="00FF0B61">
      <w:pPr>
        <w:pStyle w:val="ListParagraph"/>
        <w:numPr>
          <w:ilvl w:val="0"/>
          <w:numId w:val="45"/>
        </w:numPr>
        <w:spacing w:after="0"/>
        <w:rPr>
          <w:b/>
          <w:lang w:val="en-CA" w:eastAsia="en-CA"/>
        </w:rPr>
      </w:pPr>
      <w:r>
        <w:rPr>
          <w:lang w:val="en-CA" w:eastAsia="en-CA"/>
        </w:rPr>
        <w:t xml:space="preserve">Must have </w:t>
      </w:r>
      <w:r w:rsidR="005E284F">
        <w:rPr>
          <w:b/>
          <w:i/>
          <w:lang w:val="en-CA" w:eastAsia="en-CA"/>
        </w:rPr>
        <w:t xml:space="preserve">reasonable basis </w:t>
      </w:r>
      <w:r w:rsidR="00076E6A">
        <w:rPr>
          <w:lang w:val="en-CA" w:eastAsia="en-CA"/>
        </w:rPr>
        <w:t>for disclosing FLI and t</w:t>
      </w:r>
      <w:r w:rsidR="00615F6F">
        <w:rPr>
          <w:lang w:val="en-CA" w:eastAsia="en-CA"/>
        </w:rPr>
        <w:t>he assumptions underpinning it</w:t>
      </w:r>
      <w:r w:rsidR="00CB706C">
        <w:rPr>
          <w:lang w:val="en-CA" w:eastAsia="en-CA"/>
        </w:rPr>
        <w:t xml:space="preserve"> (</w:t>
      </w:r>
      <w:r w:rsidR="00CB706C" w:rsidRPr="00CB706C">
        <w:rPr>
          <w:b/>
          <w:color w:val="7030A0"/>
          <w:lang w:val="en-CA" w:eastAsia="en-CA"/>
        </w:rPr>
        <w:t>4A.2</w:t>
      </w:r>
      <w:r w:rsidR="00CB706C">
        <w:rPr>
          <w:b/>
          <w:lang w:val="en-CA" w:eastAsia="en-CA"/>
        </w:rPr>
        <w:t>)</w:t>
      </w:r>
      <w:r w:rsidR="00615F6F">
        <w:rPr>
          <w:lang w:val="en-CA" w:eastAsia="en-CA"/>
        </w:rPr>
        <w:t xml:space="preserve"> (</w:t>
      </w:r>
      <w:r w:rsidR="00615F6F" w:rsidRPr="00615F6F">
        <w:rPr>
          <w:b/>
          <w:i/>
          <w:color w:val="1006E0"/>
          <w:lang w:val="en-CA" w:eastAsia="en-CA"/>
        </w:rPr>
        <w:t>Kerr</w:t>
      </w:r>
      <w:r w:rsidR="00615F6F">
        <w:rPr>
          <w:b/>
          <w:i/>
          <w:lang w:val="en-CA" w:eastAsia="en-CA"/>
        </w:rPr>
        <w:t xml:space="preserve"> </w:t>
      </w:r>
      <w:r w:rsidR="00F81083">
        <w:rPr>
          <w:b/>
          <w:i/>
          <w:lang w:val="en-CA" w:eastAsia="en-CA"/>
        </w:rPr>
        <w:t>–</w:t>
      </w:r>
      <w:r w:rsidR="00D93705">
        <w:rPr>
          <w:b/>
          <w:i/>
          <w:lang w:val="en-CA" w:eastAsia="en-CA"/>
        </w:rPr>
        <w:t xml:space="preserve"> </w:t>
      </w:r>
      <w:r w:rsidR="00D93705">
        <w:rPr>
          <w:b/>
          <w:lang w:val="en-CA" w:eastAsia="en-CA"/>
        </w:rPr>
        <w:t>SCC Held:</w:t>
      </w:r>
      <w:r w:rsidR="00615F6F">
        <w:rPr>
          <w:b/>
          <w:i/>
          <w:lang w:val="en-CA" w:eastAsia="en-CA"/>
        </w:rPr>
        <w:t xml:space="preserve"> </w:t>
      </w:r>
      <w:r w:rsidR="00F81083" w:rsidRPr="003F1F62">
        <w:rPr>
          <w:i/>
          <w:lang w:val="en-CA" w:eastAsia="en-CA"/>
        </w:rPr>
        <w:t xml:space="preserve">FOFI </w:t>
      </w:r>
      <w:r w:rsidR="00D93705" w:rsidRPr="003F1F62">
        <w:rPr>
          <w:i/>
          <w:lang w:val="en-CA" w:eastAsia="en-CA"/>
        </w:rPr>
        <w:t>implies</w:t>
      </w:r>
      <w:r w:rsidR="00F81083" w:rsidRPr="003F1F62">
        <w:rPr>
          <w:i/>
          <w:lang w:val="en-CA" w:eastAsia="en-CA"/>
        </w:rPr>
        <w:t xml:space="preserve"> a material fact that the forecast is obj reasonable at the </w:t>
      </w:r>
      <w:r w:rsidR="005A6F09" w:rsidRPr="003F1F62">
        <w:rPr>
          <w:i/>
          <w:lang w:val="en-CA" w:eastAsia="en-CA"/>
        </w:rPr>
        <w:t xml:space="preserve">time it is made </w:t>
      </w:r>
      <w:r w:rsidR="005A6F09" w:rsidRPr="003F1F62">
        <w:rPr>
          <w:b/>
          <w:i/>
          <w:lang w:val="en-CA" w:eastAsia="en-CA"/>
        </w:rPr>
        <w:sym w:font="Wingdings" w:char="F0E0"/>
      </w:r>
      <w:r w:rsidR="00D93705" w:rsidRPr="003F1F62">
        <w:rPr>
          <w:i/>
          <w:lang w:val="en-CA" w:eastAsia="en-CA"/>
        </w:rPr>
        <w:t xml:space="preserve"> This </w:t>
      </w:r>
      <w:r w:rsidR="009E26C3" w:rsidRPr="003F1F62">
        <w:rPr>
          <w:i/>
          <w:lang w:val="en-CA" w:eastAsia="en-CA"/>
        </w:rPr>
        <w:t>increases the chances that FOFI</w:t>
      </w:r>
      <w:r w:rsidR="00D93705" w:rsidRPr="003F1F62">
        <w:rPr>
          <w:i/>
          <w:lang w:val="en-CA" w:eastAsia="en-CA"/>
        </w:rPr>
        <w:t xml:space="preserve"> may give rise to an action for misrepresentation</w:t>
      </w:r>
      <w:r w:rsidR="00D93705">
        <w:rPr>
          <w:lang w:val="en-CA" w:eastAsia="en-CA"/>
        </w:rPr>
        <w:t xml:space="preserve">). </w:t>
      </w:r>
    </w:p>
    <w:p w:rsidR="00F50D3D" w:rsidRPr="00076DDF" w:rsidRDefault="00076E6A" w:rsidP="00FF0B61">
      <w:pPr>
        <w:pStyle w:val="ListParagraph"/>
        <w:numPr>
          <w:ilvl w:val="0"/>
          <w:numId w:val="45"/>
        </w:numPr>
        <w:spacing w:after="0"/>
        <w:rPr>
          <w:b/>
          <w:lang w:val="en-CA" w:eastAsia="en-CA"/>
        </w:rPr>
      </w:pPr>
      <w:r w:rsidRPr="003120AC">
        <w:t>The Issuer should caution readers about the risk factors</w:t>
      </w:r>
      <w:r w:rsidR="00F81083">
        <w:t>, limitations of that info and ID</w:t>
      </w:r>
      <w:r w:rsidRPr="003120AC">
        <w:t xml:space="preserve"> it as forward looking</w:t>
      </w:r>
      <w:r w:rsidR="00DC2E13">
        <w:t xml:space="preserve"> </w:t>
      </w:r>
      <w:r w:rsidR="00DC2E13">
        <w:rPr>
          <w:lang w:val="en-CA" w:eastAsia="en-CA"/>
        </w:rPr>
        <w:t>(</w:t>
      </w:r>
      <w:r w:rsidR="00DC2E13" w:rsidRPr="00CB706C">
        <w:rPr>
          <w:b/>
          <w:color w:val="7030A0"/>
          <w:lang w:val="en-CA" w:eastAsia="en-CA"/>
        </w:rPr>
        <w:t>4A.</w:t>
      </w:r>
      <w:r w:rsidR="00DC2E13">
        <w:rPr>
          <w:b/>
          <w:color w:val="7030A0"/>
          <w:lang w:val="en-CA" w:eastAsia="en-CA"/>
        </w:rPr>
        <w:t>3)</w:t>
      </w:r>
      <w:r w:rsidRPr="003120AC">
        <w:t>.</w:t>
      </w:r>
      <w:r w:rsidR="00DC2E13">
        <w:t xml:space="preserve"> </w:t>
      </w:r>
      <w:r w:rsidR="00D3547D">
        <w:rPr>
          <w:b/>
          <w:i/>
        </w:rPr>
        <w:t>Must</w:t>
      </w:r>
      <w:r w:rsidR="00DC2E13" w:rsidRPr="00DC2E13">
        <w:rPr>
          <w:b/>
          <w:i/>
          <w:color w:val="000000" w:themeColor="text1"/>
          <w:lang w:val="en-CA" w:eastAsia="en-CA"/>
        </w:rPr>
        <w:t xml:space="preserve"> state</w:t>
      </w:r>
      <w:r w:rsidR="00DC2E13" w:rsidRPr="00DC2E13">
        <w:rPr>
          <w:color w:val="000000" w:themeColor="text1"/>
          <w:lang w:val="en-CA" w:eastAsia="en-CA"/>
        </w:rPr>
        <w:t xml:space="preserve"> the date on which mgt approved the FOFI or financial outlook, explain its purpose and </w:t>
      </w:r>
      <w:r w:rsidR="00DC2E13" w:rsidRPr="00C13ACB">
        <w:rPr>
          <w:b/>
          <w:i/>
          <w:color w:val="000000" w:themeColor="text1"/>
          <w:lang w:val="en-CA" w:eastAsia="en-CA"/>
        </w:rPr>
        <w:t>caution investors</w:t>
      </w:r>
      <w:r w:rsidR="00DC2E13" w:rsidRPr="00DC2E13">
        <w:rPr>
          <w:color w:val="000000" w:themeColor="text1"/>
          <w:lang w:val="en-CA" w:eastAsia="en-CA"/>
        </w:rPr>
        <w:t xml:space="preserve"> that the </w:t>
      </w:r>
      <w:r w:rsidR="00DC2E13" w:rsidRPr="00C13ACB">
        <w:rPr>
          <w:color w:val="000000" w:themeColor="text1"/>
          <w:u w:val="single"/>
          <w:lang w:val="en-CA" w:eastAsia="en-CA"/>
        </w:rPr>
        <w:t>info may not be appropriate for other purposes</w:t>
      </w:r>
      <w:r w:rsidR="00DC2E13" w:rsidRPr="00DC2E13">
        <w:rPr>
          <w:b/>
          <w:color w:val="000000" w:themeColor="text1"/>
          <w:lang w:val="en-CA" w:eastAsia="en-CA"/>
        </w:rPr>
        <w:t xml:space="preserve"> </w:t>
      </w:r>
      <w:r w:rsidR="00DC2E13" w:rsidRPr="00DC2E13">
        <w:rPr>
          <w:lang w:val="en-CA" w:eastAsia="en-CA"/>
        </w:rPr>
        <w:t>(</w:t>
      </w:r>
      <w:r w:rsidR="00DC2E13" w:rsidRPr="00764489">
        <w:rPr>
          <w:b/>
          <w:color w:val="7030A0"/>
          <w:lang w:val="en-CA" w:eastAsia="en-CA"/>
        </w:rPr>
        <w:t>s.4B.3</w:t>
      </w:r>
      <w:r w:rsidR="00DC2E13" w:rsidRPr="00764489">
        <w:rPr>
          <w:b/>
          <w:lang w:val="en-CA" w:eastAsia="en-CA"/>
        </w:rPr>
        <w:t>).</w:t>
      </w:r>
      <w:r w:rsidRPr="00764489">
        <w:t xml:space="preserve"> Issuer </w:t>
      </w:r>
      <w:r w:rsidR="00DC2E13" w:rsidRPr="00764489">
        <w:t xml:space="preserve">can rely </w:t>
      </w:r>
      <w:r w:rsidR="000D57C4" w:rsidRPr="00764489">
        <w:t>on</w:t>
      </w:r>
      <w:r w:rsidR="00305E09" w:rsidRPr="00764489">
        <w:t xml:space="preserve"> </w:t>
      </w:r>
      <w:r w:rsidRPr="00764489">
        <w:t>“</w:t>
      </w:r>
      <w:r w:rsidRPr="00764489">
        <w:rPr>
          <w:b/>
        </w:rPr>
        <w:t xml:space="preserve">safe harbour” </w:t>
      </w:r>
      <w:r w:rsidRPr="00764489">
        <w:t>provision</w:t>
      </w:r>
      <w:r w:rsidR="00A60C37" w:rsidRPr="00764489">
        <w:t xml:space="preserve"> </w:t>
      </w:r>
      <w:r w:rsidRPr="00764489">
        <w:t>i</w:t>
      </w:r>
      <w:r w:rsidR="00D66719" w:rsidRPr="00764489">
        <w:t>n prospectus to limit liability (may protect issuer</w:t>
      </w:r>
      <w:r w:rsidR="00764489" w:rsidRPr="00764489">
        <w:t xml:space="preserve"> from liability if person relies </w:t>
      </w:r>
      <w:r w:rsidR="00AC2C2A" w:rsidRPr="00764489">
        <w:t>o</w:t>
      </w:r>
      <w:r w:rsidR="00D66719" w:rsidRPr="00764489">
        <w:t xml:space="preserve">n that info for purposes other than those stated in </w:t>
      </w:r>
      <w:r w:rsidR="00782C1D" w:rsidRPr="00764489">
        <w:t>disclosure)</w:t>
      </w:r>
      <w:r w:rsidR="000D57C4" w:rsidRPr="00764489">
        <w:rPr>
          <w:lang w:val="en-CA" w:eastAsia="en-CA"/>
        </w:rPr>
        <w:t>.</w:t>
      </w:r>
    </w:p>
    <w:p w:rsidR="00F8583F" w:rsidRPr="00891BCD" w:rsidRDefault="00F8583F" w:rsidP="00FF0B61">
      <w:pPr>
        <w:spacing w:after="0" w:line="240" w:lineRule="auto"/>
        <w:rPr>
          <w:b/>
          <w:lang w:val="en-CA" w:eastAsia="en-CA"/>
        </w:rPr>
      </w:pPr>
    </w:p>
    <w:p w:rsidR="004B5F91" w:rsidRPr="004B5F91" w:rsidRDefault="004B5F91" w:rsidP="00FF0B61">
      <w:pPr>
        <w:pStyle w:val="Heading3"/>
        <w:spacing w:line="240" w:lineRule="auto"/>
        <w:rPr>
          <w:lang w:val="en-CA" w:eastAsia="en-CA"/>
        </w:rPr>
      </w:pPr>
      <w:bookmarkStart w:id="43" w:name="_Toc468980414"/>
      <w:r w:rsidRPr="003811EA">
        <w:rPr>
          <w:lang w:val="en-CA" w:eastAsia="en-CA"/>
        </w:rPr>
        <w:t>Management’s Discussion &amp; Analysis (MD&amp;A)</w:t>
      </w:r>
      <w:r w:rsidR="0002418E">
        <w:rPr>
          <w:lang w:val="en-CA" w:eastAsia="en-CA"/>
        </w:rPr>
        <w:t xml:space="preserve"> (</w:t>
      </w:r>
      <w:r w:rsidR="0002418E" w:rsidRPr="0002418E">
        <w:rPr>
          <w:color w:val="7030A0"/>
          <w:lang w:val="en-CA" w:eastAsia="en-CA"/>
        </w:rPr>
        <w:t>51-102 Part 5</w:t>
      </w:r>
      <w:r w:rsidR="0002418E">
        <w:rPr>
          <w:lang w:val="en-CA" w:eastAsia="en-CA"/>
        </w:rPr>
        <w:t>)</w:t>
      </w:r>
      <w:bookmarkEnd w:id="43"/>
    </w:p>
    <w:p w:rsidR="00200B94" w:rsidRDefault="00093DEC" w:rsidP="00FF0B61">
      <w:pPr>
        <w:spacing w:after="0" w:line="240" w:lineRule="auto"/>
        <w:rPr>
          <w:b/>
          <w:lang w:val="en-CA" w:eastAsia="en-CA"/>
        </w:rPr>
      </w:pPr>
      <w:r>
        <w:rPr>
          <w:lang w:val="en-CA" w:eastAsia="en-CA"/>
        </w:rPr>
        <w:t xml:space="preserve">MD&amp;A </w:t>
      </w:r>
      <w:r w:rsidR="00200B94">
        <w:rPr>
          <w:lang w:val="en-CA" w:eastAsia="en-CA"/>
        </w:rPr>
        <w:t>is a “narrative explanation” form the issuer’s mgt of the most important aspects of the issuers positions. It is designed to help investors understand and assess the issuer’s financial performance and future prospects (</w:t>
      </w:r>
      <w:r w:rsidR="00200B94" w:rsidRPr="00200B94">
        <w:rPr>
          <w:b/>
          <w:color w:val="7030A0"/>
          <w:lang w:val="en-CA" w:eastAsia="en-CA"/>
        </w:rPr>
        <w:t>Form 51-102F1 s.1(a)</w:t>
      </w:r>
      <w:r w:rsidR="00200B94">
        <w:rPr>
          <w:b/>
          <w:lang w:val="en-CA" w:eastAsia="en-CA"/>
        </w:rPr>
        <w:t xml:space="preserve">). </w:t>
      </w:r>
    </w:p>
    <w:p w:rsidR="004E4FE8" w:rsidRPr="00FF203A" w:rsidRDefault="00200B94" w:rsidP="00FF0B61">
      <w:pPr>
        <w:pStyle w:val="ListParagraph"/>
        <w:numPr>
          <w:ilvl w:val="0"/>
          <w:numId w:val="44"/>
        </w:numPr>
        <w:spacing w:after="0"/>
        <w:rPr>
          <w:b/>
          <w:lang w:val="en-CA" w:eastAsia="en-CA"/>
        </w:rPr>
      </w:pPr>
      <w:r>
        <w:rPr>
          <w:lang w:val="en-CA" w:eastAsia="en-CA"/>
        </w:rPr>
        <w:t>M</w:t>
      </w:r>
      <w:r w:rsidR="00093DEC" w:rsidRPr="00200B94">
        <w:rPr>
          <w:lang w:val="en-CA" w:eastAsia="en-CA"/>
        </w:rPr>
        <w:t xml:space="preserve">ust be filed with every </w:t>
      </w:r>
      <w:r w:rsidR="00802E96" w:rsidRPr="00200B94">
        <w:rPr>
          <w:b/>
          <w:u w:val="single"/>
        </w:rPr>
        <w:t>annual AND interim financial statement</w:t>
      </w:r>
      <w:r w:rsidR="00555FDB" w:rsidRPr="00200B94">
        <w:rPr>
          <w:b/>
          <w:u w:val="single"/>
        </w:rPr>
        <w:t xml:space="preserve"> </w:t>
      </w:r>
      <w:r w:rsidR="00EC0710" w:rsidRPr="00200B94">
        <w:rPr>
          <w:lang w:val="en-CA" w:eastAsia="en-CA"/>
        </w:rPr>
        <w:t>(</w:t>
      </w:r>
      <w:r w:rsidR="00EC0710" w:rsidRPr="00200B94">
        <w:rPr>
          <w:b/>
          <w:color w:val="7030A0"/>
          <w:lang w:val="en-CA" w:eastAsia="en-CA"/>
        </w:rPr>
        <w:t>NI 51-102</w:t>
      </w:r>
      <w:r w:rsidR="00765F9C" w:rsidRPr="00200B94">
        <w:rPr>
          <w:b/>
          <w:color w:val="7030A0"/>
          <w:lang w:val="en-CA" w:eastAsia="en-CA"/>
        </w:rPr>
        <w:t>, s.5.1(1)</w:t>
      </w:r>
      <w:r w:rsidR="00461A48">
        <w:rPr>
          <w:b/>
          <w:lang w:val="en-CA" w:eastAsia="en-CA"/>
        </w:rPr>
        <w:t xml:space="preserve">) // Must CONFORM </w:t>
      </w:r>
      <w:r w:rsidR="00461A48">
        <w:rPr>
          <w:lang w:val="en-CA" w:eastAsia="en-CA"/>
        </w:rPr>
        <w:t xml:space="preserve">to </w:t>
      </w:r>
      <w:r w:rsidR="00461A48" w:rsidRPr="00461A48">
        <w:rPr>
          <w:b/>
          <w:color w:val="7030A0"/>
          <w:lang w:val="en-CA" w:eastAsia="en-CA"/>
        </w:rPr>
        <w:t>Form 51-102F1</w:t>
      </w:r>
      <w:r w:rsidR="008224A5">
        <w:rPr>
          <w:b/>
          <w:color w:val="7030A0"/>
          <w:lang w:val="en-CA" w:eastAsia="en-CA"/>
        </w:rPr>
        <w:t xml:space="preserve"> </w:t>
      </w:r>
      <w:r w:rsidR="008224A5">
        <w:rPr>
          <w:b/>
          <w:lang w:val="en-CA" w:eastAsia="en-CA"/>
        </w:rPr>
        <w:t xml:space="preserve">// </w:t>
      </w:r>
      <w:r w:rsidR="008224A5">
        <w:rPr>
          <w:lang w:val="en-CA" w:eastAsia="en-CA"/>
        </w:rPr>
        <w:t xml:space="preserve">Board of DIRs or audit committee </w:t>
      </w:r>
      <w:r w:rsidR="008224A5">
        <w:rPr>
          <w:b/>
          <w:lang w:val="en-CA" w:eastAsia="en-CA"/>
        </w:rPr>
        <w:t>must approve MD&amp;A before it can be filed (</w:t>
      </w:r>
      <w:r w:rsidR="008224A5">
        <w:rPr>
          <w:b/>
          <w:color w:val="7030A0"/>
          <w:lang w:val="en-CA" w:eastAsia="en-CA"/>
        </w:rPr>
        <w:t xml:space="preserve">NI 51-102, s.5.5). </w:t>
      </w:r>
    </w:p>
    <w:p w:rsidR="00FF203A" w:rsidRPr="003C52B0" w:rsidRDefault="00BA5C82" w:rsidP="00FF0B61">
      <w:pPr>
        <w:pStyle w:val="ListParagraph"/>
        <w:numPr>
          <w:ilvl w:val="0"/>
          <w:numId w:val="44"/>
        </w:numPr>
        <w:spacing w:after="0"/>
        <w:rPr>
          <w:b/>
          <w:lang w:val="en-CA" w:eastAsia="en-CA"/>
        </w:rPr>
      </w:pPr>
      <w:r>
        <w:rPr>
          <w:b/>
          <w:lang w:val="en-CA" w:eastAsia="en-CA"/>
        </w:rPr>
        <w:t>General Provisions</w:t>
      </w:r>
      <w:r w:rsidR="003C52B0">
        <w:rPr>
          <w:b/>
          <w:lang w:val="en-CA" w:eastAsia="en-CA"/>
        </w:rPr>
        <w:t xml:space="preserve"> (Part 1)</w:t>
      </w:r>
      <w:r>
        <w:rPr>
          <w:b/>
          <w:lang w:val="en-CA" w:eastAsia="en-CA"/>
        </w:rPr>
        <w:t xml:space="preserve">: </w:t>
      </w:r>
      <w:r w:rsidR="00FF203A">
        <w:rPr>
          <w:lang w:val="en-CA" w:eastAsia="en-CA"/>
        </w:rPr>
        <w:t>Avoid boilerplate language (</w:t>
      </w:r>
      <w:r w:rsidR="00FF203A" w:rsidRPr="00FF203A">
        <w:rPr>
          <w:b/>
          <w:color w:val="7030A0"/>
          <w:lang w:val="en-CA" w:eastAsia="en-CA"/>
        </w:rPr>
        <w:t>51-102F1 s.1(d))</w:t>
      </w:r>
      <w:r w:rsidR="00FF203A" w:rsidRPr="00FF203A">
        <w:rPr>
          <w:color w:val="7030A0"/>
          <w:lang w:val="en-CA" w:eastAsia="en-CA"/>
        </w:rPr>
        <w:t xml:space="preserve"> </w:t>
      </w:r>
      <w:r w:rsidR="00FF203A" w:rsidRPr="00356BD8">
        <w:rPr>
          <w:b/>
          <w:lang w:val="en-CA" w:eastAsia="en-CA"/>
        </w:rPr>
        <w:t xml:space="preserve">// </w:t>
      </w:r>
      <w:r w:rsidR="00FF203A">
        <w:rPr>
          <w:lang w:val="en-CA" w:eastAsia="en-CA"/>
        </w:rPr>
        <w:t xml:space="preserve">Only </w:t>
      </w:r>
      <w:r w:rsidR="00FF203A" w:rsidRPr="00356BD8">
        <w:rPr>
          <w:i/>
          <w:lang w:val="en-CA" w:eastAsia="en-CA"/>
        </w:rPr>
        <w:t>material information</w:t>
      </w:r>
      <w:r w:rsidR="00FF203A">
        <w:rPr>
          <w:lang w:val="en-CA" w:eastAsia="en-CA"/>
        </w:rPr>
        <w:t xml:space="preserve"> must be disclosed</w:t>
      </w:r>
      <w:r w:rsidR="009F1E7F">
        <w:rPr>
          <w:lang w:val="en-CA" w:eastAsia="en-CA"/>
        </w:rPr>
        <w:t xml:space="preserve"> (see case law)</w:t>
      </w:r>
      <w:r w:rsidR="00FF203A">
        <w:rPr>
          <w:lang w:val="en-CA" w:eastAsia="en-CA"/>
        </w:rPr>
        <w:t xml:space="preserve"> (</w:t>
      </w:r>
      <w:r w:rsidR="00FF203A" w:rsidRPr="00FF203A">
        <w:rPr>
          <w:b/>
          <w:color w:val="7030A0"/>
          <w:lang w:val="en-CA" w:eastAsia="en-CA"/>
        </w:rPr>
        <w:t>s.1(e)</w:t>
      </w:r>
      <w:r w:rsidR="00FF203A">
        <w:rPr>
          <w:lang w:val="en-CA" w:eastAsia="en-CA"/>
        </w:rPr>
        <w:t xml:space="preserve">) </w:t>
      </w:r>
      <w:r w:rsidR="00FF203A" w:rsidRPr="00356BD8">
        <w:rPr>
          <w:b/>
          <w:lang w:val="en-CA" w:eastAsia="en-CA"/>
        </w:rPr>
        <w:t xml:space="preserve">// </w:t>
      </w:r>
      <w:r w:rsidR="00356BD8">
        <w:rPr>
          <w:lang w:val="en-CA" w:eastAsia="en-CA"/>
        </w:rPr>
        <w:t xml:space="preserve">Use </w:t>
      </w:r>
      <w:r w:rsidR="00FF203A">
        <w:rPr>
          <w:lang w:val="en-CA" w:eastAsia="en-CA"/>
        </w:rPr>
        <w:t>Plain language (</w:t>
      </w:r>
      <w:r w:rsidR="00FF203A" w:rsidRPr="00FF203A">
        <w:rPr>
          <w:b/>
          <w:color w:val="7030A0"/>
          <w:lang w:val="en-CA" w:eastAsia="en-CA"/>
        </w:rPr>
        <w:t>s.1(n)</w:t>
      </w:r>
      <w:r w:rsidR="009F1E7F">
        <w:rPr>
          <w:lang w:val="en-CA" w:eastAsia="en-CA"/>
        </w:rPr>
        <w:t>)</w:t>
      </w:r>
    </w:p>
    <w:p w:rsidR="00A31CFB" w:rsidRDefault="00A31CFB" w:rsidP="00FF0B61">
      <w:pPr>
        <w:pStyle w:val="ListParagraph"/>
        <w:numPr>
          <w:ilvl w:val="0"/>
          <w:numId w:val="38"/>
        </w:numPr>
        <w:spacing w:after="0"/>
        <w:rPr>
          <w:b/>
          <w:lang w:val="en-CA" w:eastAsia="en-CA"/>
        </w:rPr>
      </w:pPr>
      <w:r w:rsidRPr="009A4400">
        <w:rPr>
          <w:b/>
          <w:lang w:val="en-CA" w:eastAsia="en-CA"/>
        </w:rPr>
        <w:t>Required disclosure includes</w:t>
      </w:r>
      <w:r w:rsidR="009A4400">
        <w:rPr>
          <w:lang w:val="en-CA" w:eastAsia="en-CA"/>
        </w:rPr>
        <w:t>:</w:t>
      </w:r>
      <w:r w:rsidR="006B3904">
        <w:rPr>
          <w:lang w:val="en-CA" w:eastAsia="en-CA"/>
        </w:rPr>
        <w:t xml:space="preserve"> O</w:t>
      </w:r>
      <w:r w:rsidRPr="00A31CFB">
        <w:rPr>
          <w:lang w:val="en-CA" w:eastAsia="en-CA"/>
        </w:rPr>
        <w:t>verall performance, operations, risks, quarterly results, liquidity, capital resources, off-balance sheet arrangements, transactions between related parties, proposed transactions and changes in accounting. Must send to registered or beneficial owners on request</w:t>
      </w:r>
      <w:r w:rsidRPr="00A31CFB">
        <w:rPr>
          <w:b/>
          <w:lang w:val="en-CA" w:eastAsia="en-CA"/>
        </w:rPr>
        <w:t>.</w:t>
      </w:r>
    </w:p>
    <w:p w:rsidR="00207135" w:rsidRDefault="00207135" w:rsidP="00207135">
      <w:pPr>
        <w:pStyle w:val="ListParagraph"/>
        <w:spacing w:after="0"/>
        <w:rPr>
          <w:b/>
          <w:lang w:val="en-CA" w:eastAsia="en-CA"/>
        </w:rPr>
      </w:pPr>
    </w:p>
    <w:p w:rsidR="00A31CFB" w:rsidRDefault="00A31CFB" w:rsidP="00FF0B61">
      <w:pPr>
        <w:spacing w:after="0" w:line="240" w:lineRule="auto"/>
        <w:rPr>
          <w:b/>
          <w:lang w:val="en-CA" w:eastAsia="en-CA"/>
        </w:rPr>
      </w:pPr>
    </w:p>
    <w:p w:rsidR="00555FDB" w:rsidRPr="00A31CFB" w:rsidRDefault="00461A48" w:rsidP="00FF0B61">
      <w:pPr>
        <w:spacing w:after="0" w:line="240" w:lineRule="auto"/>
        <w:rPr>
          <w:b/>
          <w:lang w:val="en-CA" w:eastAsia="en-CA"/>
        </w:rPr>
      </w:pPr>
      <w:r w:rsidRPr="00A31CFB">
        <w:rPr>
          <w:b/>
          <w:lang w:val="en-CA" w:eastAsia="en-CA"/>
        </w:rPr>
        <w:lastRenderedPageBreak/>
        <w:t xml:space="preserve">MD&amp;A Should: </w:t>
      </w:r>
    </w:p>
    <w:p w:rsidR="00AF7769" w:rsidRPr="00AF7769" w:rsidRDefault="00AF7769" w:rsidP="00FF0B61">
      <w:pPr>
        <w:pStyle w:val="ListParagraph"/>
        <w:numPr>
          <w:ilvl w:val="0"/>
          <w:numId w:val="38"/>
        </w:numPr>
        <w:rPr>
          <w:b/>
          <w:lang w:val="en-CA" w:eastAsia="en-CA"/>
        </w:rPr>
      </w:pPr>
      <w:r>
        <w:t xml:space="preserve">Help current and prospective investors </w:t>
      </w:r>
      <w:r w:rsidRPr="007913CE">
        <w:rPr>
          <w:b/>
          <w:i/>
        </w:rPr>
        <w:t>understand what the financial statements</w:t>
      </w:r>
      <w:r>
        <w:t xml:space="preserve"> show and do not show;</w:t>
      </w:r>
    </w:p>
    <w:p w:rsidR="00AF7769" w:rsidRPr="00AF7769" w:rsidRDefault="00461A48" w:rsidP="00FF0B61">
      <w:pPr>
        <w:pStyle w:val="ListParagraph"/>
        <w:numPr>
          <w:ilvl w:val="0"/>
          <w:numId w:val="38"/>
        </w:numPr>
        <w:rPr>
          <w:b/>
          <w:lang w:val="en-CA" w:eastAsia="en-CA"/>
        </w:rPr>
      </w:pPr>
      <w:r>
        <w:t>D</w:t>
      </w:r>
      <w:r w:rsidR="00AF7769">
        <w:t xml:space="preserve">iscuss </w:t>
      </w:r>
      <w:r w:rsidR="00AF7769" w:rsidRPr="007913CE">
        <w:rPr>
          <w:b/>
          <w:i/>
        </w:rPr>
        <w:t>material information that may not be fully reflected in the financial statements</w:t>
      </w:r>
      <w:r w:rsidR="00AF7769">
        <w:t>, such as contingent liabilities, defaults under debt, off-balance sheet fi</w:t>
      </w:r>
      <w:r>
        <w:t xml:space="preserve">nancing arrangements, or other K’al </w:t>
      </w:r>
      <w:r w:rsidR="00AF7769">
        <w:t xml:space="preserve">obligations; </w:t>
      </w:r>
    </w:p>
    <w:p w:rsidR="00AF7769" w:rsidRPr="00AF7769" w:rsidRDefault="00461A48" w:rsidP="00FF0B61">
      <w:pPr>
        <w:pStyle w:val="ListParagraph"/>
        <w:numPr>
          <w:ilvl w:val="0"/>
          <w:numId w:val="38"/>
        </w:numPr>
        <w:rPr>
          <w:b/>
          <w:lang w:val="en-CA" w:eastAsia="en-CA"/>
        </w:rPr>
      </w:pPr>
      <w:r w:rsidRPr="007913CE">
        <w:rPr>
          <w:b/>
          <w:i/>
        </w:rPr>
        <w:t>D</w:t>
      </w:r>
      <w:r w:rsidR="00AF7769" w:rsidRPr="007913CE">
        <w:rPr>
          <w:b/>
          <w:i/>
        </w:rPr>
        <w:t>iscuss important trends and risks</w:t>
      </w:r>
      <w:r w:rsidR="00AF7769">
        <w:t xml:space="preserve"> that have aff</w:t>
      </w:r>
      <w:r>
        <w:t xml:space="preserve">ected the financial statements or </w:t>
      </w:r>
      <w:r w:rsidR="00AF7769">
        <w:t>are reasonably likely to affect them in the future; and</w:t>
      </w:r>
    </w:p>
    <w:p w:rsidR="00F02048" w:rsidRPr="00AF7769" w:rsidRDefault="007913CE" w:rsidP="00FF0B61">
      <w:pPr>
        <w:pStyle w:val="ListParagraph"/>
        <w:numPr>
          <w:ilvl w:val="0"/>
          <w:numId w:val="38"/>
        </w:numPr>
        <w:rPr>
          <w:b/>
          <w:lang w:val="en-CA" w:eastAsia="en-CA"/>
        </w:rPr>
      </w:pPr>
      <w:r>
        <w:t>P</w:t>
      </w:r>
      <w:r w:rsidR="00AF7769">
        <w:t xml:space="preserve">rovide </w:t>
      </w:r>
      <w:r w:rsidR="00AF7769" w:rsidRPr="009A5E1C">
        <w:rPr>
          <w:b/>
          <w:i/>
        </w:rPr>
        <w:t>information about the quality, and potential variability</w:t>
      </w:r>
      <w:r w:rsidR="00AF7769">
        <w:t>, of your company’s profit or loss and cash flow, to assist investors in determining if past performance is indicative of future performance.</w:t>
      </w:r>
    </w:p>
    <w:p w:rsidR="00E43274" w:rsidRDefault="00E43274" w:rsidP="00FF0B61">
      <w:pPr>
        <w:pStyle w:val="Heading3"/>
        <w:spacing w:line="240" w:lineRule="auto"/>
        <w:rPr>
          <w:lang w:val="en-CA" w:eastAsia="en-CA"/>
        </w:rPr>
      </w:pPr>
      <w:bookmarkStart w:id="44" w:name="_Toc468980415"/>
      <w:r w:rsidRPr="00E61BC7">
        <w:rPr>
          <w:lang w:val="en-CA" w:eastAsia="en-CA"/>
        </w:rPr>
        <w:t>Annual Reports and Annual Information</w:t>
      </w:r>
      <w:r>
        <w:rPr>
          <w:lang w:val="en-CA" w:eastAsia="en-CA"/>
        </w:rPr>
        <w:t xml:space="preserve"> Forms (AIFs) </w:t>
      </w:r>
      <w:r w:rsidR="00741E09">
        <w:rPr>
          <w:lang w:val="en-CA" w:eastAsia="en-CA"/>
        </w:rPr>
        <w:t>(</w:t>
      </w:r>
      <w:r w:rsidR="00741E09" w:rsidRPr="00E82EA9">
        <w:rPr>
          <w:color w:val="7030A0"/>
          <w:lang w:val="en-CA" w:eastAsia="en-CA"/>
        </w:rPr>
        <w:t>NI 51-102</w:t>
      </w:r>
      <w:r w:rsidR="00741E09">
        <w:rPr>
          <w:color w:val="7030A0"/>
          <w:lang w:val="en-CA" w:eastAsia="en-CA"/>
        </w:rPr>
        <w:t xml:space="preserve"> Part 6)</w:t>
      </w:r>
      <w:bookmarkEnd w:id="44"/>
    </w:p>
    <w:p w:rsidR="00B81D45" w:rsidRPr="00B81D45" w:rsidRDefault="00B81D45" w:rsidP="00FF0B61">
      <w:pPr>
        <w:spacing w:line="240" w:lineRule="auto"/>
        <w:rPr>
          <w:b/>
          <w:lang w:val="en-CA" w:eastAsia="en-CA"/>
        </w:rPr>
      </w:pPr>
      <w:r>
        <w:rPr>
          <w:b/>
          <w:lang w:val="en-CA" w:eastAsia="en-CA"/>
        </w:rPr>
        <w:t xml:space="preserve">[1] </w:t>
      </w:r>
      <w:r>
        <w:rPr>
          <w:b/>
          <w:i/>
          <w:lang w:val="en-CA" w:eastAsia="en-CA"/>
        </w:rPr>
        <w:t xml:space="preserve">Annual Reports: </w:t>
      </w:r>
      <w:r w:rsidR="006B7F74" w:rsidRPr="003120AC">
        <w:t>NOT req’d by securities law. Glossy docs sent to securityholders summarizing past fiscal year.</w:t>
      </w:r>
    </w:p>
    <w:p w:rsidR="00B81D45" w:rsidRDefault="00B81D45" w:rsidP="00FF0B61">
      <w:pPr>
        <w:spacing w:after="0" w:line="240" w:lineRule="auto"/>
        <w:rPr>
          <w:b/>
          <w:lang w:val="en-CA" w:eastAsia="en-CA"/>
        </w:rPr>
      </w:pPr>
      <w:r>
        <w:rPr>
          <w:b/>
          <w:lang w:val="en-CA" w:eastAsia="en-CA"/>
        </w:rPr>
        <w:t xml:space="preserve">[2] </w:t>
      </w:r>
      <w:r>
        <w:rPr>
          <w:b/>
          <w:i/>
          <w:lang w:val="en-CA" w:eastAsia="en-CA"/>
        </w:rPr>
        <w:t>An</w:t>
      </w:r>
      <w:r w:rsidR="00C70F43">
        <w:rPr>
          <w:b/>
          <w:i/>
          <w:lang w:val="en-CA" w:eastAsia="en-CA"/>
        </w:rPr>
        <w:t xml:space="preserve">nual Information Forms </w:t>
      </w:r>
      <w:r w:rsidR="00C70F43">
        <w:rPr>
          <w:b/>
          <w:lang w:val="en-CA" w:eastAsia="en-CA"/>
        </w:rPr>
        <w:t xml:space="preserve">- </w:t>
      </w:r>
      <w:r w:rsidR="00C70F43">
        <w:rPr>
          <w:lang w:val="en-CA" w:eastAsia="en-CA"/>
        </w:rPr>
        <w:t xml:space="preserve">provides a high level picture discussion of everything that has gone on in the year. </w:t>
      </w:r>
      <w:r w:rsidR="002B02E5">
        <w:rPr>
          <w:lang w:val="en-CA" w:eastAsia="en-CA"/>
        </w:rPr>
        <w:t xml:space="preserve">Must be filed </w:t>
      </w:r>
      <w:r w:rsidR="002B02E5" w:rsidRPr="00487FEB">
        <w:rPr>
          <w:b/>
          <w:i/>
          <w:u w:val="single"/>
          <w:lang w:val="en-CA" w:eastAsia="en-CA"/>
        </w:rPr>
        <w:t>w/in 90 days</w:t>
      </w:r>
      <w:r w:rsidR="002B02E5">
        <w:rPr>
          <w:b/>
          <w:lang w:val="en-CA" w:eastAsia="en-CA"/>
        </w:rPr>
        <w:t xml:space="preserve"> of the end of issuer’</w:t>
      </w:r>
      <w:r w:rsidR="008C3241">
        <w:rPr>
          <w:b/>
          <w:lang w:val="en-CA" w:eastAsia="en-CA"/>
        </w:rPr>
        <w:t>s fiscal year</w:t>
      </w:r>
      <w:r w:rsidR="007A4844">
        <w:rPr>
          <w:b/>
          <w:lang w:val="en-CA" w:eastAsia="en-CA"/>
        </w:rPr>
        <w:t xml:space="preserve"> to file w/ SEDAR</w:t>
      </w:r>
      <w:r w:rsidR="008C3241">
        <w:rPr>
          <w:b/>
          <w:lang w:val="en-CA" w:eastAsia="en-CA"/>
        </w:rPr>
        <w:t xml:space="preserve"> </w:t>
      </w:r>
      <w:r w:rsidR="00E82EA9">
        <w:rPr>
          <w:lang w:val="en-CA" w:eastAsia="en-CA"/>
        </w:rPr>
        <w:t>(</w:t>
      </w:r>
      <w:r w:rsidR="00E82EA9" w:rsidRPr="00E82EA9">
        <w:rPr>
          <w:b/>
          <w:color w:val="7030A0"/>
          <w:lang w:val="en-CA" w:eastAsia="en-CA"/>
        </w:rPr>
        <w:t>NI 51-102 ss6.1, 6.2</w:t>
      </w:r>
      <w:r w:rsidR="00E82EA9" w:rsidRPr="00E82EA9">
        <w:rPr>
          <w:b/>
          <w:lang w:val="en-CA" w:eastAsia="en-CA"/>
        </w:rPr>
        <w:t>)</w:t>
      </w:r>
      <w:r w:rsidR="00E82EA9">
        <w:rPr>
          <w:b/>
          <w:lang w:val="en-CA" w:eastAsia="en-CA"/>
        </w:rPr>
        <w:t xml:space="preserve">. </w:t>
      </w:r>
    </w:p>
    <w:p w:rsidR="00C96BAC" w:rsidRPr="00C96BAC" w:rsidRDefault="00C96BAC" w:rsidP="00FF0B61">
      <w:pPr>
        <w:pStyle w:val="ListParagraph"/>
        <w:numPr>
          <w:ilvl w:val="0"/>
          <w:numId w:val="46"/>
        </w:numPr>
        <w:spacing w:after="0"/>
        <w:rPr>
          <w:b/>
          <w:lang w:val="en-CA" w:eastAsia="en-CA"/>
        </w:rPr>
      </w:pPr>
      <w:r>
        <w:rPr>
          <w:lang w:val="en-CA" w:eastAsia="en-CA"/>
        </w:rPr>
        <w:t xml:space="preserve">Includes similar info in prospectus, only </w:t>
      </w:r>
      <w:r>
        <w:rPr>
          <w:b/>
          <w:i/>
          <w:lang w:val="en-CA" w:eastAsia="en-CA"/>
        </w:rPr>
        <w:t xml:space="preserve">material info </w:t>
      </w:r>
      <w:r>
        <w:rPr>
          <w:lang w:val="en-CA" w:eastAsia="en-CA"/>
        </w:rPr>
        <w:t>need be disclosed (</w:t>
      </w:r>
      <w:r w:rsidR="008C7D3E" w:rsidRPr="003475FB">
        <w:rPr>
          <w:b/>
          <w:color w:val="7030A0"/>
          <w:lang w:val="en-CA" w:eastAsia="en-CA"/>
        </w:rPr>
        <w:t xml:space="preserve">Form 51-102F2 </w:t>
      </w:r>
      <w:r>
        <w:rPr>
          <w:b/>
          <w:color w:val="7030A0"/>
          <w:lang w:val="en-CA" w:eastAsia="en-CA"/>
        </w:rPr>
        <w:t>Part 1(d)).</w:t>
      </w:r>
    </w:p>
    <w:p w:rsidR="008F2B3B" w:rsidRDefault="008F2B3B" w:rsidP="00FF0B61">
      <w:pPr>
        <w:pStyle w:val="ListParagraph"/>
        <w:numPr>
          <w:ilvl w:val="0"/>
          <w:numId w:val="46"/>
        </w:numPr>
        <w:spacing w:after="0"/>
        <w:rPr>
          <w:b/>
          <w:lang w:val="en-CA" w:eastAsia="en-CA"/>
        </w:rPr>
      </w:pPr>
      <w:r>
        <w:rPr>
          <w:b/>
          <w:lang w:val="en-CA" w:eastAsia="en-CA"/>
        </w:rPr>
        <w:t xml:space="preserve">Focus: </w:t>
      </w:r>
      <w:r>
        <w:rPr>
          <w:lang w:val="en-CA" w:eastAsia="en-CA"/>
        </w:rPr>
        <w:t>On material info about issuer and biz at the end of recent financial year in context of past &amp; future developments, risks and other external factors that may impact is</w:t>
      </w:r>
      <w:r w:rsidR="00942CF8">
        <w:rPr>
          <w:lang w:val="en-CA" w:eastAsia="en-CA"/>
        </w:rPr>
        <w:t>suer (</w:t>
      </w:r>
      <w:r w:rsidR="00942CF8" w:rsidRPr="003475FB">
        <w:rPr>
          <w:b/>
          <w:color w:val="7030A0"/>
          <w:lang w:val="en-CA" w:eastAsia="en-CA"/>
        </w:rPr>
        <w:t>Part 1(a)</w:t>
      </w:r>
      <w:r w:rsidR="00942CF8">
        <w:rPr>
          <w:b/>
          <w:lang w:val="en-CA" w:eastAsia="en-CA"/>
        </w:rPr>
        <w:t xml:space="preserve">). </w:t>
      </w:r>
    </w:p>
    <w:p w:rsidR="00BA4DE8" w:rsidRPr="002E721E" w:rsidRDefault="00B76E4D" w:rsidP="00FF0B61">
      <w:pPr>
        <w:pStyle w:val="ListParagraph"/>
        <w:numPr>
          <w:ilvl w:val="0"/>
          <w:numId w:val="46"/>
        </w:numPr>
        <w:spacing w:after="0"/>
        <w:rPr>
          <w:b/>
          <w:lang w:val="en-CA" w:eastAsia="en-CA"/>
        </w:rPr>
      </w:pPr>
      <w:r>
        <w:rPr>
          <w:b/>
          <w:lang w:val="en-CA" w:eastAsia="en-CA"/>
        </w:rPr>
        <w:t>18 Items</w:t>
      </w:r>
      <w:r w:rsidR="001A6444">
        <w:rPr>
          <w:b/>
          <w:lang w:val="en-CA" w:eastAsia="en-CA"/>
        </w:rPr>
        <w:t xml:space="preserve"> in an AIF</w:t>
      </w:r>
      <w:r>
        <w:rPr>
          <w:b/>
          <w:lang w:val="en-CA" w:eastAsia="en-CA"/>
        </w:rPr>
        <w:t>, e.g.:</w:t>
      </w:r>
      <w:r w:rsidR="007A4844">
        <w:rPr>
          <w:b/>
          <w:lang w:val="en-CA" w:eastAsia="en-CA"/>
        </w:rPr>
        <w:t xml:space="preserve"> </w:t>
      </w:r>
      <w:r w:rsidR="002E721E">
        <w:rPr>
          <w:lang w:val="en-CA" w:eastAsia="en-CA"/>
        </w:rPr>
        <w:t>D</w:t>
      </w:r>
      <w:r>
        <w:rPr>
          <w:lang w:val="en-CA" w:eastAsia="en-CA"/>
        </w:rPr>
        <w:t xml:space="preserve">escription of corp structure, general development and description of biz, description of capital structure and dividends, info on DIRs and OFRs and their interest, if any, in material transactions or K’s. </w:t>
      </w:r>
      <w:r w:rsidR="00BA4DE8" w:rsidRPr="00BA28A5">
        <w:rPr>
          <w:lang w:val="en-CA" w:eastAsia="en-CA"/>
        </w:rPr>
        <w:t xml:space="preserve"> </w:t>
      </w:r>
    </w:p>
    <w:p w:rsidR="002E721E" w:rsidRPr="005A6BA3" w:rsidRDefault="002E721E" w:rsidP="00FF0B61">
      <w:pPr>
        <w:pStyle w:val="ListParagraph"/>
        <w:numPr>
          <w:ilvl w:val="1"/>
          <w:numId w:val="46"/>
        </w:numPr>
        <w:spacing w:after="0"/>
        <w:rPr>
          <w:b/>
          <w:lang w:val="en-CA" w:eastAsia="en-CA"/>
        </w:rPr>
      </w:pPr>
      <w:r w:rsidRPr="0086070B">
        <w:rPr>
          <w:b/>
          <w:lang w:val="en-CA" w:eastAsia="en-CA"/>
        </w:rPr>
        <w:t>*Executive Compensation</w:t>
      </w:r>
      <w:r w:rsidRPr="0086070B">
        <w:rPr>
          <w:lang w:val="en-CA" w:eastAsia="en-CA"/>
        </w:rPr>
        <w:t xml:space="preserve"> – </w:t>
      </w:r>
      <w:r w:rsidRPr="0086070B">
        <w:rPr>
          <w:b/>
          <w:color w:val="7030A0"/>
          <w:lang w:val="en-CA" w:eastAsia="en-CA"/>
        </w:rPr>
        <w:t>Per Item 18.1, Form 51-102F6</w:t>
      </w:r>
      <w:r w:rsidRPr="0086070B">
        <w:rPr>
          <w:color w:val="7030A0"/>
          <w:lang w:val="en-CA" w:eastAsia="en-CA"/>
        </w:rPr>
        <w:t xml:space="preserve"> </w:t>
      </w:r>
    </w:p>
    <w:p w:rsidR="002B02E5" w:rsidRPr="00B81D45" w:rsidRDefault="002B02E5" w:rsidP="00FF0B61">
      <w:pPr>
        <w:spacing w:after="0" w:line="240" w:lineRule="auto"/>
        <w:rPr>
          <w:b/>
          <w:i/>
          <w:lang w:val="en-CA" w:eastAsia="en-CA"/>
        </w:rPr>
      </w:pPr>
    </w:p>
    <w:p w:rsidR="000F47A4" w:rsidRDefault="002626A9" w:rsidP="00FF0B61">
      <w:pPr>
        <w:pStyle w:val="Heading3"/>
        <w:spacing w:line="240" w:lineRule="auto"/>
        <w:rPr>
          <w:color w:val="7030A0"/>
          <w:lang w:val="en-CA" w:eastAsia="en-CA"/>
        </w:rPr>
      </w:pPr>
      <w:bookmarkStart w:id="45" w:name="_Toc468980416"/>
      <w:r w:rsidRPr="00736093">
        <w:rPr>
          <w:lang w:val="en-CA" w:eastAsia="en-CA"/>
        </w:rPr>
        <w:t>Certification R</w:t>
      </w:r>
      <w:r w:rsidR="006B5C67">
        <w:rPr>
          <w:lang w:val="en-CA" w:eastAsia="en-CA"/>
        </w:rPr>
        <w:t>equirements</w:t>
      </w:r>
      <w:bookmarkEnd w:id="45"/>
      <w:r w:rsidR="006102B6">
        <w:rPr>
          <w:color w:val="7030A0"/>
          <w:lang w:val="en-CA" w:eastAsia="en-CA"/>
        </w:rPr>
        <w:t xml:space="preserve"> </w:t>
      </w:r>
    </w:p>
    <w:p w:rsidR="00854977" w:rsidRDefault="00A65B18" w:rsidP="00FF0B61">
      <w:pPr>
        <w:spacing w:after="0" w:line="240" w:lineRule="auto"/>
        <w:rPr>
          <w:lang w:val="en-CA" w:eastAsia="en-CA"/>
        </w:rPr>
      </w:pPr>
      <w:r w:rsidRPr="00BF15E1">
        <w:rPr>
          <w:b/>
          <w:lang w:val="en-CA" w:eastAsia="en-CA"/>
        </w:rPr>
        <w:t>CEO/CFO must certify</w:t>
      </w:r>
      <w:r w:rsidR="00BF15E1">
        <w:rPr>
          <w:b/>
          <w:lang w:val="en-CA" w:eastAsia="en-CA"/>
        </w:rPr>
        <w:t>:</w:t>
      </w:r>
      <w:r w:rsidRPr="00BF15E1">
        <w:rPr>
          <w:b/>
          <w:lang w:val="en-CA" w:eastAsia="en-CA"/>
        </w:rPr>
        <w:t xml:space="preserve"> </w:t>
      </w:r>
      <w:r w:rsidR="00BF15E1">
        <w:rPr>
          <w:b/>
          <w:lang w:val="en-CA" w:eastAsia="en-CA"/>
        </w:rPr>
        <w:t xml:space="preserve">1) </w:t>
      </w:r>
      <w:r w:rsidRPr="00B016EC">
        <w:rPr>
          <w:b/>
          <w:lang w:val="en-CA" w:eastAsia="en-CA"/>
        </w:rPr>
        <w:t>annual financial statements</w:t>
      </w:r>
      <w:r w:rsidRPr="00A65B18">
        <w:rPr>
          <w:lang w:val="en-CA" w:eastAsia="en-CA"/>
        </w:rPr>
        <w:t xml:space="preserve"> (</w:t>
      </w:r>
      <w:r w:rsidR="00E03193" w:rsidRPr="00E03193">
        <w:rPr>
          <w:b/>
          <w:color w:val="7030A0"/>
          <w:lang w:val="en-CA" w:eastAsia="en-CA"/>
        </w:rPr>
        <w:t>NI 52-109 Part 4</w:t>
      </w:r>
      <w:r w:rsidR="00E03193">
        <w:rPr>
          <w:lang w:val="en-CA" w:eastAsia="en-CA"/>
        </w:rPr>
        <w:t xml:space="preserve">; </w:t>
      </w:r>
      <w:r w:rsidRPr="001559F3">
        <w:rPr>
          <w:b/>
          <w:color w:val="7030A0"/>
          <w:lang w:val="en-CA" w:eastAsia="en-CA"/>
        </w:rPr>
        <w:t>Form 52-109F1</w:t>
      </w:r>
      <w:r w:rsidRPr="00A65B18">
        <w:rPr>
          <w:lang w:val="en-CA" w:eastAsia="en-CA"/>
        </w:rPr>
        <w:t xml:space="preserve">) and </w:t>
      </w:r>
      <w:r w:rsidR="00BF15E1" w:rsidRPr="00BF15E1">
        <w:rPr>
          <w:b/>
          <w:lang w:val="en-CA" w:eastAsia="en-CA"/>
        </w:rPr>
        <w:t>2)</w:t>
      </w:r>
      <w:r w:rsidR="00BF15E1">
        <w:rPr>
          <w:lang w:val="en-CA" w:eastAsia="en-CA"/>
        </w:rPr>
        <w:t xml:space="preserve"> </w:t>
      </w:r>
      <w:r w:rsidRPr="00B016EC">
        <w:rPr>
          <w:b/>
          <w:lang w:val="en-CA" w:eastAsia="en-CA"/>
        </w:rPr>
        <w:t>interim filings</w:t>
      </w:r>
      <w:r w:rsidRPr="00A65B18">
        <w:rPr>
          <w:lang w:val="en-CA" w:eastAsia="en-CA"/>
        </w:rPr>
        <w:t xml:space="preserve"> (</w:t>
      </w:r>
      <w:r w:rsidR="006B1695" w:rsidRPr="006B1695">
        <w:rPr>
          <w:b/>
          <w:color w:val="7030A0"/>
          <w:lang w:val="en-CA" w:eastAsia="en-CA"/>
        </w:rPr>
        <w:t>52-109 Part 5;</w:t>
      </w:r>
      <w:r w:rsidR="006B1695" w:rsidRPr="006B1695">
        <w:rPr>
          <w:color w:val="7030A0"/>
          <w:lang w:val="en-CA" w:eastAsia="en-CA"/>
        </w:rPr>
        <w:t xml:space="preserve"> </w:t>
      </w:r>
      <w:r w:rsidRPr="001559F3">
        <w:rPr>
          <w:b/>
          <w:color w:val="7030A0"/>
          <w:lang w:val="en-CA" w:eastAsia="en-CA"/>
        </w:rPr>
        <w:t>Form 52-109F2</w:t>
      </w:r>
      <w:r w:rsidRPr="00A65B18">
        <w:rPr>
          <w:lang w:val="en-CA" w:eastAsia="en-CA"/>
        </w:rPr>
        <w:t xml:space="preserve">). </w:t>
      </w:r>
    </w:p>
    <w:p w:rsidR="00A60C37" w:rsidRPr="00854977" w:rsidRDefault="00A65B18" w:rsidP="00FF0B61">
      <w:pPr>
        <w:pStyle w:val="ListParagraph"/>
        <w:numPr>
          <w:ilvl w:val="0"/>
          <w:numId w:val="160"/>
        </w:numPr>
        <w:spacing w:after="0"/>
        <w:rPr>
          <w:lang w:val="en-CA" w:eastAsia="en-CA"/>
        </w:rPr>
      </w:pPr>
      <w:r w:rsidRPr="00854977">
        <w:rPr>
          <w:b/>
          <w:lang w:val="en-CA" w:eastAsia="en-CA"/>
        </w:rPr>
        <w:t>Board or audit committee must approve the statements</w:t>
      </w:r>
      <w:r w:rsidRPr="00854977">
        <w:rPr>
          <w:lang w:val="en-CA" w:eastAsia="en-CA"/>
        </w:rPr>
        <w:t xml:space="preserve">. CEO and CFO (or equivalent) of RI must certify that the two documents </w:t>
      </w:r>
      <w:r w:rsidRPr="00854977">
        <w:rPr>
          <w:b/>
          <w:i/>
          <w:lang w:val="en-CA" w:eastAsia="en-CA"/>
        </w:rPr>
        <w:t>do not contain any misstatements or omissions of material facts.</w:t>
      </w:r>
      <w:r w:rsidRPr="00854977">
        <w:rPr>
          <w:lang w:val="en-CA" w:eastAsia="en-CA"/>
        </w:rPr>
        <w:t xml:space="preserve"> Must state that materials fairly present any financial information to best of their knowledge. Must be attached to </w:t>
      </w:r>
      <w:r w:rsidRPr="00FA7B94">
        <w:rPr>
          <w:u w:val="single"/>
          <w:lang w:val="en-CA" w:eastAsia="en-CA"/>
        </w:rPr>
        <w:t>primary documents</w:t>
      </w:r>
      <w:r w:rsidRPr="00854977">
        <w:rPr>
          <w:lang w:val="en-CA" w:eastAsia="en-CA"/>
        </w:rPr>
        <w:t>.</w:t>
      </w:r>
    </w:p>
    <w:p w:rsidR="002973C8" w:rsidRPr="002973C8" w:rsidRDefault="006B5C67" w:rsidP="00FF0B61">
      <w:pPr>
        <w:pStyle w:val="ListParagraph"/>
        <w:numPr>
          <w:ilvl w:val="0"/>
          <w:numId w:val="48"/>
        </w:numPr>
        <w:spacing w:after="0"/>
        <w:rPr>
          <w:lang w:val="en-CA" w:eastAsia="en-CA"/>
        </w:rPr>
      </w:pPr>
      <w:r w:rsidRPr="00BF15E1">
        <w:rPr>
          <w:b/>
          <w:u w:val="single"/>
          <w:lang w:val="en-CA" w:eastAsia="en-CA"/>
        </w:rPr>
        <w:t>LIABILITY:</w:t>
      </w:r>
      <w:r>
        <w:rPr>
          <w:b/>
          <w:lang w:val="en-CA" w:eastAsia="en-CA"/>
        </w:rPr>
        <w:t xml:space="preserve"> </w:t>
      </w:r>
      <w:r>
        <w:rPr>
          <w:lang w:val="en-CA" w:eastAsia="en-CA"/>
        </w:rPr>
        <w:t xml:space="preserve">Makes top management accountable (and civilly liable) for the </w:t>
      </w:r>
      <w:r w:rsidR="00E61BC7">
        <w:rPr>
          <w:lang w:val="en-CA" w:eastAsia="en-CA"/>
        </w:rPr>
        <w:t>FS</w:t>
      </w:r>
      <w:r>
        <w:rPr>
          <w:lang w:val="en-CA" w:eastAsia="en-CA"/>
        </w:rPr>
        <w:t xml:space="preserve"> and other docs. </w:t>
      </w:r>
    </w:p>
    <w:p w:rsidR="003F6801" w:rsidRDefault="003F6801" w:rsidP="00FF0B61">
      <w:pPr>
        <w:spacing w:after="0" w:line="240" w:lineRule="auto"/>
        <w:rPr>
          <w:lang w:val="en-CA" w:eastAsia="en-CA"/>
        </w:rPr>
      </w:pPr>
    </w:p>
    <w:p w:rsidR="006E1DD7" w:rsidRPr="006E1DD7" w:rsidRDefault="00355DA9" w:rsidP="00FF0B61">
      <w:pPr>
        <w:pStyle w:val="Heading3"/>
        <w:spacing w:line="240" w:lineRule="auto"/>
        <w:rPr>
          <w:lang w:val="en-CA" w:eastAsia="en-CA"/>
        </w:rPr>
      </w:pPr>
      <w:bookmarkStart w:id="46" w:name="_Toc468980417"/>
      <w:r w:rsidRPr="001B6E8B">
        <w:rPr>
          <w:lang w:val="en-CA" w:eastAsia="en-CA"/>
        </w:rPr>
        <w:t>Proxy and Information Circular</w:t>
      </w:r>
      <w:r w:rsidR="004717FC">
        <w:rPr>
          <w:lang w:val="en-CA" w:eastAsia="en-CA"/>
        </w:rPr>
        <w:t xml:space="preserve"> - Relates to shares with voting rights attached</w:t>
      </w:r>
      <w:bookmarkEnd w:id="46"/>
    </w:p>
    <w:p w:rsidR="00F56A85" w:rsidRPr="00FF5C3B" w:rsidRDefault="00427E50" w:rsidP="00FF0B61">
      <w:pPr>
        <w:spacing w:line="240" w:lineRule="auto"/>
        <w:rPr>
          <w:lang w:val="en-CA" w:eastAsia="en-CA"/>
        </w:rPr>
      </w:pPr>
      <w:r w:rsidRPr="00FF5C3B">
        <w:rPr>
          <w:b/>
          <w:lang w:val="en-CA" w:eastAsia="en-CA"/>
        </w:rPr>
        <w:t>“Proxy”:</w:t>
      </w:r>
      <w:r w:rsidRPr="00FF5C3B">
        <w:rPr>
          <w:lang w:val="en-CA" w:eastAsia="en-CA"/>
        </w:rPr>
        <w:t xml:space="preserve"> means a </w:t>
      </w:r>
      <w:r w:rsidRPr="00FF5C3B">
        <w:rPr>
          <w:b/>
          <w:i/>
          <w:lang w:val="en-CA" w:eastAsia="en-CA"/>
        </w:rPr>
        <w:t>completed and executed form of proxy</w:t>
      </w:r>
      <w:r w:rsidRPr="00FF5C3B">
        <w:rPr>
          <w:lang w:val="en-CA" w:eastAsia="en-CA"/>
        </w:rPr>
        <w:t xml:space="preserve"> by which a security holder has appointed a person as the security holder's nominee to attend and act for [i.e. vote] and on the security holder's behalf at a meeting of security holders</w:t>
      </w:r>
      <w:r w:rsidR="008D6332" w:rsidRPr="00FF5C3B">
        <w:rPr>
          <w:lang w:val="en-CA" w:eastAsia="en-CA"/>
        </w:rPr>
        <w:t xml:space="preserve"> [i.e. </w:t>
      </w:r>
      <w:r w:rsidR="00FF5C3B">
        <w:rPr>
          <w:lang w:val="en-CA" w:eastAsia="en-CA"/>
        </w:rPr>
        <w:t>AGM</w:t>
      </w:r>
      <w:r w:rsidR="008D6332" w:rsidRPr="00FF5C3B">
        <w:rPr>
          <w:lang w:val="en-CA" w:eastAsia="en-CA"/>
        </w:rPr>
        <w:t xml:space="preserve"> of the Corp]</w:t>
      </w:r>
      <w:r w:rsidRPr="00FF5C3B">
        <w:rPr>
          <w:lang w:val="en-CA" w:eastAsia="en-CA"/>
        </w:rPr>
        <w:t xml:space="preserve"> (</w:t>
      </w:r>
      <w:r w:rsidRPr="00FF5C3B">
        <w:rPr>
          <w:b/>
          <w:color w:val="C45911" w:themeColor="accent2" w:themeShade="BF"/>
          <w:lang w:val="en-CA" w:eastAsia="en-CA"/>
        </w:rPr>
        <w:t>BCSA 116</w:t>
      </w:r>
      <w:r w:rsidR="001B6E8B" w:rsidRPr="00FF5C3B">
        <w:rPr>
          <w:b/>
          <w:color w:val="C45911" w:themeColor="accent2" w:themeShade="BF"/>
          <w:lang w:val="en-CA" w:eastAsia="en-CA"/>
        </w:rPr>
        <w:t>;</w:t>
      </w:r>
      <w:r w:rsidR="001B6E8B" w:rsidRPr="00FF5C3B">
        <w:rPr>
          <w:b/>
          <w:color w:val="7030A0"/>
          <w:lang w:val="en-CA" w:eastAsia="en-CA"/>
        </w:rPr>
        <w:t xml:space="preserve"> NI 51-102 s.1.1</w:t>
      </w:r>
      <w:r w:rsidRPr="00FF5C3B">
        <w:rPr>
          <w:lang w:val="en-CA" w:eastAsia="en-CA"/>
        </w:rPr>
        <w:t>)</w:t>
      </w:r>
    </w:p>
    <w:p w:rsidR="00BD6E43" w:rsidRPr="00761098" w:rsidRDefault="00CA4395" w:rsidP="00FF0B61">
      <w:pPr>
        <w:spacing w:after="0" w:line="240" w:lineRule="auto"/>
        <w:rPr>
          <w:b/>
        </w:rPr>
      </w:pPr>
      <w:r>
        <w:rPr>
          <w:b/>
          <w:u w:val="single"/>
          <w:lang w:val="en-CA" w:eastAsia="en-CA"/>
        </w:rPr>
        <w:t xml:space="preserve">[1] </w:t>
      </w:r>
      <w:r w:rsidR="00D93EFB" w:rsidRPr="00D93EFB">
        <w:rPr>
          <w:b/>
          <w:u w:val="single"/>
          <w:lang w:val="en-CA" w:eastAsia="en-CA"/>
        </w:rPr>
        <w:t>Proxies:</w:t>
      </w:r>
      <w:r w:rsidR="00D93EFB">
        <w:rPr>
          <w:b/>
          <w:lang w:val="en-CA" w:eastAsia="en-CA"/>
        </w:rPr>
        <w:t xml:space="preserve"> </w:t>
      </w:r>
      <w:r w:rsidR="0012587C">
        <w:t>MG</w:t>
      </w:r>
      <w:r w:rsidR="00D93EFB" w:rsidRPr="003120AC">
        <w:t>T must mail a</w:t>
      </w:r>
      <w:r w:rsidR="00495863">
        <w:t xml:space="preserve"> form of proxy to each security</w:t>
      </w:r>
      <w:r w:rsidR="00D93EFB" w:rsidRPr="003120AC">
        <w:t xml:space="preserve">holder (registered and beneficial), either before or at the time as the notice of the meeting to which the proxy applies. </w:t>
      </w:r>
      <w:r w:rsidR="00D93EFB" w:rsidRPr="003120AC">
        <w:rPr>
          <w:b/>
        </w:rPr>
        <w:t xml:space="preserve">MGMT must solicit proxies for annual &amp; special meetings, at which at least one </w:t>
      </w:r>
      <w:r w:rsidR="00726236">
        <w:rPr>
          <w:b/>
        </w:rPr>
        <w:t>DIR</w:t>
      </w:r>
      <w:r w:rsidR="007C7F9A">
        <w:rPr>
          <w:b/>
        </w:rPr>
        <w:t xml:space="preserve"> will be elected</w:t>
      </w:r>
      <w:r w:rsidR="00761098">
        <w:rPr>
          <w:b/>
        </w:rPr>
        <w:t xml:space="preserve"> (</w:t>
      </w:r>
      <w:r w:rsidR="006A7323">
        <w:rPr>
          <w:b/>
          <w:color w:val="7030A0"/>
        </w:rPr>
        <w:t>NI 51-102</w:t>
      </w:r>
      <w:r w:rsidR="001A10C0">
        <w:rPr>
          <w:b/>
          <w:color w:val="7030A0"/>
        </w:rPr>
        <w:t xml:space="preserve"> Part 9</w:t>
      </w:r>
      <w:r w:rsidR="00761098">
        <w:rPr>
          <w:b/>
        </w:rPr>
        <w:t>)</w:t>
      </w:r>
    </w:p>
    <w:p w:rsidR="00A95B0B" w:rsidRPr="00A95B0B" w:rsidRDefault="00BD6E43" w:rsidP="00FF0B61">
      <w:pPr>
        <w:pStyle w:val="ListParagraph"/>
        <w:numPr>
          <w:ilvl w:val="0"/>
          <w:numId w:val="52"/>
        </w:numPr>
        <w:spacing w:after="0"/>
      </w:pPr>
      <w:r>
        <w:rPr>
          <w:b/>
        </w:rPr>
        <w:t xml:space="preserve">NB: </w:t>
      </w:r>
      <w:r w:rsidR="007C7F9A">
        <w:t>B/c DIRs can be elected for terms of 3 years there may be SH’s meetings which no DIR will be elected, thus mgt n</w:t>
      </w:r>
      <w:r w:rsidR="00495863">
        <w:t xml:space="preserve">ot required to solicit proxies </w:t>
      </w:r>
      <w:r w:rsidR="00495863">
        <w:rPr>
          <w:b/>
        </w:rPr>
        <w:t xml:space="preserve">// </w:t>
      </w:r>
      <w:r w:rsidR="0054323E" w:rsidRPr="00495863">
        <w:rPr>
          <w:lang w:val="en-CA" w:eastAsia="en-CA"/>
        </w:rPr>
        <w:t xml:space="preserve">Important to know which system incorporated under (e.g. </w:t>
      </w:r>
      <w:r w:rsidR="0054323E" w:rsidRPr="00495863">
        <w:rPr>
          <w:i/>
          <w:lang w:val="en-CA" w:eastAsia="en-CA"/>
        </w:rPr>
        <w:t xml:space="preserve">CBCA </w:t>
      </w:r>
      <w:r w:rsidR="0054323E" w:rsidRPr="00495863">
        <w:rPr>
          <w:lang w:val="en-CA" w:eastAsia="en-CA"/>
        </w:rPr>
        <w:t xml:space="preserve">or </w:t>
      </w:r>
      <w:r w:rsidR="0054323E" w:rsidRPr="00495863">
        <w:rPr>
          <w:i/>
          <w:lang w:val="en-CA" w:eastAsia="en-CA"/>
        </w:rPr>
        <w:t>BCA</w:t>
      </w:r>
      <w:r w:rsidR="0054323E" w:rsidRPr="00495863">
        <w:rPr>
          <w:lang w:val="en-CA" w:eastAsia="en-CA"/>
        </w:rPr>
        <w:t>) wrt shareholder voting rules.</w:t>
      </w:r>
    </w:p>
    <w:p w:rsidR="00F26A29" w:rsidRPr="00A95B0B" w:rsidRDefault="00F26A29" w:rsidP="00FF0B61">
      <w:pPr>
        <w:pStyle w:val="ListParagraph"/>
        <w:numPr>
          <w:ilvl w:val="0"/>
          <w:numId w:val="52"/>
        </w:numPr>
        <w:spacing w:after="0"/>
      </w:pPr>
      <w:r w:rsidRPr="00A95B0B">
        <w:rPr>
          <w:b/>
        </w:rPr>
        <w:t xml:space="preserve">Exemption from Proxy Solicitation Rules: </w:t>
      </w:r>
      <w:r>
        <w:t>If a RI is incorporated, organized or continued under a jurisdiction w/ “substantially similar” proxy req’s, the issuer may comply w/ those req’s instead (</w:t>
      </w:r>
      <w:r w:rsidRPr="00A95B0B">
        <w:rPr>
          <w:b/>
          <w:color w:val="7030A0"/>
        </w:rPr>
        <w:t>NI 51-102 s.9.5</w:t>
      </w:r>
      <w:r w:rsidRPr="00A95B0B">
        <w:rPr>
          <w:b/>
        </w:rPr>
        <w:t>)</w:t>
      </w:r>
    </w:p>
    <w:p w:rsidR="004A6857" w:rsidRDefault="004A6857" w:rsidP="00FF0B61">
      <w:pPr>
        <w:spacing w:after="0" w:line="240" w:lineRule="auto"/>
      </w:pPr>
    </w:p>
    <w:p w:rsidR="001E6EF3" w:rsidRPr="001E6EF3" w:rsidRDefault="00CA4395" w:rsidP="00FF0B61">
      <w:pPr>
        <w:spacing w:after="0" w:line="240" w:lineRule="auto"/>
        <w:rPr>
          <w:lang w:val="en-CA" w:eastAsia="en-CA"/>
        </w:rPr>
      </w:pPr>
      <w:r>
        <w:rPr>
          <w:b/>
          <w:u w:val="single"/>
          <w:lang w:val="en-CA" w:eastAsia="en-CA"/>
        </w:rPr>
        <w:t xml:space="preserve">[2] </w:t>
      </w:r>
      <w:r w:rsidR="004A6857" w:rsidRPr="001E6EF3">
        <w:rPr>
          <w:b/>
          <w:u w:val="single"/>
          <w:lang w:val="en-CA" w:eastAsia="en-CA"/>
        </w:rPr>
        <w:t>Form of Proxy:</w:t>
      </w:r>
      <w:r w:rsidR="004A6857" w:rsidRPr="001E6EF3">
        <w:rPr>
          <w:b/>
          <w:lang w:val="en-CA" w:eastAsia="en-CA"/>
        </w:rPr>
        <w:t xml:space="preserve"> </w:t>
      </w:r>
      <w:r w:rsidR="00593593">
        <w:rPr>
          <w:lang w:val="en-CA" w:eastAsia="en-CA"/>
        </w:rPr>
        <w:t>M</w:t>
      </w:r>
      <w:r w:rsidR="001E6EF3" w:rsidRPr="001E6EF3">
        <w:rPr>
          <w:lang w:val="en-CA" w:eastAsia="en-CA"/>
        </w:rPr>
        <w:t xml:space="preserve">eans a </w:t>
      </w:r>
      <w:r w:rsidR="001E6EF3" w:rsidRPr="001E6EF3">
        <w:rPr>
          <w:b/>
          <w:i/>
          <w:lang w:val="en-CA" w:eastAsia="en-CA"/>
        </w:rPr>
        <w:t>written or printed form</w:t>
      </w:r>
      <w:r w:rsidR="00AA4B0E">
        <w:rPr>
          <w:lang w:val="en-CA" w:eastAsia="en-CA"/>
        </w:rPr>
        <w:t xml:space="preserve"> that, when completed and executed, appoints a proxy </w:t>
      </w:r>
      <w:r w:rsidR="001E6EF3" w:rsidRPr="001E6EF3">
        <w:rPr>
          <w:lang w:val="en-CA" w:eastAsia="en-CA"/>
        </w:rPr>
        <w:t>(</w:t>
      </w:r>
      <w:r w:rsidR="001E6EF3" w:rsidRPr="001E6EF3">
        <w:rPr>
          <w:b/>
          <w:color w:val="C45911" w:themeColor="accent2" w:themeShade="BF"/>
          <w:lang w:val="en-CA" w:eastAsia="en-CA"/>
        </w:rPr>
        <w:t xml:space="preserve">BCSA 116; </w:t>
      </w:r>
      <w:r w:rsidR="001E6EF3" w:rsidRPr="001E6EF3">
        <w:rPr>
          <w:b/>
          <w:color w:val="7030A0"/>
          <w:lang w:val="en-CA" w:eastAsia="en-CA"/>
        </w:rPr>
        <w:t>51-102 s.1.1</w:t>
      </w:r>
      <w:r w:rsidR="001E6EF3" w:rsidRPr="001E6EF3">
        <w:rPr>
          <w:lang w:val="en-CA" w:eastAsia="en-CA"/>
        </w:rPr>
        <w:t>)</w:t>
      </w:r>
    </w:p>
    <w:p w:rsidR="00C25990" w:rsidRPr="008C7A24" w:rsidRDefault="008B16E8" w:rsidP="00FF0B61">
      <w:pPr>
        <w:pStyle w:val="ListParagraph"/>
        <w:numPr>
          <w:ilvl w:val="0"/>
          <w:numId w:val="54"/>
        </w:numPr>
        <w:spacing w:after="0"/>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States that any person can be nominee for proxy</w:t>
      </w:r>
      <w:r w:rsidR="00325D4A">
        <w:rPr>
          <w:rFonts w:ascii="Calibri" w:eastAsia="Times New Roman" w:hAnsi="Calibri" w:cs="Times New Roman"/>
          <w:color w:val="000000"/>
          <w:lang w:eastAsia="en-CA"/>
        </w:rPr>
        <w:t xml:space="preserve"> </w:t>
      </w:r>
      <w:r w:rsidR="00325D4A">
        <w:rPr>
          <w:rFonts w:ascii="Calibri" w:eastAsia="Times New Roman" w:hAnsi="Calibri" w:cs="Times New Roman"/>
          <w:b/>
          <w:color w:val="000000"/>
          <w:lang w:eastAsia="en-CA"/>
        </w:rPr>
        <w:t xml:space="preserve">// </w:t>
      </w:r>
      <w:r w:rsidRPr="00325D4A">
        <w:rPr>
          <w:rFonts w:ascii="Calibri" w:eastAsia="Times New Roman" w:hAnsi="Calibri" w:cs="Times New Roman"/>
          <w:color w:val="000000"/>
          <w:lang w:eastAsia="en-CA"/>
        </w:rPr>
        <w:t xml:space="preserve">Must allow the </w:t>
      </w:r>
      <w:r w:rsidR="002D4815" w:rsidRPr="00325D4A">
        <w:rPr>
          <w:rFonts w:ascii="Calibri" w:eastAsia="Times New Roman" w:hAnsi="Calibri" w:cs="Times New Roman"/>
          <w:color w:val="000000"/>
          <w:lang w:eastAsia="en-CA"/>
        </w:rPr>
        <w:t>securityholder</w:t>
      </w:r>
      <w:r w:rsidRPr="00325D4A">
        <w:rPr>
          <w:rFonts w:ascii="Calibri" w:eastAsia="Times New Roman" w:hAnsi="Calibri" w:cs="Times New Roman"/>
          <w:color w:val="000000"/>
          <w:lang w:eastAsia="en-CA"/>
        </w:rPr>
        <w:t xml:space="preserve"> to vote separately on each matter or group of related matters</w:t>
      </w:r>
      <w:r w:rsidR="008C7A24">
        <w:rPr>
          <w:rFonts w:ascii="Calibri" w:eastAsia="Times New Roman" w:hAnsi="Calibri" w:cs="Times New Roman"/>
          <w:color w:val="000000"/>
          <w:lang w:eastAsia="en-CA"/>
        </w:rPr>
        <w:t xml:space="preserve"> </w:t>
      </w:r>
      <w:r w:rsidR="008C7A24">
        <w:rPr>
          <w:rFonts w:ascii="Calibri" w:eastAsia="Times New Roman" w:hAnsi="Calibri" w:cs="Times New Roman"/>
          <w:b/>
          <w:color w:val="000000"/>
          <w:lang w:eastAsia="en-CA"/>
        </w:rPr>
        <w:t xml:space="preserve">// </w:t>
      </w:r>
      <w:r w:rsidR="00C25990" w:rsidRPr="008C7A24">
        <w:rPr>
          <w:lang w:val="en-CA" w:eastAsia="en-CA"/>
        </w:rPr>
        <w:t>Can revoke your proxy up to the very last minute (and vote another way).</w:t>
      </w:r>
    </w:p>
    <w:p w:rsidR="00B73AB4" w:rsidRDefault="00B73AB4" w:rsidP="00FF0B61">
      <w:pPr>
        <w:spacing w:after="0" w:line="240" w:lineRule="auto"/>
        <w:rPr>
          <w:b/>
          <w:lang w:val="en-CA" w:eastAsia="en-CA"/>
        </w:rPr>
      </w:pPr>
    </w:p>
    <w:p w:rsidR="00ED0D2B" w:rsidRDefault="00BC4038" w:rsidP="00FF0B61">
      <w:pPr>
        <w:spacing w:after="0" w:line="240" w:lineRule="auto"/>
        <w:rPr>
          <w:b/>
          <w:lang w:val="en-CA" w:eastAsia="en-CA"/>
        </w:rPr>
      </w:pPr>
      <w:r>
        <w:rPr>
          <w:b/>
          <w:lang w:val="en-CA" w:eastAsia="en-CA"/>
        </w:rPr>
        <w:t xml:space="preserve">How to </w:t>
      </w:r>
      <w:r w:rsidR="00AC54F9">
        <w:rPr>
          <w:b/>
          <w:lang w:val="en-CA" w:eastAsia="en-CA"/>
        </w:rPr>
        <w:t>Vote Pr</w:t>
      </w:r>
      <w:r>
        <w:rPr>
          <w:b/>
          <w:lang w:val="en-CA" w:eastAsia="en-CA"/>
        </w:rPr>
        <w:t xml:space="preserve">oxies at </w:t>
      </w:r>
      <w:r w:rsidR="00AC54F9">
        <w:rPr>
          <w:b/>
          <w:lang w:val="en-CA" w:eastAsia="en-CA"/>
        </w:rPr>
        <w:t>M</w:t>
      </w:r>
      <w:r>
        <w:rPr>
          <w:b/>
          <w:lang w:val="en-CA" w:eastAsia="en-CA"/>
        </w:rPr>
        <w:t>eeting:</w:t>
      </w:r>
    </w:p>
    <w:p w:rsidR="00ED0D2B" w:rsidRPr="007E0C64" w:rsidRDefault="00C61C5C" w:rsidP="00FF0B61">
      <w:pPr>
        <w:pStyle w:val="ListParagraph"/>
        <w:numPr>
          <w:ilvl w:val="0"/>
          <w:numId w:val="49"/>
        </w:numPr>
        <w:spacing w:after="0"/>
        <w:rPr>
          <w:b/>
          <w:lang w:val="en-CA" w:eastAsia="en-CA"/>
        </w:rPr>
      </w:pPr>
      <w:r>
        <w:rPr>
          <w:b/>
          <w:lang w:val="en-CA" w:eastAsia="en-CA"/>
        </w:rPr>
        <w:t>DEFAULT:</w:t>
      </w:r>
      <w:r w:rsidR="000A0795">
        <w:rPr>
          <w:lang w:val="en-CA" w:eastAsia="en-CA"/>
        </w:rPr>
        <w:t xml:space="preserve"> T</w:t>
      </w:r>
      <w:r w:rsidR="000A0795" w:rsidRPr="000A0795">
        <w:rPr>
          <w:lang w:val="en-CA" w:eastAsia="en-CA"/>
        </w:rPr>
        <w:t>he chair at a meeting has the right not to conduct a vote by way of ballo</w:t>
      </w:r>
      <w:r w:rsidR="00C25990">
        <w:rPr>
          <w:lang w:val="en-CA" w:eastAsia="en-CA"/>
        </w:rPr>
        <w:t>t</w:t>
      </w:r>
      <w:r w:rsidR="000A0795" w:rsidRPr="000A0795">
        <w:rPr>
          <w:lang w:val="en-CA" w:eastAsia="en-CA"/>
        </w:rPr>
        <w:t xml:space="preserve"> </w:t>
      </w:r>
      <w:r w:rsidRPr="007E0C64">
        <w:rPr>
          <w:lang w:val="en-CA" w:eastAsia="en-CA"/>
        </w:rPr>
        <w:t>(</w:t>
      </w:r>
      <w:r w:rsidRPr="007E0C64">
        <w:rPr>
          <w:b/>
          <w:color w:val="C45911" w:themeColor="accent2" w:themeShade="BF"/>
          <w:lang w:val="en-CA" w:eastAsia="en-CA"/>
        </w:rPr>
        <w:t>BCSA 118(1))</w:t>
      </w:r>
    </w:p>
    <w:p w:rsidR="00C36278" w:rsidRPr="00FA2EF5" w:rsidRDefault="00C36278" w:rsidP="00FF0B61">
      <w:pPr>
        <w:pStyle w:val="ListParagraph"/>
        <w:numPr>
          <w:ilvl w:val="1"/>
          <w:numId w:val="49"/>
        </w:numPr>
        <w:spacing w:after="0"/>
        <w:rPr>
          <w:b/>
          <w:lang w:val="en-CA" w:eastAsia="en-CA"/>
        </w:rPr>
      </w:pPr>
      <w:r w:rsidRPr="007E0C64">
        <w:rPr>
          <w:u w:val="single"/>
          <w:lang w:val="en-CA" w:eastAsia="en-CA"/>
        </w:rPr>
        <w:t>Methods:</w:t>
      </w:r>
      <w:r w:rsidR="007E0C64" w:rsidRPr="007E0C64">
        <w:rPr>
          <w:lang w:val="en-CA" w:eastAsia="en-CA"/>
        </w:rPr>
        <w:t xml:space="preserve"> V</w:t>
      </w:r>
      <w:r>
        <w:rPr>
          <w:lang w:val="en-CA" w:eastAsia="en-CA"/>
        </w:rPr>
        <w:t>oice vote, by acclamation,</w:t>
      </w:r>
      <w:r w:rsidR="00C33DC2">
        <w:rPr>
          <w:lang w:val="en-CA" w:eastAsia="en-CA"/>
        </w:rPr>
        <w:t xml:space="preserve"> etc. </w:t>
      </w:r>
    </w:p>
    <w:p w:rsidR="00FA2EF5" w:rsidRDefault="00726236" w:rsidP="00FF0B61">
      <w:pPr>
        <w:pStyle w:val="ListParagraph"/>
        <w:numPr>
          <w:ilvl w:val="0"/>
          <w:numId w:val="49"/>
        </w:numPr>
        <w:spacing w:after="0"/>
        <w:rPr>
          <w:lang w:val="en-CA" w:eastAsia="en-CA"/>
        </w:rPr>
      </w:pPr>
      <w:r>
        <w:rPr>
          <w:b/>
          <w:lang w:val="en-CA" w:eastAsia="en-CA"/>
        </w:rPr>
        <w:t>EXEMPTION</w:t>
      </w:r>
      <w:r w:rsidR="00A70B28" w:rsidRPr="00B04CBB">
        <w:rPr>
          <w:b/>
          <w:lang w:val="en-CA" w:eastAsia="en-CA"/>
        </w:rPr>
        <w:t xml:space="preserve">: </w:t>
      </w:r>
      <w:r w:rsidR="00A70B28" w:rsidRPr="00B04CBB">
        <w:rPr>
          <w:lang w:val="en-CA" w:eastAsia="en-CA"/>
        </w:rPr>
        <w:t xml:space="preserve">Default </w:t>
      </w:r>
      <w:r w:rsidR="00FA2EF5" w:rsidRPr="00B04CBB">
        <w:rPr>
          <w:lang w:val="en-CA" w:eastAsia="en-CA"/>
        </w:rPr>
        <w:t xml:space="preserve">does </w:t>
      </w:r>
      <w:r w:rsidR="00FA2EF5" w:rsidRPr="00B04CBB">
        <w:rPr>
          <w:u w:val="single"/>
          <w:lang w:val="en-CA" w:eastAsia="en-CA"/>
        </w:rPr>
        <w:t>not apply</w:t>
      </w:r>
      <w:r w:rsidR="00FA2EF5" w:rsidRPr="00B04CBB">
        <w:rPr>
          <w:lang w:val="en-CA" w:eastAsia="en-CA"/>
        </w:rPr>
        <w:t xml:space="preserve"> if: </w:t>
      </w:r>
      <w:r w:rsidR="00FA2EF5" w:rsidRPr="00B04CBB">
        <w:rPr>
          <w:b/>
          <w:lang w:val="en-CA" w:eastAsia="en-CA"/>
        </w:rPr>
        <w:t>(a)</w:t>
      </w:r>
      <w:r w:rsidR="00FA2EF5" w:rsidRPr="00B04CBB">
        <w:rPr>
          <w:lang w:val="en-CA" w:eastAsia="en-CA"/>
        </w:rPr>
        <w:t xml:space="preserve"> </w:t>
      </w:r>
      <w:r w:rsidR="00FA2EF5" w:rsidRPr="00B04CBB">
        <w:rPr>
          <w:u w:val="single"/>
          <w:lang w:val="en-CA" w:eastAsia="en-CA"/>
        </w:rPr>
        <w:t>a poll</w:t>
      </w:r>
      <w:r w:rsidR="00FA2EF5" w:rsidRPr="00B04CBB">
        <w:rPr>
          <w:lang w:val="en-CA" w:eastAsia="en-CA"/>
        </w:rPr>
        <w:t xml:space="preserve"> is demanded by a security holder</w:t>
      </w:r>
      <w:r w:rsidR="00280843">
        <w:rPr>
          <w:lang w:val="en-CA" w:eastAsia="en-CA"/>
        </w:rPr>
        <w:t xml:space="preserve">… </w:t>
      </w:r>
      <w:r w:rsidR="00FA2EF5" w:rsidRPr="00B04CBB">
        <w:rPr>
          <w:b/>
          <w:lang w:val="en-CA" w:eastAsia="en-CA"/>
        </w:rPr>
        <w:t xml:space="preserve">OR </w:t>
      </w:r>
      <w:r w:rsidR="00527871" w:rsidRPr="00B04CBB">
        <w:rPr>
          <w:b/>
          <w:lang w:val="en-CA" w:eastAsia="en-CA"/>
        </w:rPr>
        <w:t>(b)</w:t>
      </w:r>
      <w:r w:rsidR="00527871" w:rsidRPr="00B04CBB">
        <w:rPr>
          <w:lang w:val="en-CA" w:eastAsia="en-CA"/>
        </w:rPr>
        <w:t xml:space="preserve"> </w:t>
      </w:r>
      <w:r w:rsidR="007E0C64" w:rsidRPr="00B04CBB">
        <w:rPr>
          <w:u w:val="single"/>
          <w:lang w:val="en-CA" w:eastAsia="en-CA"/>
        </w:rPr>
        <w:t>more than 5% of all voting rights attached to all the securities</w:t>
      </w:r>
      <w:r w:rsidR="007E0C64" w:rsidRPr="00B04CBB">
        <w:rPr>
          <w:lang w:val="en-CA" w:eastAsia="en-CA"/>
        </w:rPr>
        <w:t xml:space="preserve">, that are entitled to be voted and to be represented at the meeting, </w:t>
      </w:r>
      <w:r w:rsidR="007E0C64" w:rsidRPr="00B04CBB">
        <w:rPr>
          <w:b/>
          <w:i/>
          <w:lang w:val="en-CA" w:eastAsia="en-CA"/>
        </w:rPr>
        <w:t xml:space="preserve">are represented by proxies who are required to vote against </w:t>
      </w:r>
      <w:r w:rsidR="007E0C64" w:rsidRPr="00B04CBB">
        <w:rPr>
          <w:lang w:val="en-CA" w:eastAsia="en-CA"/>
        </w:rPr>
        <w:t xml:space="preserve">what would otherwise be the meeting's decision </w:t>
      </w:r>
      <w:r>
        <w:rPr>
          <w:lang w:val="en-CA" w:eastAsia="en-CA"/>
        </w:rPr>
        <w:t>on the matters referred to in</w:t>
      </w:r>
      <w:r w:rsidR="007E0C64" w:rsidRPr="00B04CBB">
        <w:rPr>
          <w:lang w:val="en-CA" w:eastAsia="en-CA"/>
        </w:rPr>
        <w:t xml:space="preserve"> (1) </w:t>
      </w:r>
      <w:r w:rsidR="00527871" w:rsidRPr="00B04CBB">
        <w:rPr>
          <w:lang w:val="en-CA" w:eastAsia="en-CA"/>
        </w:rPr>
        <w:t>(</w:t>
      </w:r>
      <w:r w:rsidR="007E0C64" w:rsidRPr="00B04CBB">
        <w:rPr>
          <w:b/>
          <w:lang w:val="en-CA" w:eastAsia="en-CA"/>
        </w:rPr>
        <w:t xml:space="preserve">NB: </w:t>
      </w:r>
      <w:r w:rsidR="00527871" w:rsidRPr="00B04CBB">
        <w:rPr>
          <w:lang w:val="en-CA" w:eastAsia="en-CA"/>
        </w:rPr>
        <w:t>since choices of dissident proxy are to vote for or withhold, (b) will never apply to a DIR as you cannot vote against a DIR)</w:t>
      </w:r>
      <w:r w:rsidR="00FA2EF5" w:rsidRPr="00B04CBB">
        <w:rPr>
          <w:lang w:val="en-CA" w:eastAsia="en-CA"/>
        </w:rPr>
        <w:t>(</w:t>
      </w:r>
      <w:r w:rsidR="00FA2EF5" w:rsidRPr="00B04CBB">
        <w:rPr>
          <w:b/>
          <w:color w:val="C45911" w:themeColor="accent2" w:themeShade="BF"/>
          <w:lang w:val="en-CA" w:eastAsia="en-CA"/>
        </w:rPr>
        <w:t>BCSA 118(2)</w:t>
      </w:r>
      <w:r w:rsidR="00FA2EF5" w:rsidRPr="00B04CBB">
        <w:rPr>
          <w:lang w:val="en-CA" w:eastAsia="en-CA"/>
        </w:rPr>
        <w:t>)</w:t>
      </w:r>
    </w:p>
    <w:p w:rsidR="004D15C2" w:rsidRDefault="004D15C2" w:rsidP="00FF0B61">
      <w:pPr>
        <w:spacing w:after="0" w:line="240" w:lineRule="auto"/>
        <w:rPr>
          <w:b/>
          <w:lang w:val="en-CA" w:eastAsia="en-CA"/>
        </w:rPr>
      </w:pPr>
    </w:p>
    <w:p w:rsidR="00AE55E9" w:rsidRDefault="00CA4395" w:rsidP="00FF0B61">
      <w:pPr>
        <w:spacing w:after="0" w:line="240" w:lineRule="auto"/>
      </w:pPr>
      <w:r>
        <w:rPr>
          <w:b/>
          <w:u w:val="single"/>
          <w:lang w:val="en-CA" w:eastAsia="en-CA"/>
        </w:rPr>
        <w:t>[</w:t>
      </w:r>
      <w:r w:rsidR="0046642E">
        <w:rPr>
          <w:b/>
          <w:u w:val="single"/>
          <w:lang w:val="en-CA" w:eastAsia="en-CA"/>
        </w:rPr>
        <w:t>3</w:t>
      </w:r>
      <w:r>
        <w:rPr>
          <w:b/>
          <w:u w:val="single"/>
          <w:lang w:val="en-CA" w:eastAsia="en-CA"/>
        </w:rPr>
        <w:t xml:space="preserve">] </w:t>
      </w:r>
      <w:r w:rsidR="005A53E0" w:rsidRPr="00CA4395">
        <w:rPr>
          <w:b/>
          <w:u w:val="single"/>
          <w:lang w:val="en-CA" w:eastAsia="en-CA"/>
        </w:rPr>
        <w:t>Information Circular</w:t>
      </w:r>
      <w:r w:rsidR="00722EDF" w:rsidRPr="00CA4395">
        <w:rPr>
          <w:b/>
          <w:u w:val="single"/>
          <w:lang w:val="en-CA" w:eastAsia="en-CA"/>
        </w:rPr>
        <w:t>:</w:t>
      </w:r>
      <w:r w:rsidR="00722EDF" w:rsidRPr="00AE55E9">
        <w:rPr>
          <w:lang w:val="en-CA" w:eastAsia="en-CA"/>
        </w:rPr>
        <w:t xml:space="preserve"> </w:t>
      </w:r>
      <w:r w:rsidR="00AE55E9" w:rsidRPr="00AE55E9">
        <w:rPr>
          <w:lang w:val="en-CA" w:eastAsia="en-CA"/>
        </w:rPr>
        <w:t xml:space="preserve">Must contain information to enable securityholders to make informed decisions on proxy votes. </w:t>
      </w:r>
    </w:p>
    <w:p w:rsidR="00DF1061" w:rsidRPr="00B32874" w:rsidRDefault="005204EC" w:rsidP="00FF0B61">
      <w:pPr>
        <w:pStyle w:val="ListParagraph"/>
        <w:numPr>
          <w:ilvl w:val="0"/>
          <w:numId w:val="53"/>
        </w:numPr>
        <w:spacing w:after="0"/>
        <w:rPr>
          <w:lang w:val="en-CA" w:eastAsia="en-CA"/>
        </w:rPr>
      </w:pPr>
      <w:r w:rsidRPr="00B32874">
        <w:rPr>
          <w:b/>
          <w:lang w:val="en-CA" w:eastAsia="en-CA"/>
        </w:rPr>
        <w:t>MANDATORY</w:t>
      </w:r>
      <w:r w:rsidR="00397B19" w:rsidRPr="00B32874">
        <w:rPr>
          <w:b/>
          <w:lang w:val="en-CA" w:eastAsia="en-CA"/>
        </w:rPr>
        <w:t xml:space="preserve"> TO SEND</w:t>
      </w:r>
      <w:r w:rsidRPr="00B32874">
        <w:rPr>
          <w:b/>
          <w:lang w:val="en-CA" w:eastAsia="en-CA"/>
        </w:rPr>
        <w:t xml:space="preserve"> WHEN THERE </w:t>
      </w:r>
      <w:r w:rsidRPr="004251D9">
        <w:rPr>
          <w:b/>
          <w:lang w:val="en-CA" w:eastAsia="en-CA"/>
        </w:rPr>
        <w:t xml:space="preserve">IS A </w:t>
      </w:r>
      <w:r w:rsidRPr="001E72FE">
        <w:rPr>
          <w:b/>
          <w:u w:val="single"/>
          <w:lang w:val="en-CA" w:eastAsia="en-CA"/>
        </w:rPr>
        <w:t>“</w:t>
      </w:r>
      <w:r w:rsidR="0050257E" w:rsidRPr="001E72FE">
        <w:rPr>
          <w:b/>
          <w:u w:val="single"/>
          <w:lang w:val="en-CA" w:eastAsia="en-CA"/>
        </w:rPr>
        <w:t>SOLICITATION</w:t>
      </w:r>
      <w:r w:rsidRPr="001E72FE">
        <w:rPr>
          <w:b/>
          <w:u w:val="single"/>
          <w:lang w:val="en-CA" w:eastAsia="en-CA"/>
        </w:rPr>
        <w:t>”</w:t>
      </w:r>
      <w:r w:rsidR="008F21A4" w:rsidRPr="004251D9">
        <w:rPr>
          <w:b/>
          <w:lang w:val="en-CA" w:eastAsia="en-CA"/>
        </w:rPr>
        <w:t xml:space="preserve"> (</w:t>
      </w:r>
      <w:r w:rsidR="008F21A4" w:rsidRPr="004251D9">
        <w:rPr>
          <w:b/>
          <w:color w:val="7030A0"/>
          <w:lang w:val="en-CA" w:eastAsia="en-CA"/>
        </w:rPr>
        <w:t>NI 51-</w:t>
      </w:r>
      <w:r w:rsidR="008F21A4" w:rsidRPr="00B32874">
        <w:rPr>
          <w:b/>
          <w:color w:val="7030A0"/>
          <w:lang w:val="en-CA" w:eastAsia="en-CA"/>
        </w:rPr>
        <w:t>102 s.1.1</w:t>
      </w:r>
      <w:r w:rsidR="008F21A4" w:rsidRPr="00B32874">
        <w:rPr>
          <w:b/>
          <w:lang w:val="en-CA" w:eastAsia="en-CA"/>
        </w:rPr>
        <w:t>)</w:t>
      </w:r>
      <w:r w:rsidR="00C63A51">
        <w:rPr>
          <w:b/>
          <w:lang w:val="en-CA" w:eastAsia="en-CA"/>
        </w:rPr>
        <w:t xml:space="preserve"> (</w:t>
      </w:r>
      <w:r w:rsidR="00C63A51" w:rsidRPr="00080904">
        <w:rPr>
          <w:i/>
          <w:lang w:val="en-CA" w:eastAsia="en-CA"/>
        </w:rPr>
        <w:t xml:space="preserve">Broad term that captures most </w:t>
      </w:r>
      <w:r w:rsidR="00080904" w:rsidRPr="00080904">
        <w:rPr>
          <w:i/>
          <w:lang w:val="en-CA" w:eastAsia="en-CA"/>
        </w:rPr>
        <w:t>activities</w:t>
      </w:r>
      <w:r w:rsidR="00C63A51" w:rsidRPr="00080904">
        <w:rPr>
          <w:i/>
          <w:lang w:val="en-CA" w:eastAsia="en-CA"/>
        </w:rPr>
        <w:t xml:space="preserve"> directed at influencing a SH’s vote</w:t>
      </w:r>
      <w:r w:rsidR="00C63A51">
        <w:rPr>
          <w:lang w:val="en-CA" w:eastAsia="en-CA"/>
        </w:rPr>
        <w:t>)</w:t>
      </w:r>
      <w:r w:rsidRPr="00B32874">
        <w:rPr>
          <w:b/>
          <w:lang w:val="en-CA" w:eastAsia="en-CA"/>
        </w:rPr>
        <w:t xml:space="preserve">: </w:t>
      </w:r>
      <w:r w:rsidR="00790222" w:rsidRPr="00B32874">
        <w:rPr>
          <w:lang w:val="en-CA" w:eastAsia="en-CA"/>
        </w:rPr>
        <w:t xml:space="preserve">Means </w:t>
      </w:r>
      <w:r w:rsidRPr="00B32874">
        <w:rPr>
          <w:b/>
          <w:lang w:val="en-CA" w:eastAsia="en-CA"/>
        </w:rPr>
        <w:t>(a)</w:t>
      </w:r>
      <w:r w:rsidR="00790222" w:rsidRPr="00B32874">
        <w:rPr>
          <w:lang w:val="en-CA" w:eastAsia="en-CA"/>
        </w:rPr>
        <w:t xml:space="preserve"> </w:t>
      </w:r>
      <w:r w:rsidRPr="00B32874">
        <w:rPr>
          <w:lang w:val="en-CA" w:eastAsia="en-CA"/>
        </w:rPr>
        <w:t xml:space="preserve">Requesting a proxy whether or not the request is accompanied by or included in a form of proxy </w:t>
      </w:r>
      <w:r w:rsidRPr="00B32874">
        <w:rPr>
          <w:b/>
          <w:lang w:val="en-CA" w:eastAsia="en-CA"/>
        </w:rPr>
        <w:t>(b)</w:t>
      </w:r>
      <w:r w:rsidR="00790222" w:rsidRPr="00B32874">
        <w:rPr>
          <w:lang w:val="en-CA" w:eastAsia="en-CA"/>
        </w:rPr>
        <w:t xml:space="preserve"> R</w:t>
      </w:r>
      <w:r w:rsidRPr="00B32874">
        <w:rPr>
          <w:lang w:val="en-CA" w:eastAsia="en-CA"/>
        </w:rPr>
        <w:t xml:space="preserve">equesting a securityholder to execute or not to execute a form of proxy or to revoke a proxy </w:t>
      </w:r>
      <w:r w:rsidRPr="00B32874">
        <w:rPr>
          <w:b/>
          <w:lang w:val="en-CA" w:eastAsia="en-CA"/>
        </w:rPr>
        <w:t>(c)</w:t>
      </w:r>
      <w:r w:rsidR="00790222" w:rsidRPr="00B32874">
        <w:rPr>
          <w:lang w:val="en-CA" w:eastAsia="en-CA"/>
        </w:rPr>
        <w:t xml:space="preserve"> </w:t>
      </w:r>
      <w:r w:rsidR="008F21A4" w:rsidRPr="00B32874">
        <w:rPr>
          <w:lang w:val="en-CA" w:eastAsia="en-CA"/>
        </w:rPr>
        <w:t>S</w:t>
      </w:r>
      <w:r w:rsidRPr="00B32874">
        <w:rPr>
          <w:lang w:val="en-CA" w:eastAsia="en-CA"/>
        </w:rPr>
        <w:t xml:space="preserve">ending a form of proxy or other communication to a securityholder under circumstances that to a reasonable person will likely result in the giving, withholding, or revocation of a proxy </w:t>
      </w:r>
      <w:r w:rsidR="008F21A4" w:rsidRPr="00353DAB">
        <w:rPr>
          <w:b/>
          <w:u w:val="single"/>
          <w:lang w:val="en-CA" w:eastAsia="en-CA"/>
        </w:rPr>
        <w:t>OR</w:t>
      </w:r>
      <w:r w:rsidRPr="00B32874">
        <w:rPr>
          <w:lang w:val="en-CA" w:eastAsia="en-CA"/>
        </w:rPr>
        <w:t xml:space="preserve"> </w:t>
      </w:r>
      <w:r w:rsidRPr="00B32874">
        <w:rPr>
          <w:b/>
          <w:lang w:val="en-CA" w:eastAsia="en-CA"/>
        </w:rPr>
        <w:t>(d)</w:t>
      </w:r>
      <w:r w:rsidR="00790222" w:rsidRPr="00B32874">
        <w:rPr>
          <w:lang w:val="en-CA" w:eastAsia="en-CA"/>
        </w:rPr>
        <w:t xml:space="preserve"> S</w:t>
      </w:r>
      <w:r w:rsidRPr="00B32874">
        <w:rPr>
          <w:lang w:val="en-CA" w:eastAsia="en-CA"/>
        </w:rPr>
        <w:t>ending a form o</w:t>
      </w:r>
      <w:r w:rsidR="008F21A4" w:rsidRPr="00B32874">
        <w:rPr>
          <w:lang w:val="en-CA" w:eastAsia="en-CA"/>
        </w:rPr>
        <w:t>f proxy to a securityholder by MGT</w:t>
      </w:r>
      <w:r w:rsidRPr="00B32874">
        <w:rPr>
          <w:lang w:val="en-CA" w:eastAsia="en-CA"/>
        </w:rPr>
        <w:t xml:space="preserve"> of a </w:t>
      </w:r>
      <w:r w:rsidR="008F21A4" w:rsidRPr="00B32874">
        <w:rPr>
          <w:lang w:val="en-CA" w:eastAsia="en-CA"/>
        </w:rPr>
        <w:t xml:space="preserve">RI. </w:t>
      </w:r>
    </w:p>
    <w:p w:rsidR="00E778A7" w:rsidRPr="00400303" w:rsidRDefault="00DF1061" w:rsidP="00FF0B61">
      <w:pPr>
        <w:pStyle w:val="ListParagraph"/>
        <w:numPr>
          <w:ilvl w:val="0"/>
          <w:numId w:val="53"/>
        </w:numPr>
        <w:spacing w:after="0"/>
        <w:rPr>
          <w:lang w:val="en-CA" w:eastAsia="en-CA"/>
        </w:rPr>
      </w:pPr>
      <w:r w:rsidRPr="00400303">
        <w:rPr>
          <w:b/>
          <w:lang w:val="en-CA" w:eastAsia="en-CA"/>
        </w:rPr>
        <w:t xml:space="preserve">AUTOMATIC EXEMPTIONS FROM </w:t>
      </w:r>
      <w:r w:rsidRPr="00400303">
        <w:rPr>
          <w:b/>
          <w:u w:val="single"/>
          <w:lang w:val="en-CA" w:eastAsia="en-CA"/>
        </w:rPr>
        <w:t>SENDING INFORMATION CIRCULAR</w:t>
      </w:r>
      <w:r w:rsidR="00B271CC" w:rsidRPr="00400303">
        <w:rPr>
          <w:b/>
          <w:lang w:val="en-CA" w:eastAsia="en-CA"/>
        </w:rPr>
        <w:t xml:space="preserve"> (incl Dissent Proxy Circular</w:t>
      </w:r>
      <w:r w:rsidR="00B271CC" w:rsidRPr="003074B4">
        <w:rPr>
          <w:b/>
          <w:lang w:val="en-CA" w:eastAsia="en-CA"/>
        </w:rPr>
        <w:t>)</w:t>
      </w:r>
      <w:r w:rsidRPr="003074B4">
        <w:rPr>
          <w:b/>
          <w:lang w:val="en-CA" w:eastAsia="en-CA"/>
        </w:rPr>
        <w:t xml:space="preserve"> (</w:t>
      </w:r>
      <w:r w:rsidR="008B2497" w:rsidRPr="003074B4">
        <w:rPr>
          <w:b/>
          <w:color w:val="7030A0"/>
          <w:lang w:val="en-CA" w:eastAsia="en-CA"/>
        </w:rPr>
        <w:t>NI 51-102</w:t>
      </w:r>
      <w:r w:rsidRPr="003074B4">
        <w:rPr>
          <w:b/>
          <w:color w:val="7030A0"/>
          <w:lang w:val="en-CA" w:eastAsia="en-CA"/>
        </w:rPr>
        <w:t xml:space="preserve"> 9.2</w:t>
      </w:r>
      <w:r w:rsidRPr="003074B4">
        <w:rPr>
          <w:b/>
          <w:lang w:val="en-CA" w:eastAsia="en-CA"/>
        </w:rPr>
        <w:t>):</w:t>
      </w:r>
      <w:r w:rsidRPr="00400303">
        <w:rPr>
          <w:b/>
          <w:lang w:val="en-CA" w:eastAsia="en-CA"/>
        </w:rPr>
        <w:t xml:space="preserve"> </w:t>
      </w:r>
    </w:p>
    <w:p w:rsidR="00B271CC" w:rsidRPr="00B271CC" w:rsidRDefault="00CB3733" w:rsidP="00FF0B61">
      <w:pPr>
        <w:pStyle w:val="ListParagraph"/>
        <w:numPr>
          <w:ilvl w:val="1"/>
          <w:numId w:val="53"/>
        </w:numPr>
        <w:spacing w:after="0"/>
        <w:rPr>
          <w:lang w:val="en-CA" w:eastAsia="en-CA"/>
        </w:rPr>
      </w:pPr>
      <w:r w:rsidRPr="00CB3733">
        <w:rPr>
          <w:b/>
          <w:color w:val="7030A0"/>
          <w:lang w:val="en-CA" w:eastAsia="en-CA"/>
        </w:rPr>
        <w:t>(</w:t>
      </w:r>
      <w:r w:rsidR="00DF1061" w:rsidRPr="00CB3733">
        <w:rPr>
          <w:b/>
          <w:color w:val="7030A0"/>
          <w:lang w:val="en-CA" w:eastAsia="en-CA"/>
        </w:rPr>
        <w:t>1)</w:t>
      </w:r>
      <w:r w:rsidR="00DF1061" w:rsidRPr="00CB3733">
        <w:rPr>
          <w:color w:val="7030A0"/>
          <w:lang w:val="en-CA" w:eastAsia="en-CA"/>
        </w:rPr>
        <w:t xml:space="preserve"> </w:t>
      </w:r>
      <w:r w:rsidR="00EF35FF">
        <w:t>Does not apply to a solicitation by a person or company in respect of securities of which the person or company is the beneficial owner</w:t>
      </w:r>
      <w:r w:rsidR="00DF1061" w:rsidRPr="00DF1061">
        <w:rPr>
          <w:lang w:val="en-CA" w:eastAsia="en-CA"/>
        </w:rPr>
        <w:t xml:space="preserve">, </w:t>
      </w:r>
    </w:p>
    <w:p w:rsidR="006B5B15" w:rsidRPr="005A65E6" w:rsidRDefault="00CB3733" w:rsidP="00FF0B61">
      <w:pPr>
        <w:pStyle w:val="ListParagraph"/>
        <w:numPr>
          <w:ilvl w:val="1"/>
          <w:numId w:val="53"/>
        </w:numPr>
        <w:spacing w:after="0"/>
        <w:rPr>
          <w:lang w:val="en-CA" w:eastAsia="en-CA"/>
        </w:rPr>
      </w:pPr>
      <w:r w:rsidRPr="00CB3733">
        <w:rPr>
          <w:b/>
          <w:color w:val="7030A0"/>
          <w:lang w:val="en-CA" w:eastAsia="en-CA"/>
        </w:rPr>
        <w:t>(</w:t>
      </w:r>
      <w:r w:rsidR="00DF1061" w:rsidRPr="00CB3733">
        <w:rPr>
          <w:b/>
          <w:color w:val="7030A0"/>
          <w:lang w:val="en-CA" w:eastAsia="en-CA"/>
        </w:rPr>
        <w:t>2)</w:t>
      </w:r>
      <w:r w:rsidR="00DF1061" w:rsidRPr="00CB3733">
        <w:rPr>
          <w:color w:val="7030A0"/>
          <w:lang w:val="en-CA" w:eastAsia="en-CA"/>
        </w:rPr>
        <w:t xml:space="preserve"> </w:t>
      </w:r>
      <w:r w:rsidR="00DF1061" w:rsidRPr="00DF1061">
        <w:rPr>
          <w:lang w:val="en-CA" w:eastAsia="en-CA"/>
        </w:rPr>
        <w:t>If total # of securityholders who proxies are solicited is not more than 15 (cheap</w:t>
      </w:r>
      <w:r w:rsidR="00970C2E">
        <w:rPr>
          <w:lang w:val="en-CA" w:eastAsia="en-CA"/>
        </w:rPr>
        <w:t>er</w:t>
      </w:r>
      <w:r w:rsidR="00DF1061" w:rsidRPr="00DF1061">
        <w:rPr>
          <w:lang w:val="en-CA" w:eastAsia="en-CA"/>
        </w:rPr>
        <w:t xml:space="preserve"> and easier to talk to</w:t>
      </w:r>
      <w:r w:rsidR="00970C2E">
        <w:rPr>
          <w:lang w:val="en-CA" w:eastAsia="en-CA"/>
        </w:rPr>
        <w:t xml:space="preserve"> 15 ppl personally</w:t>
      </w:r>
      <w:r w:rsidR="0079125E">
        <w:rPr>
          <w:lang w:val="en-CA" w:eastAsia="en-CA"/>
        </w:rPr>
        <w:t>)</w:t>
      </w:r>
      <w:r w:rsidR="008B2497">
        <w:rPr>
          <w:lang w:val="en-CA" w:eastAsia="en-CA"/>
        </w:rPr>
        <w:t xml:space="preserve"> – </w:t>
      </w:r>
      <w:r w:rsidR="008B2497">
        <w:rPr>
          <w:b/>
          <w:lang w:val="en-CA" w:eastAsia="en-CA"/>
        </w:rPr>
        <w:t xml:space="preserve">Dissent Proxies can rely on this </w:t>
      </w:r>
      <w:r w:rsidR="00D41DDA">
        <w:rPr>
          <w:b/>
          <w:lang w:val="en-CA" w:eastAsia="en-CA"/>
        </w:rPr>
        <w:t xml:space="preserve">as well. </w:t>
      </w:r>
      <w:r w:rsidR="008B2497">
        <w:rPr>
          <w:b/>
          <w:lang w:val="en-CA" w:eastAsia="en-CA"/>
        </w:rPr>
        <w:t xml:space="preserve"> </w:t>
      </w:r>
      <w:r w:rsidR="00DF1061" w:rsidRPr="00DF1061">
        <w:rPr>
          <w:lang w:val="en-CA" w:eastAsia="en-CA"/>
        </w:rPr>
        <w:t xml:space="preserve"> </w:t>
      </w:r>
    </w:p>
    <w:p w:rsidR="003074B4" w:rsidRDefault="00CB3733" w:rsidP="00FF0B61">
      <w:pPr>
        <w:pStyle w:val="ListParagraph"/>
        <w:numPr>
          <w:ilvl w:val="1"/>
          <w:numId w:val="53"/>
        </w:numPr>
        <w:spacing w:after="0"/>
        <w:rPr>
          <w:lang w:val="en-CA" w:eastAsia="en-CA"/>
        </w:rPr>
      </w:pPr>
      <w:r w:rsidRPr="00CB3733">
        <w:rPr>
          <w:b/>
          <w:color w:val="7030A0"/>
          <w:lang w:val="en-CA" w:eastAsia="en-CA"/>
        </w:rPr>
        <w:lastRenderedPageBreak/>
        <w:t>(</w:t>
      </w:r>
      <w:r w:rsidR="00DF1061" w:rsidRPr="00CB3733">
        <w:rPr>
          <w:b/>
          <w:color w:val="7030A0"/>
          <w:lang w:val="en-CA" w:eastAsia="en-CA"/>
        </w:rPr>
        <w:t>4)</w:t>
      </w:r>
      <w:r w:rsidR="006414E5">
        <w:rPr>
          <w:color w:val="7030A0"/>
          <w:lang w:val="en-CA" w:eastAsia="en-CA"/>
        </w:rPr>
        <w:t xml:space="preserve"> </w:t>
      </w:r>
      <w:r w:rsidR="006414E5" w:rsidRPr="006414E5">
        <w:rPr>
          <w:b/>
          <w:lang w:val="en-CA" w:eastAsia="en-CA"/>
        </w:rPr>
        <w:t>Public Broadcast Exemption</w:t>
      </w:r>
      <w:r w:rsidR="00B135F0">
        <w:rPr>
          <w:lang w:val="en-CA" w:eastAsia="en-CA"/>
        </w:rPr>
        <w:t xml:space="preserve"> </w:t>
      </w:r>
      <w:r w:rsidR="00B135F0">
        <w:rPr>
          <w:b/>
          <w:lang w:val="en-CA" w:eastAsia="en-CA"/>
        </w:rPr>
        <w:t>for Dissident Proxies</w:t>
      </w:r>
      <w:r w:rsidR="003074B4">
        <w:rPr>
          <w:b/>
          <w:lang w:val="en-CA" w:eastAsia="en-CA"/>
        </w:rPr>
        <w:t xml:space="preserve"> (applies in most cases)</w:t>
      </w:r>
      <w:r w:rsidR="00B135F0">
        <w:rPr>
          <w:b/>
          <w:lang w:val="en-CA" w:eastAsia="en-CA"/>
        </w:rPr>
        <w:t>:</w:t>
      </w:r>
      <w:r w:rsidR="00DF1061" w:rsidRPr="006414E5">
        <w:rPr>
          <w:lang w:val="en-CA" w:eastAsia="en-CA"/>
        </w:rPr>
        <w:t xml:space="preserve"> </w:t>
      </w:r>
      <w:r w:rsidR="00DF1061" w:rsidRPr="00DF1061">
        <w:rPr>
          <w:lang w:val="en-CA" w:eastAsia="en-CA"/>
        </w:rPr>
        <w:t xml:space="preserve">Person or company, </w:t>
      </w:r>
      <w:r w:rsidR="00DF1061" w:rsidRPr="007A4BDA">
        <w:rPr>
          <w:u w:val="single"/>
          <w:lang w:val="en-CA" w:eastAsia="en-CA"/>
        </w:rPr>
        <w:t xml:space="preserve">other than mgt of the </w:t>
      </w:r>
      <w:r w:rsidR="00970C2E" w:rsidRPr="007A4BDA">
        <w:rPr>
          <w:u w:val="single"/>
          <w:lang w:val="en-CA" w:eastAsia="en-CA"/>
        </w:rPr>
        <w:t>RI</w:t>
      </w:r>
      <w:r w:rsidR="00DF1061" w:rsidRPr="00DF1061">
        <w:rPr>
          <w:lang w:val="en-CA" w:eastAsia="en-CA"/>
        </w:rPr>
        <w:t xml:space="preserve">, may solicit </w:t>
      </w:r>
      <w:r w:rsidR="00970C2E">
        <w:rPr>
          <w:lang w:val="en-CA" w:eastAsia="en-CA"/>
        </w:rPr>
        <w:t>proxies from registered securit</w:t>
      </w:r>
      <w:r w:rsidR="009353B2">
        <w:rPr>
          <w:lang w:val="en-CA" w:eastAsia="en-CA"/>
        </w:rPr>
        <w:t>yholder w/</w:t>
      </w:r>
      <w:r w:rsidR="007A4BDA">
        <w:rPr>
          <w:lang w:val="en-CA" w:eastAsia="en-CA"/>
        </w:rPr>
        <w:t>o</w:t>
      </w:r>
      <w:r w:rsidR="00B135F0">
        <w:rPr>
          <w:lang w:val="en-CA" w:eastAsia="en-CA"/>
        </w:rPr>
        <w:t xml:space="preserve"> an info circular by public </w:t>
      </w:r>
      <w:r w:rsidR="00DF1061" w:rsidRPr="00DF1061">
        <w:rPr>
          <w:lang w:val="en-CA" w:eastAsia="en-CA"/>
        </w:rPr>
        <w:t xml:space="preserve">broadcast, speech or publication </w:t>
      </w:r>
      <w:r w:rsidR="00753342">
        <w:rPr>
          <w:b/>
          <w:i/>
          <w:lang w:val="en-CA" w:eastAsia="en-CA"/>
        </w:rPr>
        <w:t>about dissident</w:t>
      </w:r>
      <w:r w:rsidR="00DF1061" w:rsidRPr="00753342">
        <w:rPr>
          <w:b/>
          <w:i/>
          <w:lang w:val="en-CA" w:eastAsia="en-CA"/>
        </w:rPr>
        <w:t xml:space="preserve"> proxy that is going out</w:t>
      </w:r>
      <w:r w:rsidR="00B135F0">
        <w:rPr>
          <w:b/>
          <w:i/>
          <w:lang w:val="en-CA" w:eastAsia="en-CA"/>
        </w:rPr>
        <w:t xml:space="preserve"> </w:t>
      </w:r>
      <w:r w:rsidR="00B135F0">
        <w:rPr>
          <w:b/>
          <w:lang w:val="en-CA" w:eastAsia="en-CA"/>
        </w:rPr>
        <w:t xml:space="preserve">(e.g. </w:t>
      </w:r>
      <w:r w:rsidR="00B135F0">
        <w:rPr>
          <w:lang w:val="en-CA" w:eastAsia="en-CA"/>
        </w:rPr>
        <w:t>by press release, statement on radio or TV, public available website)</w:t>
      </w:r>
      <w:r w:rsidR="00F669B3">
        <w:rPr>
          <w:lang w:val="en-CA" w:eastAsia="en-CA"/>
        </w:rPr>
        <w:t xml:space="preserve">. Prescribed materials and disclosure must be filed on SEDAR </w:t>
      </w:r>
    </w:p>
    <w:p w:rsidR="00E778A7" w:rsidRPr="00817C81" w:rsidRDefault="00DF1061" w:rsidP="00FF0B61">
      <w:pPr>
        <w:pStyle w:val="ListParagraph"/>
        <w:numPr>
          <w:ilvl w:val="2"/>
          <w:numId w:val="53"/>
        </w:numPr>
        <w:spacing w:after="0"/>
        <w:rPr>
          <w:lang w:val="en-CA" w:eastAsia="en-CA"/>
        </w:rPr>
      </w:pPr>
      <w:r w:rsidRPr="00DA0503">
        <w:rPr>
          <w:b/>
          <w:lang w:val="en-CA" w:eastAsia="en-CA"/>
        </w:rPr>
        <w:t>But</w:t>
      </w:r>
      <w:r w:rsidRPr="00DF1061">
        <w:rPr>
          <w:lang w:val="en-CA" w:eastAsia="en-CA"/>
        </w:rPr>
        <w:t xml:space="preserve"> </w:t>
      </w:r>
      <w:r w:rsidRPr="00693EA6">
        <w:rPr>
          <w:b/>
          <w:color w:val="7030A0"/>
          <w:lang w:val="en-CA" w:eastAsia="en-CA"/>
        </w:rPr>
        <w:t>(4)</w:t>
      </w:r>
      <w:r w:rsidRPr="00693EA6">
        <w:rPr>
          <w:color w:val="7030A0"/>
          <w:lang w:val="en-CA" w:eastAsia="en-CA"/>
        </w:rPr>
        <w:t xml:space="preserve"> </w:t>
      </w:r>
      <w:r w:rsidRPr="00F84396">
        <w:rPr>
          <w:u w:val="single"/>
          <w:lang w:val="en-CA" w:eastAsia="en-CA"/>
        </w:rPr>
        <w:t>does not apply</w:t>
      </w:r>
      <w:r w:rsidRPr="00DF1061">
        <w:rPr>
          <w:lang w:val="en-CA" w:eastAsia="en-CA"/>
        </w:rPr>
        <w:t xml:space="preserve"> to person or co</w:t>
      </w:r>
      <w:r w:rsidR="00E778A7">
        <w:rPr>
          <w:lang w:val="en-CA" w:eastAsia="en-CA"/>
        </w:rPr>
        <w:t>.</w:t>
      </w:r>
      <w:r w:rsidRPr="00DF1061">
        <w:rPr>
          <w:lang w:val="en-CA" w:eastAsia="en-CA"/>
        </w:rPr>
        <w:t xml:space="preserve"> that is proposing</w:t>
      </w:r>
      <w:r w:rsidR="004524B1">
        <w:rPr>
          <w:lang w:val="en-CA" w:eastAsia="en-CA"/>
        </w:rPr>
        <w:t xml:space="preserve"> a </w:t>
      </w:r>
      <w:r w:rsidR="004524B1">
        <w:rPr>
          <w:rFonts w:ascii="Calibri" w:hAnsi="Calibri"/>
        </w:rPr>
        <w:t>takeover/acquisition/restructuring, they need to file either an information circular (for acquisitions/</w:t>
      </w:r>
      <w:r w:rsidR="00F84396">
        <w:rPr>
          <w:rFonts w:ascii="Calibri" w:hAnsi="Calibri"/>
        </w:rPr>
        <w:t>restructuring) or a</w:t>
      </w:r>
      <w:r w:rsidR="004524B1">
        <w:rPr>
          <w:rFonts w:ascii="Calibri" w:hAnsi="Calibri"/>
        </w:rPr>
        <w:t xml:space="preserve"> “other document”, which would be a takeover bid circular (</w:t>
      </w:r>
      <w:r w:rsidR="003074B4" w:rsidRPr="003074B4">
        <w:rPr>
          <w:b/>
          <w:color w:val="7030A0"/>
          <w:lang w:val="en-CA" w:eastAsia="en-CA"/>
        </w:rPr>
        <w:t>9.</w:t>
      </w:r>
      <w:r w:rsidR="003074B4">
        <w:rPr>
          <w:b/>
          <w:color w:val="7030A0"/>
          <w:lang w:val="en-CA" w:eastAsia="en-CA"/>
        </w:rPr>
        <w:t>2(5))</w:t>
      </w:r>
    </w:p>
    <w:p w:rsidR="009E4B8E" w:rsidRPr="00D41DDA" w:rsidRDefault="00817C81" w:rsidP="00FF0B61">
      <w:pPr>
        <w:pStyle w:val="ListParagraph"/>
        <w:numPr>
          <w:ilvl w:val="2"/>
          <w:numId w:val="53"/>
        </w:numPr>
        <w:spacing w:after="0"/>
        <w:rPr>
          <w:lang w:val="en-CA" w:eastAsia="en-CA"/>
        </w:rPr>
      </w:pPr>
      <w:r w:rsidRPr="00817C81">
        <w:rPr>
          <w:lang w:val="en-CA" w:eastAsia="en-CA"/>
        </w:rPr>
        <w:t>For applicants seeking to rely on this exemption in connection w/ election of DIRs, a document containing prescribed info concerning the proposed nominees must be filed</w:t>
      </w:r>
      <w:r>
        <w:rPr>
          <w:lang w:val="en-CA" w:eastAsia="en-CA"/>
        </w:rPr>
        <w:t xml:space="preserve"> on SEDAR (</w:t>
      </w:r>
      <w:r w:rsidRPr="00817C81">
        <w:rPr>
          <w:b/>
          <w:color w:val="7030A0"/>
          <w:lang w:val="en-CA" w:eastAsia="en-CA"/>
        </w:rPr>
        <w:t>s.9.2(6)</w:t>
      </w:r>
      <w:r>
        <w:rPr>
          <w:b/>
          <w:lang w:val="en-CA" w:eastAsia="en-CA"/>
        </w:rPr>
        <w:t>)</w:t>
      </w:r>
    </w:p>
    <w:p w:rsidR="00D41DDA" w:rsidRPr="00D41DDA" w:rsidRDefault="00D41DDA" w:rsidP="00FF0B61">
      <w:pPr>
        <w:pStyle w:val="ListParagraph"/>
        <w:spacing w:after="0"/>
        <w:ind w:left="2160"/>
        <w:rPr>
          <w:lang w:val="en-CA" w:eastAsia="en-CA"/>
        </w:rPr>
      </w:pPr>
    </w:p>
    <w:p w:rsidR="00B20FB5" w:rsidRDefault="00B20FB5" w:rsidP="00FF0B61">
      <w:pPr>
        <w:spacing w:after="0" w:line="240" w:lineRule="auto"/>
        <w:rPr>
          <w:lang w:val="en-CA" w:eastAsia="en-CA"/>
        </w:rPr>
      </w:pPr>
      <w:r w:rsidRPr="00727AA7">
        <w:rPr>
          <w:b/>
          <w:lang w:val="en-CA" w:eastAsia="en-CA"/>
        </w:rPr>
        <w:t xml:space="preserve">Form of </w:t>
      </w:r>
      <w:r w:rsidR="00473080">
        <w:rPr>
          <w:b/>
          <w:lang w:val="en-CA" w:eastAsia="en-CA"/>
        </w:rPr>
        <w:t>Information Circular (</w:t>
      </w:r>
      <w:r w:rsidR="009E4B8E">
        <w:rPr>
          <w:b/>
          <w:color w:val="7030A0"/>
          <w:lang w:val="en-CA" w:eastAsia="en-CA"/>
        </w:rPr>
        <w:t>Form 51-102F5</w:t>
      </w:r>
      <w:r w:rsidR="00473080">
        <w:rPr>
          <w:b/>
          <w:lang w:val="en-CA" w:eastAsia="en-CA"/>
        </w:rPr>
        <w:t xml:space="preserve">): </w:t>
      </w:r>
      <w:r w:rsidR="00314929">
        <w:rPr>
          <w:lang w:val="en-CA" w:eastAsia="en-CA"/>
        </w:rPr>
        <w:t xml:space="preserve">Must include sufficient info so that investors are aware of their rights. Info in the circular must be given as of a specified date nor more than 30 days before the info circular is sent out. </w:t>
      </w:r>
    </w:p>
    <w:p w:rsidR="00310D56" w:rsidRPr="00310D56" w:rsidRDefault="00CA2B1B" w:rsidP="00FF0B61">
      <w:pPr>
        <w:pStyle w:val="ListParagraph"/>
        <w:numPr>
          <w:ilvl w:val="0"/>
          <w:numId w:val="51"/>
        </w:numPr>
        <w:spacing w:after="0"/>
        <w:rPr>
          <w:lang w:val="en-CA" w:eastAsia="en-CA"/>
        </w:rPr>
      </w:pPr>
      <w:r>
        <w:rPr>
          <w:b/>
          <w:lang w:val="en-CA" w:eastAsia="en-CA"/>
        </w:rPr>
        <w:t>There are 16 Req’s for an info circular</w:t>
      </w:r>
      <w:r w:rsidR="00A4498D">
        <w:rPr>
          <w:b/>
          <w:lang w:val="en-CA" w:eastAsia="en-CA"/>
        </w:rPr>
        <w:t xml:space="preserve"> (</w:t>
      </w:r>
      <w:r w:rsidR="00A4498D">
        <w:rPr>
          <w:b/>
          <w:color w:val="7030A0"/>
          <w:lang w:val="en-CA" w:eastAsia="en-CA"/>
        </w:rPr>
        <w:t>51-102F5)</w:t>
      </w:r>
      <w:r w:rsidRPr="001A6A0C">
        <w:rPr>
          <w:b/>
          <w:lang w:val="en-CA" w:eastAsia="en-CA"/>
        </w:rPr>
        <w:t>: E.g.</w:t>
      </w:r>
      <w:r>
        <w:rPr>
          <w:lang w:val="en-CA" w:eastAsia="en-CA"/>
        </w:rPr>
        <w:t xml:space="preserve"> </w:t>
      </w:r>
      <w:r w:rsidR="001A6A0C">
        <w:rPr>
          <w:lang w:val="en-CA" w:eastAsia="en-CA"/>
        </w:rPr>
        <w:t>M</w:t>
      </w:r>
      <w:r w:rsidRPr="00CA2B1B">
        <w:rPr>
          <w:lang w:val="en-CA" w:eastAsia="en-CA"/>
        </w:rPr>
        <w:t>ust be dated, state whether person or company giving proxy has power to revoke it</w:t>
      </w:r>
      <w:r>
        <w:rPr>
          <w:lang w:val="en-CA" w:eastAsia="en-CA"/>
        </w:rPr>
        <w:t xml:space="preserve">; </w:t>
      </w:r>
      <w:r w:rsidRPr="003120AC">
        <w:t>persons making solicitation must be identified</w:t>
      </w:r>
      <w:r>
        <w:t xml:space="preserve">; </w:t>
      </w:r>
      <w:r w:rsidRPr="003120AC">
        <w:t xml:space="preserve">if taken by mgmt, and if any </w:t>
      </w:r>
      <w:r w:rsidR="008D0D06">
        <w:t>DIR</w:t>
      </w:r>
      <w:r w:rsidRPr="003120AC">
        <w:t xml:space="preserve"> intends to oppose </w:t>
      </w:r>
      <w:r>
        <w:t xml:space="preserve">mgmt., etc. </w:t>
      </w:r>
    </w:p>
    <w:p w:rsidR="00310D56" w:rsidRDefault="00AE5BB9" w:rsidP="00FF0B61">
      <w:pPr>
        <w:pStyle w:val="ListParagraph"/>
        <w:numPr>
          <w:ilvl w:val="0"/>
          <w:numId w:val="51"/>
        </w:numPr>
        <w:spacing w:after="0"/>
        <w:rPr>
          <w:lang w:val="en-CA" w:eastAsia="en-CA"/>
        </w:rPr>
      </w:pPr>
      <w:r w:rsidRPr="00982875">
        <w:rPr>
          <w:b/>
          <w:u w:val="single"/>
          <w:lang w:val="en-CA" w:eastAsia="en-CA"/>
        </w:rPr>
        <w:t>Board Independence:</w:t>
      </w:r>
      <w:r>
        <w:rPr>
          <w:b/>
          <w:lang w:val="en-CA" w:eastAsia="en-CA"/>
        </w:rPr>
        <w:t xml:space="preserve"> </w:t>
      </w:r>
      <w:r w:rsidR="00310D56" w:rsidRPr="00310D56">
        <w:rPr>
          <w:lang w:val="en-CA" w:eastAsia="en-CA"/>
        </w:rPr>
        <w:t>Only form where you get detailed info whether the board is independent, have independent audit committee, how the board is structured (corporate governance).</w:t>
      </w:r>
    </w:p>
    <w:p w:rsidR="006C37D9" w:rsidRPr="008C457F" w:rsidRDefault="0069758A" w:rsidP="00FF0B61">
      <w:pPr>
        <w:spacing w:after="0" w:line="240" w:lineRule="auto"/>
        <w:rPr>
          <w:lang w:val="en-CA" w:eastAsia="en-CA"/>
        </w:rPr>
      </w:pPr>
      <w:r w:rsidRPr="004722A5">
        <w:rPr>
          <w:b/>
          <w:lang w:val="en-CA" w:eastAsia="en-CA"/>
        </w:rPr>
        <w:t xml:space="preserve">Form of </w:t>
      </w:r>
      <w:r w:rsidR="006C37D9" w:rsidRPr="004722A5">
        <w:rPr>
          <w:b/>
          <w:lang w:val="en-CA" w:eastAsia="en-CA"/>
        </w:rPr>
        <w:t>Executive Compensation</w:t>
      </w:r>
      <w:r w:rsidRPr="004722A5">
        <w:rPr>
          <w:b/>
          <w:lang w:val="en-CA" w:eastAsia="en-CA"/>
        </w:rPr>
        <w:t xml:space="preserve"> must be attached</w:t>
      </w:r>
      <w:r w:rsidR="006C37D9" w:rsidRPr="004722A5">
        <w:rPr>
          <w:b/>
          <w:lang w:val="en-CA" w:eastAsia="en-CA"/>
        </w:rPr>
        <w:t xml:space="preserve"> (</w:t>
      </w:r>
      <w:r w:rsidR="006C37D9" w:rsidRPr="004722A5">
        <w:rPr>
          <w:b/>
          <w:color w:val="7030A0"/>
          <w:lang w:val="en-CA" w:eastAsia="en-CA"/>
        </w:rPr>
        <w:t>Form 51-102F6</w:t>
      </w:r>
      <w:r w:rsidR="006C37D9" w:rsidRPr="004722A5">
        <w:rPr>
          <w:b/>
          <w:lang w:val="en-CA" w:eastAsia="en-CA"/>
        </w:rPr>
        <w:t>):</w:t>
      </w:r>
      <w:r w:rsidR="006C37D9" w:rsidRPr="008C457F">
        <w:rPr>
          <w:b/>
          <w:lang w:val="en-CA" w:eastAsia="en-CA"/>
        </w:rPr>
        <w:t xml:space="preserve"> </w:t>
      </w:r>
      <w:r w:rsidR="006C37D9" w:rsidRPr="008C457F">
        <w:rPr>
          <w:lang w:val="en-CA" w:eastAsia="en-CA"/>
        </w:rPr>
        <w:t>This is the only other place other than AIF about detail of executive compensation information</w:t>
      </w:r>
      <w:r w:rsidR="00EF15AB" w:rsidRPr="008C457F">
        <w:rPr>
          <w:lang w:val="en-CA" w:eastAsia="en-CA"/>
        </w:rPr>
        <w:t xml:space="preserve">. </w:t>
      </w:r>
      <w:r w:rsidR="00D32062" w:rsidRPr="008C457F">
        <w:rPr>
          <w:lang w:val="en-CA" w:eastAsia="en-CA"/>
        </w:rPr>
        <w:t>Disclose certain “Named Executive OFRs”</w:t>
      </w:r>
      <w:r w:rsidR="006C37D9" w:rsidRPr="008C457F">
        <w:rPr>
          <w:lang w:val="en-CA" w:eastAsia="en-CA"/>
        </w:rPr>
        <w:t>: CEO, CFO, and the next three highest paid ppl as long as they make more than $150,000.</w:t>
      </w:r>
    </w:p>
    <w:p w:rsidR="00E9748A" w:rsidRDefault="00E9748A" w:rsidP="00FF0B61">
      <w:pPr>
        <w:pStyle w:val="ListParagraph"/>
        <w:numPr>
          <w:ilvl w:val="0"/>
          <w:numId w:val="51"/>
        </w:numPr>
        <w:spacing w:after="0"/>
        <w:textAlignment w:val="center"/>
        <w:rPr>
          <w:rFonts w:ascii="Calibri" w:eastAsia="Times New Roman" w:hAnsi="Calibri" w:cs="Times New Roman"/>
          <w:color w:val="000000"/>
          <w:lang w:eastAsia="en-CA"/>
        </w:rPr>
      </w:pPr>
      <w:r w:rsidRPr="002F2FA3">
        <w:rPr>
          <w:rFonts w:ascii="Calibri" w:eastAsia="Times New Roman" w:hAnsi="Calibri" w:cs="Times New Roman"/>
          <w:color w:val="000000"/>
          <w:lang w:eastAsia="en-CA"/>
        </w:rPr>
        <w:t xml:space="preserve">Must include any compensation paid, awarded, granted, given, directly or indirectly, etc. </w:t>
      </w:r>
      <w:r>
        <w:rPr>
          <w:rFonts w:ascii="Calibri" w:eastAsia="Times New Roman" w:hAnsi="Calibri" w:cs="Times New Roman"/>
          <w:color w:val="000000"/>
          <w:lang w:eastAsia="en-CA"/>
        </w:rPr>
        <w:t>(</w:t>
      </w:r>
      <w:r w:rsidRPr="00E9748A">
        <w:rPr>
          <w:rFonts w:ascii="Calibri" w:eastAsia="Times New Roman" w:hAnsi="Calibri" w:cs="Times New Roman"/>
          <w:b/>
          <w:color w:val="7030A0"/>
          <w:lang w:eastAsia="en-CA"/>
        </w:rPr>
        <w:t>Form 51-102F6 s.1.3(1</w:t>
      </w:r>
      <w:r>
        <w:rPr>
          <w:rFonts w:ascii="Calibri" w:eastAsia="Times New Roman" w:hAnsi="Calibri" w:cs="Times New Roman"/>
          <w:color w:val="000000"/>
          <w:lang w:eastAsia="en-CA"/>
        </w:rPr>
        <w:t>))</w:t>
      </w:r>
    </w:p>
    <w:p w:rsidR="00E9748A" w:rsidRPr="004717FC" w:rsidRDefault="00A06F51" w:rsidP="00FF0B61">
      <w:pPr>
        <w:pStyle w:val="ListParagraph"/>
        <w:numPr>
          <w:ilvl w:val="0"/>
          <w:numId w:val="51"/>
        </w:numPr>
        <w:spacing w:after="0"/>
        <w:textAlignment w:val="center"/>
        <w:rPr>
          <w:lang w:val="en-CA" w:eastAsia="en-CA"/>
        </w:rPr>
      </w:pPr>
      <w:r w:rsidRPr="004717FC">
        <w:rPr>
          <w:rFonts w:ascii="Calibri" w:eastAsia="Times New Roman" w:hAnsi="Calibri" w:cs="Times New Roman"/>
          <w:color w:val="000000"/>
          <w:lang w:eastAsia="en-CA"/>
        </w:rPr>
        <w:t xml:space="preserve">Broadly defined throughout </w:t>
      </w:r>
      <w:r w:rsidRPr="004717FC">
        <w:rPr>
          <w:rFonts w:ascii="Calibri" w:eastAsia="Times New Roman" w:hAnsi="Calibri" w:cs="Times New Roman"/>
          <w:b/>
          <w:color w:val="000000"/>
          <w:lang w:eastAsia="en-CA"/>
        </w:rPr>
        <w:t xml:space="preserve">// </w:t>
      </w:r>
      <w:r w:rsidRPr="004717FC">
        <w:rPr>
          <w:rFonts w:ascii="Calibri" w:eastAsia="Times New Roman" w:hAnsi="Calibri" w:cs="Times New Roman"/>
          <w:color w:val="000000"/>
          <w:lang w:eastAsia="en-CA"/>
        </w:rPr>
        <w:t xml:space="preserve">Contains a compensation discussion and analysis section. </w:t>
      </w:r>
    </w:p>
    <w:p w:rsidR="00473080" w:rsidRDefault="00473080" w:rsidP="00FF0B61">
      <w:pPr>
        <w:spacing w:after="0" w:line="240" w:lineRule="auto"/>
        <w:rPr>
          <w:lang w:val="en-CA" w:eastAsia="en-CA"/>
        </w:rPr>
      </w:pPr>
    </w:p>
    <w:p w:rsidR="004717FC" w:rsidRPr="00835630" w:rsidRDefault="0046642E" w:rsidP="00FF0B61">
      <w:pPr>
        <w:spacing w:after="0" w:line="240" w:lineRule="auto"/>
        <w:rPr>
          <w:lang w:val="en-CA" w:eastAsia="en-CA"/>
        </w:rPr>
      </w:pPr>
      <w:r w:rsidRPr="00F84396">
        <w:rPr>
          <w:b/>
          <w:u w:val="single"/>
          <w:lang w:val="en-CA" w:eastAsia="en-CA"/>
        </w:rPr>
        <w:t>[4</w:t>
      </w:r>
      <w:r w:rsidR="00CA4395" w:rsidRPr="00F84396">
        <w:rPr>
          <w:b/>
          <w:u w:val="single"/>
          <w:lang w:val="en-CA" w:eastAsia="en-CA"/>
        </w:rPr>
        <w:t xml:space="preserve">] </w:t>
      </w:r>
      <w:r w:rsidR="00726236" w:rsidRPr="00F84396">
        <w:rPr>
          <w:b/>
          <w:u w:val="single"/>
          <w:lang w:val="en-CA" w:eastAsia="en-CA"/>
        </w:rPr>
        <w:t>Dissident</w:t>
      </w:r>
      <w:r w:rsidR="00496266" w:rsidRPr="00F84396">
        <w:rPr>
          <w:b/>
          <w:u w:val="single"/>
          <w:lang w:val="en-CA" w:eastAsia="en-CA"/>
        </w:rPr>
        <w:t xml:space="preserve"> Proxy</w:t>
      </w:r>
      <w:r w:rsidR="0084710E" w:rsidRPr="00F84396">
        <w:rPr>
          <w:b/>
          <w:u w:val="single"/>
          <w:lang w:val="en-CA" w:eastAsia="en-CA"/>
        </w:rPr>
        <w:t>:</w:t>
      </w:r>
      <w:r w:rsidR="0084710E" w:rsidRPr="00E17E3D">
        <w:rPr>
          <w:b/>
          <w:lang w:val="en-CA" w:eastAsia="en-CA"/>
        </w:rPr>
        <w:t xml:space="preserve"> </w:t>
      </w:r>
    </w:p>
    <w:p w:rsidR="00214130" w:rsidRPr="005F0596" w:rsidRDefault="00214130" w:rsidP="00FF0B61">
      <w:pPr>
        <w:pStyle w:val="ListParagraph"/>
        <w:numPr>
          <w:ilvl w:val="0"/>
          <w:numId w:val="55"/>
        </w:numPr>
        <w:spacing w:after="0"/>
        <w:rPr>
          <w:lang w:val="en-CA" w:eastAsia="en-CA"/>
        </w:rPr>
      </w:pPr>
      <w:r>
        <w:t xml:space="preserve">SH’s have tended to rely on proxy contests as an effective means to replace DIR’s, challenge the implementation of SH rights plans and to speak out against fundamental transactions approved by mgt and/or the board of DIRs. A proxy contest occurs when a </w:t>
      </w:r>
      <w:r w:rsidRPr="00214130">
        <w:rPr>
          <w:b/>
          <w:i/>
        </w:rPr>
        <w:t>dissident solicits SHs’ proxies</w:t>
      </w:r>
      <w:r>
        <w:t xml:space="preserve"> and the </w:t>
      </w:r>
      <w:r w:rsidR="00487C7C">
        <w:rPr>
          <w:b/>
          <w:i/>
        </w:rPr>
        <w:t xml:space="preserve">right to vote those Shareholder </w:t>
      </w:r>
      <w:r w:rsidRPr="00214130">
        <w:rPr>
          <w:b/>
          <w:i/>
        </w:rPr>
        <w:t>shares in favour of the dissident group’s objective</w:t>
      </w:r>
      <w:r>
        <w:t>.</w:t>
      </w:r>
    </w:p>
    <w:p w:rsidR="005F0596" w:rsidRDefault="00C8726C" w:rsidP="00FF0B61">
      <w:pPr>
        <w:pStyle w:val="ListParagraph"/>
        <w:numPr>
          <w:ilvl w:val="0"/>
          <w:numId w:val="55"/>
        </w:numPr>
        <w:spacing w:after="0"/>
        <w:rPr>
          <w:lang w:val="en-CA" w:eastAsia="en-CA"/>
        </w:rPr>
      </w:pPr>
      <w:r>
        <w:rPr>
          <w:b/>
          <w:lang w:val="en-CA" w:eastAsia="en-CA"/>
        </w:rPr>
        <w:t xml:space="preserve">Typical Issues: </w:t>
      </w:r>
      <w:r>
        <w:rPr>
          <w:lang w:val="en-CA" w:eastAsia="en-CA"/>
        </w:rPr>
        <w:t>S</w:t>
      </w:r>
      <w:r w:rsidR="005F0596" w:rsidRPr="00B73AB4">
        <w:rPr>
          <w:lang w:val="en-CA" w:eastAsia="en-CA"/>
        </w:rPr>
        <w:t>ay on pay and executive compensation; board diversity; ethical business practices; board independence; majority voting for DIRs (either have to vote “yes” or “withhold”</w:t>
      </w:r>
      <w:r w:rsidR="005F0596">
        <w:rPr>
          <w:lang w:val="en-CA" w:eastAsia="en-CA"/>
        </w:rPr>
        <w:t>, no way to express opposition)</w:t>
      </w:r>
      <w:r w:rsidR="006414E5">
        <w:rPr>
          <w:lang w:val="en-CA" w:eastAsia="en-CA"/>
        </w:rPr>
        <w:t xml:space="preserve">. </w:t>
      </w:r>
    </w:p>
    <w:p w:rsidR="00FA13E4" w:rsidRDefault="00FA13E4" w:rsidP="00FF0B61">
      <w:pPr>
        <w:spacing w:after="0" w:line="240" w:lineRule="auto"/>
        <w:rPr>
          <w:lang w:val="en-CA" w:eastAsia="en-CA"/>
        </w:rPr>
      </w:pPr>
    </w:p>
    <w:p w:rsidR="00FA13E4" w:rsidRDefault="00FA13E4" w:rsidP="00FF0B61">
      <w:pPr>
        <w:spacing w:after="0" w:line="240" w:lineRule="auto"/>
        <w:rPr>
          <w:lang w:val="en-CA" w:eastAsia="en-CA"/>
        </w:rPr>
      </w:pPr>
      <w:r w:rsidRPr="00FA13E4">
        <w:rPr>
          <w:b/>
          <w:u w:val="single"/>
          <w:lang w:val="en-CA" w:eastAsia="en-CA"/>
        </w:rPr>
        <w:t xml:space="preserve">[5] Consequences of Proxy </w:t>
      </w:r>
      <w:r w:rsidRPr="003B7EF0">
        <w:rPr>
          <w:b/>
          <w:u w:val="single"/>
          <w:lang w:val="en-CA" w:eastAsia="en-CA"/>
        </w:rPr>
        <w:t>Irregularities (</w:t>
      </w:r>
      <w:r w:rsidRPr="003B7EF0">
        <w:rPr>
          <w:b/>
          <w:color w:val="7030A0"/>
          <w:u w:val="single"/>
          <w:lang w:val="en-CA" w:eastAsia="en-CA"/>
        </w:rPr>
        <w:t>Form 51-102F5</w:t>
      </w:r>
      <w:r w:rsidRPr="003B7EF0">
        <w:rPr>
          <w:b/>
          <w:u w:val="single"/>
          <w:lang w:val="en-CA" w:eastAsia="en-CA"/>
        </w:rPr>
        <w:t>):</w:t>
      </w:r>
      <w:r w:rsidRPr="00FA13E4">
        <w:rPr>
          <w:lang w:val="en-CA" w:eastAsia="en-CA"/>
        </w:rPr>
        <w:t xml:space="preserve"> If proxy procedures are not followed properly,</w:t>
      </w:r>
      <w:r w:rsidR="003B7EF0">
        <w:rPr>
          <w:lang w:val="en-CA" w:eastAsia="en-CA"/>
        </w:rPr>
        <w:t xml:space="preserve"> SH’s</w:t>
      </w:r>
      <w:r w:rsidRPr="00FA13E4">
        <w:rPr>
          <w:lang w:val="en-CA" w:eastAsia="en-CA"/>
        </w:rPr>
        <w:t xml:space="preserve"> could legally challenge it later to undo the decision reached by the proxy votes.</w:t>
      </w:r>
    </w:p>
    <w:p w:rsidR="004717FC" w:rsidRDefault="004717FC" w:rsidP="00FF0B61">
      <w:pPr>
        <w:pStyle w:val="ListParagraph"/>
        <w:spacing w:after="0"/>
        <w:rPr>
          <w:highlight w:val="yellow"/>
          <w:lang w:val="en-CA" w:eastAsia="en-CA"/>
        </w:rPr>
      </w:pPr>
    </w:p>
    <w:p w:rsidR="0046642E" w:rsidRDefault="004C3458" w:rsidP="00FF0B61">
      <w:pPr>
        <w:pStyle w:val="Heading3"/>
        <w:spacing w:line="240" w:lineRule="auto"/>
        <w:rPr>
          <w:lang w:val="en-CA" w:eastAsia="en-CA"/>
        </w:rPr>
      </w:pPr>
      <w:bookmarkStart w:id="47" w:name="_Toc468980418"/>
      <w:r>
        <w:rPr>
          <w:lang w:val="en-CA" w:eastAsia="en-CA"/>
        </w:rPr>
        <w:t>Communications</w:t>
      </w:r>
      <w:r w:rsidR="004722A5">
        <w:rPr>
          <w:lang w:val="en-CA" w:eastAsia="en-CA"/>
        </w:rPr>
        <w:t>/Delivery of Periodic Disclosure</w:t>
      </w:r>
      <w:bookmarkEnd w:id="47"/>
    </w:p>
    <w:p w:rsidR="00C7511F" w:rsidRPr="00C7511F" w:rsidRDefault="00C7511F" w:rsidP="00FF0B61">
      <w:pPr>
        <w:spacing w:after="0" w:line="240" w:lineRule="auto"/>
        <w:rPr>
          <w:lang w:val="en-CA" w:eastAsia="en-CA"/>
        </w:rPr>
      </w:pPr>
      <w:r w:rsidRPr="001B3903">
        <w:rPr>
          <w:b/>
          <w:i/>
          <w:lang w:val="en-CA" w:eastAsia="en-CA"/>
        </w:rPr>
        <w:t>RI must send securityholders</w:t>
      </w:r>
      <w:r w:rsidR="001B3903">
        <w:rPr>
          <w:lang w:val="en-CA" w:eastAsia="en-CA"/>
        </w:rPr>
        <w:t>:</w:t>
      </w:r>
      <w:r w:rsidRPr="001B3903">
        <w:rPr>
          <w:b/>
          <w:i/>
          <w:lang w:val="en-CA" w:eastAsia="en-CA"/>
        </w:rPr>
        <w:t xml:space="preserve"> </w:t>
      </w:r>
      <w:r>
        <w:rPr>
          <w:lang w:val="en-CA" w:eastAsia="en-CA"/>
        </w:rPr>
        <w:t>a form each year allowing those holders to request copies of annual or interim financial statements, along with an MD&amp;E for e</w:t>
      </w:r>
      <w:r w:rsidR="00E813A7">
        <w:rPr>
          <w:lang w:val="en-CA" w:eastAsia="en-CA"/>
        </w:rPr>
        <w:t>ach +</w:t>
      </w:r>
      <w:r w:rsidR="001B3903">
        <w:rPr>
          <w:lang w:val="en-CA" w:eastAsia="en-CA"/>
        </w:rPr>
        <w:t xml:space="preserve"> All proxy-related materials</w:t>
      </w:r>
      <w:r w:rsidR="00E813A7">
        <w:rPr>
          <w:lang w:val="en-CA" w:eastAsia="en-CA"/>
        </w:rPr>
        <w:t xml:space="preserve"> </w:t>
      </w:r>
      <w:r w:rsidR="00E813A7" w:rsidRPr="00E813A7">
        <w:rPr>
          <w:b/>
          <w:lang w:val="en-CA" w:eastAsia="en-CA"/>
        </w:rPr>
        <w:sym w:font="Wingdings" w:char="F0E0"/>
      </w:r>
      <w:r w:rsidR="001B3903">
        <w:rPr>
          <w:lang w:val="en-CA" w:eastAsia="en-CA"/>
        </w:rPr>
        <w:t xml:space="preserve"> </w:t>
      </w:r>
      <w:r w:rsidR="001B3903">
        <w:rPr>
          <w:b/>
          <w:lang w:val="en-CA" w:eastAsia="en-CA"/>
        </w:rPr>
        <w:t>BUT</w:t>
      </w:r>
      <w:r>
        <w:rPr>
          <w:lang w:val="en-CA" w:eastAsia="en-CA"/>
        </w:rPr>
        <w:t xml:space="preserve"> </w:t>
      </w:r>
      <w:r w:rsidR="001B3903">
        <w:rPr>
          <w:lang w:val="en-CA" w:eastAsia="en-CA"/>
        </w:rPr>
        <w:t xml:space="preserve">AIF’s need not be delivered (filed on SEDAR). </w:t>
      </w:r>
    </w:p>
    <w:p w:rsidR="00C7511F" w:rsidRDefault="00C7511F" w:rsidP="00FF0B61">
      <w:pPr>
        <w:spacing w:after="0" w:line="240" w:lineRule="auto"/>
        <w:rPr>
          <w:b/>
          <w:u w:val="single"/>
          <w:lang w:val="en-CA" w:eastAsia="en-CA"/>
        </w:rPr>
      </w:pPr>
    </w:p>
    <w:p w:rsidR="0046642E" w:rsidRPr="00CA4395" w:rsidRDefault="0046642E" w:rsidP="00FF0B61">
      <w:pPr>
        <w:spacing w:after="0" w:line="240" w:lineRule="auto"/>
        <w:rPr>
          <w:highlight w:val="yellow"/>
          <w:lang w:val="en-CA" w:eastAsia="en-CA"/>
        </w:rPr>
      </w:pPr>
      <w:r w:rsidRPr="00CA4395">
        <w:rPr>
          <w:b/>
          <w:u w:val="single"/>
          <w:lang w:val="en-CA" w:eastAsia="en-CA"/>
        </w:rPr>
        <w:t>Communication with Beneficial Owners of Securities (</w:t>
      </w:r>
      <w:r w:rsidRPr="00CA4395">
        <w:rPr>
          <w:b/>
          <w:color w:val="7030A0"/>
          <w:u w:val="single"/>
          <w:lang w:val="en-CA" w:eastAsia="en-CA"/>
        </w:rPr>
        <w:t>NI 54-101):</w:t>
      </w:r>
      <w:r w:rsidRPr="00CA4395">
        <w:rPr>
          <w:lang w:val="en-CA" w:eastAsia="en-CA"/>
        </w:rPr>
        <w:t xml:space="preserve"> Registered SH = Broker </w:t>
      </w:r>
      <w:r w:rsidRPr="004722A5">
        <w:rPr>
          <w:b/>
          <w:lang w:val="en-CA" w:eastAsia="en-CA"/>
        </w:rPr>
        <w:t>//</w:t>
      </w:r>
      <w:r w:rsidRPr="00CA4395">
        <w:rPr>
          <w:lang w:val="en-CA" w:eastAsia="en-CA"/>
        </w:rPr>
        <w:t xml:space="preserve"> Beneficial SH = “You”</w:t>
      </w:r>
    </w:p>
    <w:p w:rsidR="0046642E" w:rsidRPr="00CA4395" w:rsidRDefault="0046642E" w:rsidP="00FF0B61">
      <w:pPr>
        <w:pStyle w:val="ListParagraph"/>
        <w:numPr>
          <w:ilvl w:val="0"/>
          <w:numId w:val="50"/>
        </w:numPr>
        <w:spacing w:after="0"/>
        <w:rPr>
          <w:lang w:val="en-CA" w:eastAsia="en-CA"/>
        </w:rPr>
      </w:pPr>
      <w:r w:rsidRPr="00CA4395">
        <w:rPr>
          <w:lang w:val="en-CA" w:eastAsia="en-CA"/>
        </w:rPr>
        <w:t xml:space="preserve">RI has to ask the registered SH’s about info about who the beneficial SH’s are. Registered SH’s have 3 days from receipt of request to give the issuer that information. </w:t>
      </w:r>
    </w:p>
    <w:p w:rsidR="0046642E" w:rsidRPr="00E813A7" w:rsidRDefault="0046642E" w:rsidP="00FF0B61">
      <w:pPr>
        <w:pStyle w:val="ListParagraph"/>
        <w:numPr>
          <w:ilvl w:val="1"/>
          <w:numId w:val="50"/>
        </w:numPr>
        <w:spacing w:after="0"/>
        <w:rPr>
          <w:lang w:val="en-CA" w:eastAsia="en-CA"/>
        </w:rPr>
      </w:pPr>
      <w:r w:rsidRPr="00E813A7">
        <w:rPr>
          <w:b/>
          <w:lang w:val="en-CA" w:eastAsia="en-CA"/>
        </w:rPr>
        <w:t>NOBO</w:t>
      </w:r>
      <w:r w:rsidRPr="00E813A7">
        <w:rPr>
          <w:lang w:val="en-CA" w:eastAsia="en-CA"/>
        </w:rPr>
        <w:t xml:space="preserve">: Non-objective beneficial owner (SH) </w:t>
      </w:r>
      <w:r w:rsidRPr="00E813A7">
        <w:rPr>
          <w:lang w:val="en-CA" w:eastAsia="en-CA"/>
        </w:rPr>
        <w:sym w:font="Wingdings" w:char="F0E0"/>
      </w:r>
      <w:r w:rsidRPr="00E813A7">
        <w:rPr>
          <w:lang w:val="en-CA" w:eastAsia="en-CA"/>
        </w:rPr>
        <w:t xml:space="preserve"> </w:t>
      </w:r>
      <w:r w:rsidR="001B1CD0">
        <w:rPr>
          <w:lang w:val="en-CA" w:eastAsia="en-CA"/>
        </w:rPr>
        <w:t>Beneficial owners who do not object to having their identity revealed to the issue</w:t>
      </w:r>
      <w:r w:rsidR="00364C05">
        <w:rPr>
          <w:lang w:val="en-CA" w:eastAsia="en-CA"/>
        </w:rPr>
        <w:t>r</w:t>
      </w:r>
      <w:r w:rsidRPr="00E813A7">
        <w:rPr>
          <w:lang w:val="en-CA" w:eastAsia="en-CA"/>
        </w:rPr>
        <w:t xml:space="preserve">. </w:t>
      </w:r>
      <w:r w:rsidR="00364C05">
        <w:rPr>
          <w:lang w:val="en-CA" w:eastAsia="en-CA"/>
        </w:rPr>
        <w:t xml:space="preserve">ID of NOBO’s disclosed to the issuer, who sends docs directly to the beneficial owner. </w:t>
      </w:r>
      <w:r w:rsidRPr="00E813A7">
        <w:rPr>
          <w:lang w:val="en-CA" w:eastAsia="en-CA"/>
        </w:rPr>
        <w:t xml:space="preserve"> </w:t>
      </w:r>
    </w:p>
    <w:p w:rsidR="0046642E" w:rsidRDefault="0046642E" w:rsidP="00FF0B61">
      <w:pPr>
        <w:pStyle w:val="ListParagraph"/>
        <w:numPr>
          <w:ilvl w:val="1"/>
          <w:numId w:val="50"/>
        </w:numPr>
        <w:spacing w:after="0"/>
        <w:rPr>
          <w:lang w:val="en-CA" w:eastAsia="en-CA"/>
        </w:rPr>
      </w:pPr>
      <w:r w:rsidRPr="00E813A7">
        <w:rPr>
          <w:b/>
          <w:lang w:val="en-CA" w:eastAsia="en-CA"/>
        </w:rPr>
        <w:t xml:space="preserve">OBO: </w:t>
      </w:r>
      <w:r w:rsidRPr="00E813A7">
        <w:rPr>
          <w:lang w:val="en-CA" w:eastAsia="en-CA"/>
        </w:rPr>
        <w:t xml:space="preserve">Objective beneficial owner </w:t>
      </w:r>
      <w:r w:rsidRPr="00E813A7">
        <w:rPr>
          <w:lang w:val="en-CA" w:eastAsia="en-CA"/>
        </w:rPr>
        <w:sym w:font="Wingdings" w:char="F0E0"/>
      </w:r>
      <w:r w:rsidRPr="00E813A7">
        <w:rPr>
          <w:lang w:val="en-CA" w:eastAsia="en-CA"/>
        </w:rPr>
        <w:t xml:space="preserve"> Do not want the issuer knowing who you are (can stay secret). </w:t>
      </w:r>
      <w:r w:rsidR="006B0E05">
        <w:rPr>
          <w:lang w:val="en-CA" w:eastAsia="en-CA"/>
        </w:rPr>
        <w:t xml:space="preserve">Issuer sends docs to intermediary, which forwards them to the beneficial owner. </w:t>
      </w:r>
    </w:p>
    <w:p w:rsidR="00ED223A" w:rsidRDefault="00ED223A" w:rsidP="00FF0B61">
      <w:pPr>
        <w:pStyle w:val="ListParagraph"/>
        <w:numPr>
          <w:ilvl w:val="0"/>
          <w:numId w:val="50"/>
        </w:numPr>
        <w:spacing w:after="0"/>
        <w:rPr>
          <w:lang w:val="en-CA" w:eastAsia="en-CA"/>
        </w:rPr>
      </w:pPr>
      <w:r>
        <w:rPr>
          <w:b/>
          <w:lang w:val="en-CA" w:eastAsia="en-CA"/>
        </w:rPr>
        <w:t xml:space="preserve">NB: </w:t>
      </w:r>
      <w:r>
        <w:rPr>
          <w:lang w:val="en-CA" w:eastAsia="en-CA"/>
        </w:rPr>
        <w:t>Now all docs must be filed on SEDAR. Docs that must be delivered can be done electronically</w:t>
      </w:r>
      <w:r w:rsidR="00394304">
        <w:rPr>
          <w:lang w:val="en-CA" w:eastAsia="en-CA"/>
        </w:rPr>
        <w:t xml:space="preserve"> (with certain requirements</w:t>
      </w:r>
      <w:r w:rsidR="00D84B33">
        <w:rPr>
          <w:lang w:val="en-CA" w:eastAsia="en-CA"/>
        </w:rPr>
        <w:t xml:space="preserve"> see: </w:t>
      </w:r>
      <w:r w:rsidR="00D84B33" w:rsidRPr="00D84B33">
        <w:rPr>
          <w:b/>
          <w:color w:val="7030A0"/>
          <w:lang w:val="en-CA" w:eastAsia="en-CA"/>
        </w:rPr>
        <w:t>NP 11-201</w:t>
      </w:r>
      <w:r w:rsidR="00394304">
        <w:rPr>
          <w:lang w:val="en-CA" w:eastAsia="en-CA"/>
        </w:rPr>
        <w:t>)</w:t>
      </w:r>
      <w:r>
        <w:rPr>
          <w:lang w:val="en-CA" w:eastAsia="en-CA"/>
        </w:rPr>
        <w:t xml:space="preserve"> or via mail. </w:t>
      </w:r>
    </w:p>
    <w:p w:rsidR="00131A5A" w:rsidRDefault="00131A5A" w:rsidP="00FF0B61">
      <w:pPr>
        <w:spacing w:after="0" w:line="240" w:lineRule="auto"/>
        <w:rPr>
          <w:b/>
          <w:lang w:val="en-CA" w:eastAsia="en-CA"/>
        </w:rPr>
      </w:pPr>
    </w:p>
    <w:p w:rsidR="004722A5" w:rsidRDefault="004722A5" w:rsidP="00FF0B61">
      <w:pPr>
        <w:spacing w:after="0" w:line="240" w:lineRule="auto"/>
        <w:rPr>
          <w:lang w:val="en-CA" w:eastAsia="en-CA"/>
        </w:rPr>
      </w:pPr>
      <w:r>
        <w:rPr>
          <w:b/>
          <w:lang w:val="en-CA" w:eastAsia="en-CA"/>
        </w:rPr>
        <w:t xml:space="preserve">Delivery: </w:t>
      </w:r>
      <w:r>
        <w:rPr>
          <w:lang w:val="en-CA" w:eastAsia="en-CA"/>
        </w:rPr>
        <w:t>Securityholders are entitled to have periodic disclosure delivered to them on request.</w:t>
      </w:r>
    </w:p>
    <w:p w:rsidR="004722A5" w:rsidRPr="004722A5" w:rsidRDefault="004722A5" w:rsidP="00FF0B61">
      <w:pPr>
        <w:pStyle w:val="ListParagraph"/>
        <w:numPr>
          <w:ilvl w:val="0"/>
          <w:numId w:val="161"/>
        </w:numPr>
        <w:spacing w:after="0"/>
        <w:rPr>
          <w:lang w:val="en-CA" w:eastAsia="en-CA"/>
        </w:rPr>
      </w:pPr>
      <w:r>
        <w:rPr>
          <w:b/>
          <w:lang w:val="en-CA" w:eastAsia="en-CA"/>
        </w:rPr>
        <w:t xml:space="preserve">4 Components: </w:t>
      </w:r>
    </w:p>
    <w:p w:rsidR="004722A5" w:rsidRPr="004722A5" w:rsidRDefault="004722A5" w:rsidP="00FF0B61">
      <w:pPr>
        <w:pStyle w:val="ListParagraph"/>
        <w:numPr>
          <w:ilvl w:val="1"/>
          <w:numId w:val="161"/>
        </w:numPr>
        <w:spacing w:after="0"/>
        <w:rPr>
          <w:lang w:val="en-CA" w:eastAsia="en-CA"/>
        </w:rPr>
      </w:pPr>
      <w:r w:rsidRPr="004722A5">
        <w:rPr>
          <w:b/>
        </w:rPr>
        <w:t>1.</w:t>
      </w:r>
      <w:r w:rsidRPr="0072710A">
        <w:t xml:space="preserve"> </w:t>
      </w:r>
      <w:r w:rsidRPr="004722A5">
        <w:rPr>
          <w:b/>
        </w:rPr>
        <w:t>Notice:</w:t>
      </w:r>
      <w:r>
        <w:t xml:space="preserve"> </w:t>
      </w:r>
      <w:r w:rsidRPr="0072710A">
        <w:t>The recipient should receive notice that the document has been or will be electronically “delivered.”</w:t>
      </w:r>
    </w:p>
    <w:p w:rsidR="004722A5" w:rsidRPr="004722A5" w:rsidRDefault="004722A5" w:rsidP="00FF0B61">
      <w:pPr>
        <w:pStyle w:val="ListParagraph"/>
        <w:numPr>
          <w:ilvl w:val="1"/>
          <w:numId w:val="161"/>
        </w:numPr>
        <w:spacing w:after="0"/>
        <w:rPr>
          <w:lang w:val="en-CA" w:eastAsia="en-CA"/>
        </w:rPr>
      </w:pPr>
      <w:r w:rsidRPr="004722A5">
        <w:rPr>
          <w:b/>
        </w:rPr>
        <w:t xml:space="preserve">2. Access: </w:t>
      </w:r>
      <w:r w:rsidRPr="0072710A">
        <w:t>The recipient should have “easy access to the document.”</w:t>
      </w:r>
      <w:r>
        <w:t xml:space="preserve"> </w:t>
      </w:r>
      <w:r w:rsidRPr="0072710A">
        <w:t>In an accessible program.</w:t>
      </w:r>
      <w:r>
        <w:t xml:space="preserve"> </w:t>
      </w:r>
      <w:r w:rsidRPr="0072710A">
        <w:t>Available for an appropriate length of time.</w:t>
      </w:r>
      <w:r>
        <w:t xml:space="preserve"> </w:t>
      </w:r>
      <w:r w:rsidRPr="0072710A">
        <w:t>A permanent record should be available, if requested.</w:t>
      </w:r>
    </w:p>
    <w:p w:rsidR="004722A5" w:rsidRPr="004722A5" w:rsidRDefault="004722A5" w:rsidP="00FF0B61">
      <w:pPr>
        <w:pStyle w:val="ListParagraph"/>
        <w:numPr>
          <w:ilvl w:val="1"/>
          <w:numId w:val="161"/>
        </w:numPr>
        <w:spacing w:after="0"/>
        <w:rPr>
          <w:lang w:val="en-CA" w:eastAsia="en-CA"/>
        </w:rPr>
      </w:pPr>
      <w:r w:rsidRPr="004722A5">
        <w:rPr>
          <w:b/>
        </w:rPr>
        <w:t xml:space="preserve">3. Delivery of an Unaltered Document: </w:t>
      </w:r>
      <w:r w:rsidRPr="0072710A">
        <w:t>Recipient should receive an unaltered and uncorrupted document.</w:t>
      </w:r>
    </w:p>
    <w:p w:rsidR="004722A5" w:rsidRPr="00B048D1" w:rsidRDefault="004722A5" w:rsidP="00FF0B61">
      <w:pPr>
        <w:pStyle w:val="ListParagraph"/>
        <w:numPr>
          <w:ilvl w:val="1"/>
          <w:numId w:val="161"/>
        </w:numPr>
        <w:spacing w:after="0"/>
        <w:rPr>
          <w:lang w:val="en-CA" w:eastAsia="en-CA"/>
        </w:rPr>
      </w:pPr>
      <w:r w:rsidRPr="004722A5">
        <w:rPr>
          <w:b/>
        </w:rPr>
        <w:t>4. Evidence of Delivery:</w:t>
      </w:r>
      <w:r>
        <w:t xml:space="preserve"> </w:t>
      </w:r>
      <w:r w:rsidRPr="0072710A">
        <w:t>Should be evidence that the document was delivered.</w:t>
      </w:r>
    </w:p>
    <w:p w:rsidR="00B048D1" w:rsidRPr="004722A5" w:rsidRDefault="00B048D1" w:rsidP="00FF0B61">
      <w:pPr>
        <w:pStyle w:val="ListParagraph"/>
        <w:spacing w:after="0"/>
        <w:ind w:left="1440"/>
        <w:rPr>
          <w:lang w:val="en-CA" w:eastAsia="en-CA"/>
        </w:rPr>
      </w:pPr>
    </w:p>
    <w:p w:rsidR="00CB2B4F" w:rsidRDefault="00782E74" w:rsidP="00FF0B61">
      <w:pPr>
        <w:pStyle w:val="Heading2"/>
        <w:spacing w:line="240" w:lineRule="auto"/>
        <w:rPr>
          <w:lang w:val="en-CA" w:eastAsia="en-CA"/>
        </w:rPr>
      </w:pPr>
      <w:bookmarkStart w:id="48" w:name="_Toc468980419"/>
      <w:r w:rsidRPr="00200C60">
        <w:rPr>
          <w:lang w:val="en-CA" w:eastAsia="en-CA"/>
        </w:rPr>
        <w:t xml:space="preserve">[2] </w:t>
      </w:r>
      <w:r w:rsidR="00E968F6" w:rsidRPr="00200C60">
        <w:rPr>
          <w:lang w:val="en-CA" w:eastAsia="en-CA"/>
        </w:rPr>
        <w:t>Timely Disclosure</w:t>
      </w:r>
      <w:r w:rsidR="00DC6E5B">
        <w:rPr>
          <w:lang w:val="en-CA" w:eastAsia="en-CA"/>
        </w:rPr>
        <w:t xml:space="preserve"> (</w:t>
      </w:r>
      <w:r w:rsidR="00DC6E5B" w:rsidRPr="00DC6E5B">
        <w:rPr>
          <w:color w:val="C45911" w:themeColor="accent2" w:themeShade="BF"/>
          <w:lang w:val="en-CA" w:eastAsia="en-CA"/>
        </w:rPr>
        <w:t>85(b)</w:t>
      </w:r>
      <w:r w:rsidR="00DC6E5B">
        <w:rPr>
          <w:lang w:val="en-CA" w:eastAsia="en-CA"/>
        </w:rPr>
        <w:t>)</w:t>
      </w:r>
      <w:bookmarkEnd w:id="48"/>
    </w:p>
    <w:p w:rsidR="006070B8" w:rsidRDefault="0099408A" w:rsidP="00FF0B61">
      <w:pPr>
        <w:spacing w:after="0" w:line="240" w:lineRule="auto"/>
      </w:pPr>
      <w:r w:rsidRPr="00117C55">
        <w:rPr>
          <w:b/>
          <w:lang w:val="en-CA" w:eastAsia="en-CA"/>
        </w:rPr>
        <w:t>Timely disclosure of</w:t>
      </w:r>
      <w:r>
        <w:rPr>
          <w:lang w:val="en-CA" w:eastAsia="en-CA"/>
        </w:rPr>
        <w:t xml:space="preserve"> “</w:t>
      </w:r>
      <w:r w:rsidRPr="00513634">
        <w:rPr>
          <w:b/>
          <w:i/>
          <w:lang w:val="en-CA" w:eastAsia="en-CA"/>
        </w:rPr>
        <w:t>material change</w:t>
      </w:r>
      <w:r>
        <w:rPr>
          <w:lang w:val="en-CA" w:eastAsia="en-CA"/>
        </w:rPr>
        <w:t xml:space="preserve">” </w:t>
      </w:r>
      <w:r w:rsidR="001B096F">
        <w:rPr>
          <w:lang w:val="en-CA" w:eastAsia="en-CA"/>
        </w:rPr>
        <w:t xml:space="preserve">(not material fact though) </w:t>
      </w:r>
      <w:r w:rsidR="00BE525B">
        <w:rPr>
          <w:b/>
          <w:lang w:val="en-CA" w:eastAsia="en-CA"/>
        </w:rPr>
        <w:t xml:space="preserve">- </w:t>
      </w:r>
      <w:r w:rsidR="00BE525B">
        <w:t xml:space="preserve">defined in </w:t>
      </w:r>
      <w:r w:rsidR="00BE525B" w:rsidRPr="00BE525B">
        <w:rPr>
          <w:b/>
          <w:color w:val="C45911" w:themeColor="accent2" w:themeShade="BF"/>
        </w:rPr>
        <w:t>BCSA s. 1</w:t>
      </w:r>
      <w:r w:rsidR="00BE525B" w:rsidRPr="00BE525B">
        <w:rPr>
          <w:color w:val="C45911" w:themeColor="accent2" w:themeShade="BF"/>
        </w:rPr>
        <w:t xml:space="preserve"> </w:t>
      </w:r>
      <w:r w:rsidR="00BE525B">
        <w:t xml:space="preserve">and in </w:t>
      </w:r>
      <w:r w:rsidR="00BE525B" w:rsidRPr="00BE525B">
        <w:rPr>
          <w:b/>
          <w:color w:val="7030A0"/>
        </w:rPr>
        <w:t>NI 51-102</w:t>
      </w:r>
      <w:r w:rsidR="00BE525B" w:rsidRPr="00BE525B">
        <w:rPr>
          <w:color w:val="7030A0"/>
        </w:rPr>
        <w:t xml:space="preserve"> </w:t>
      </w:r>
      <w:r w:rsidR="00BE525B">
        <w:t>(slightly differently)</w:t>
      </w:r>
      <w:r w:rsidR="0031617F">
        <w:rPr>
          <w:b/>
          <w:lang w:val="en-CA" w:eastAsia="en-CA"/>
        </w:rPr>
        <w:t xml:space="preserve"> </w:t>
      </w:r>
      <w:r w:rsidR="0031617F" w:rsidRPr="001B096F">
        <w:rPr>
          <w:b/>
          <w:lang w:val="en-CA" w:eastAsia="en-CA"/>
        </w:rPr>
        <w:t>//</w:t>
      </w:r>
      <w:r w:rsidR="0031617F">
        <w:rPr>
          <w:lang w:val="en-CA" w:eastAsia="en-CA"/>
        </w:rPr>
        <w:t xml:space="preserve"> </w:t>
      </w:r>
      <w:r w:rsidR="0031617F" w:rsidRPr="003120AC">
        <w:t xml:space="preserve">MCR inform commissions, </w:t>
      </w:r>
      <w:r w:rsidR="001B096F" w:rsidRPr="003120AC">
        <w:t>market</w:t>
      </w:r>
      <w:r w:rsidR="0031617F" w:rsidRPr="003120AC">
        <w:t xml:space="preserve"> participants and public about important changes in issuer’s affairs</w:t>
      </w:r>
      <w:r w:rsidR="00FB1774">
        <w:t xml:space="preserve"> (good and bad). </w:t>
      </w:r>
    </w:p>
    <w:p w:rsidR="002F0556" w:rsidRDefault="002F0556" w:rsidP="00FF0B61">
      <w:pPr>
        <w:spacing w:after="0" w:line="240" w:lineRule="auto"/>
      </w:pPr>
    </w:p>
    <w:p w:rsidR="002F0556" w:rsidRDefault="002F0556" w:rsidP="00FF0B61">
      <w:pPr>
        <w:spacing w:after="0" w:line="240" w:lineRule="auto"/>
      </w:pPr>
      <w:r>
        <w:rPr>
          <w:b/>
        </w:rPr>
        <w:t xml:space="preserve">DEFINITION OF “MATERIAL CHANGE”: </w:t>
      </w:r>
      <w:r>
        <w:t>See above (</w:t>
      </w:r>
      <w:r>
        <w:rPr>
          <w:b/>
        </w:rPr>
        <w:t xml:space="preserve">E.g. </w:t>
      </w:r>
      <w:r w:rsidRPr="0097004C">
        <w:rPr>
          <w:b/>
          <w:i/>
          <w:color w:val="1006E0"/>
        </w:rPr>
        <w:t>Pezim</w:t>
      </w:r>
      <w:r w:rsidR="006F3622">
        <w:rPr>
          <w:b/>
          <w:i/>
          <w:color w:val="1006E0"/>
        </w:rPr>
        <w:t>;</w:t>
      </w:r>
      <w:r w:rsidR="006F3622">
        <w:rPr>
          <w:b/>
        </w:rPr>
        <w:t xml:space="preserve"> </w:t>
      </w:r>
      <w:r w:rsidR="006F3622" w:rsidRPr="006F3622">
        <w:rPr>
          <w:b/>
          <w:i/>
          <w:color w:val="1006E0"/>
        </w:rPr>
        <w:t>YBM Magnex</w:t>
      </w:r>
      <w:r w:rsidRPr="002F0556">
        <w:rPr>
          <w:color w:val="1006E0"/>
        </w:rPr>
        <w:t>)</w:t>
      </w:r>
      <w:r w:rsidR="00E63A4B">
        <w:t xml:space="preserve">: Only changes in business, operations or capital can be material changes. </w:t>
      </w:r>
      <w:r w:rsidR="00535793">
        <w:t xml:space="preserve">Also note that a change to a material fact is not necessarily a material change. It will only be if it concern’s an issuers business, operations or capital. </w:t>
      </w:r>
    </w:p>
    <w:p w:rsidR="0097004C" w:rsidRPr="0097004C" w:rsidRDefault="0097004C" w:rsidP="00FF0B61">
      <w:pPr>
        <w:pStyle w:val="ListParagraph"/>
        <w:numPr>
          <w:ilvl w:val="0"/>
          <w:numId w:val="161"/>
        </w:numPr>
        <w:spacing w:after="0"/>
        <w:rPr>
          <w:b/>
        </w:rPr>
      </w:pPr>
      <w:r>
        <w:t>Disclosing the risk of Material Change does not exempt the issuer from disclosing when the actual material change occurs (</w:t>
      </w:r>
      <w:r w:rsidRPr="0097004C">
        <w:rPr>
          <w:b/>
          <w:i/>
          <w:color w:val="1006E0"/>
        </w:rPr>
        <w:t>Coventree</w:t>
      </w:r>
      <w:r>
        <w:t xml:space="preserve">) </w:t>
      </w:r>
    </w:p>
    <w:p w:rsidR="008A48B8" w:rsidRPr="005D4B5E" w:rsidRDefault="008A48B8" w:rsidP="00FF0B61">
      <w:pPr>
        <w:pStyle w:val="ListParagraph"/>
        <w:spacing w:after="0"/>
        <w:rPr>
          <w:lang w:val="en-CA" w:eastAsia="en-CA"/>
        </w:rPr>
      </w:pPr>
    </w:p>
    <w:p w:rsidR="00EC1CCA" w:rsidRPr="00EC1CCA" w:rsidRDefault="008A48B8" w:rsidP="00FF0B61">
      <w:pPr>
        <w:pStyle w:val="Heading3"/>
        <w:spacing w:line="240" w:lineRule="auto"/>
        <w:rPr>
          <w:lang w:val="en-CA" w:eastAsia="en-CA"/>
        </w:rPr>
      </w:pPr>
      <w:bookmarkStart w:id="49" w:name="_Toc468980420"/>
      <w:r>
        <w:rPr>
          <w:lang w:val="en-CA" w:eastAsia="en-CA"/>
        </w:rPr>
        <w:t>Material Change Reports</w:t>
      </w:r>
      <w:r w:rsidR="00CA389A">
        <w:rPr>
          <w:lang w:val="en-CA" w:eastAsia="en-CA"/>
        </w:rPr>
        <w:t xml:space="preserve"> (</w:t>
      </w:r>
      <w:r w:rsidR="00C1039B" w:rsidRPr="00C1039B">
        <w:rPr>
          <w:color w:val="7030A0"/>
          <w:lang w:val="en-CA" w:eastAsia="en-CA"/>
        </w:rPr>
        <w:t xml:space="preserve">NI 51-102 </w:t>
      </w:r>
      <w:r w:rsidR="00CA389A" w:rsidRPr="00CA389A">
        <w:rPr>
          <w:color w:val="7030A0"/>
          <w:lang w:val="en-CA" w:eastAsia="en-CA"/>
        </w:rPr>
        <w:t>Part 7</w:t>
      </w:r>
      <w:r w:rsidR="00CA389A">
        <w:rPr>
          <w:lang w:val="en-CA" w:eastAsia="en-CA"/>
        </w:rPr>
        <w:t>/</w:t>
      </w:r>
      <w:r w:rsidR="00CA389A" w:rsidRPr="00CA389A">
        <w:rPr>
          <w:color w:val="C45911" w:themeColor="accent2" w:themeShade="BF"/>
          <w:lang w:val="en-CA" w:eastAsia="en-CA"/>
        </w:rPr>
        <w:t>85(b)</w:t>
      </w:r>
      <w:r w:rsidR="00CA389A">
        <w:rPr>
          <w:lang w:val="en-CA" w:eastAsia="en-CA"/>
        </w:rPr>
        <w:t>)</w:t>
      </w:r>
      <w:bookmarkEnd w:id="49"/>
    </w:p>
    <w:p w:rsidR="00DD1F8D" w:rsidRPr="00AA5A92" w:rsidRDefault="000A1CFD" w:rsidP="00FF0B61">
      <w:pPr>
        <w:spacing w:after="0" w:line="240" w:lineRule="auto"/>
        <w:rPr>
          <w:lang w:val="en-CA" w:eastAsia="en-CA"/>
        </w:rPr>
      </w:pPr>
      <w:r w:rsidRPr="00AA5A92">
        <w:rPr>
          <w:b/>
          <w:lang w:val="en-CA" w:eastAsia="en-CA"/>
        </w:rPr>
        <w:t xml:space="preserve">If a </w:t>
      </w:r>
      <w:r w:rsidRPr="00B543A9">
        <w:rPr>
          <w:b/>
          <w:u w:val="single"/>
          <w:lang w:val="en-CA" w:eastAsia="en-CA"/>
        </w:rPr>
        <w:t>Material Change</w:t>
      </w:r>
      <w:r w:rsidRPr="00AA5A92">
        <w:rPr>
          <w:b/>
          <w:lang w:val="en-CA" w:eastAsia="en-CA"/>
        </w:rPr>
        <w:t xml:space="preserve"> Occurs </w:t>
      </w:r>
      <w:r w:rsidR="00F939AB" w:rsidRPr="00F939AB">
        <w:rPr>
          <w:lang w:val="en-CA" w:eastAsia="en-CA"/>
        </w:rPr>
        <w:sym w:font="Wingdings" w:char="F0E0"/>
      </w:r>
      <w:r w:rsidR="00DD1F8D" w:rsidRPr="00AA5A92">
        <w:rPr>
          <w:lang w:val="en-CA" w:eastAsia="en-CA"/>
        </w:rPr>
        <w:t xml:space="preserve"> Must </w:t>
      </w:r>
      <w:r w:rsidR="00DD1F8D" w:rsidRPr="00AA5A92">
        <w:rPr>
          <w:b/>
          <w:i/>
          <w:lang w:val="en-CA" w:eastAsia="en-CA"/>
        </w:rPr>
        <w:t>file material change</w:t>
      </w:r>
      <w:r w:rsidR="00DD1F8D" w:rsidRPr="00AA5A92">
        <w:rPr>
          <w:lang w:val="en-CA" w:eastAsia="en-CA"/>
        </w:rPr>
        <w:t xml:space="preserve"> </w:t>
      </w:r>
      <w:r w:rsidR="00DD1F8D" w:rsidRPr="00AA5A92">
        <w:rPr>
          <w:b/>
          <w:lang w:val="en-CA" w:eastAsia="en-CA"/>
        </w:rPr>
        <w:t>report</w:t>
      </w:r>
      <w:r w:rsidRPr="00AA5A92">
        <w:rPr>
          <w:lang w:val="en-CA" w:eastAsia="en-CA"/>
        </w:rPr>
        <w:t xml:space="preserve"> in the necessary form (</w:t>
      </w:r>
      <w:r w:rsidRPr="00AA5A92">
        <w:rPr>
          <w:b/>
          <w:color w:val="7030A0"/>
          <w:lang w:val="en-CA" w:eastAsia="en-CA"/>
        </w:rPr>
        <w:t>51-102 Part 7</w:t>
      </w:r>
      <w:r w:rsidRPr="00AA5A92">
        <w:rPr>
          <w:color w:val="7030A0"/>
          <w:lang w:val="en-CA" w:eastAsia="en-CA"/>
        </w:rPr>
        <w:t>)</w:t>
      </w:r>
      <w:r w:rsidR="00EC1CCA" w:rsidRPr="00AA5A92">
        <w:rPr>
          <w:color w:val="7030A0"/>
          <w:lang w:val="en-CA" w:eastAsia="en-CA"/>
        </w:rPr>
        <w:t xml:space="preserve"> </w:t>
      </w:r>
    </w:p>
    <w:p w:rsidR="00DD1F8D" w:rsidRPr="006A574C" w:rsidRDefault="000C1791" w:rsidP="00FF0B61">
      <w:pPr>
        <w:pStyle w:val="ListParagraph"/>
        <w:numPr>
          <w:ilvl w:val="0"/>
          <w:numId w:val="147"/>
        </w:numPr>
        <w:rPr>
          <w:lang w:val="en-CA" w:eastAsia="en-CA"/>
        </w:rPr>
      </w:pPr>
      <w:r>
        <w:rPr>
          <w:b/>
          <w:lang w:val="en-CA" w:eastAsia="en-CA"/>
        </w:rPr>
        <w:t>NEWS REPORT</w:t>
      </w:r>
      <w:r w:rsidR="005946D3">
        <w:rPr>
          <w:b/>
          <w:lang w:val="en-CA" w:eastAsia="en-CA"/>
        </w:rPr>
        <w:t>/FILE</w:t>
      </w:r>
      <w:r>
        <w:rPr>
          <w:b/>
          <w:lang w:val="en-CA" w:eastAsia="en-CA"/>
        </w:rPr>
        <w:t>:</w:t>
      </w:r>
      <w:r w:rsidR="00DD1F8D">
        <w:rPr>
          <w:lang w:val="en-CA" w:eastAsia="en-CA"/>
        </w:rPr>
        <w:t xml:space="preserve"> </w:t>
      </w:r>
      <w:r w:rsidR="007A4599">
        <w:rPr>
          <w:b/>
          <w:lang w:val="en-CA" w:eastAsia="en-CA"/>
        </w:rPr>
        <w:t xml:space="preserve">(a) </w:t>
      </w:r>
      <w:r w:rsidR="00DD1F8D">
        <w:rPr>
          <w:lang w:val="en-CA" w:eastAsia="en-CA"/>
        </w:rPr>
        <w:t xml:space="preserve">First thing is </w:t>
      </w:r>
      <w:r w:rsidR="00DD1F8D" w:rsidRPr="00CB287B">
        <w:rPr>
          <w:b/>
          <w:lang w:val="en-CA" w:eastAsia="en-CA"/>
        </w:rPr>
        <w:t xml:space="preserve">immediately file a </w:t>
      </w:r>
      <w:r w:rsidR="00DD1F8D" w:rsidRPr="00CB287B">
        <w:rPr>
          <w:b/>
          <w:u w:val="single"/>
          <w:lang w:val="en-CA" w:eastAsia="en-CA"/>
        </w:rPr>
        <w:t>new release</w:t>
      </w:r>
      <w:r w:rsidR="006D1940">
        <w:rPr>
          <w:lang w:val="en-CA" w:eastAsia="en-CA"/>
        </w:rPr>
        <w:t xml:space="preserve"> that is signed by exec </w:t>
      </w:r>
      <w:r w:rsidR="00DD1F8D">
        <w:rPr>
          <w:lang w:val="en-CA" w:eastAsia="en-CA"/>
        </w:rPr>
        <w:t xml:space="preserve">OFR (CFO, CEO, COO) </w:t>
      </w:r>
      <w:r w:rsidR="006D1940">
        <w:rPr>
          <w:lang w:val="en-CA" w:eastAsia="en-CA"/>
        </w:rPr>
        <w:t>describing the nature and substance of change</w:t>
      </w:r>
      <w:r w:rsidR="00DD1F8D">
        <w:rPr>
          <w:lang w:val="en-CA" w:eastAsia="en-CA"/>
        </w:rPr>
        <w:t xml:space="preserve">, </w:t>
      </w:r>
      <w:r w:rsidR="00DD1F8D" w:rsidRPr="00DD1F8D">
        <w:rPr>
          <w:b/>
          <w:lang w:val="en-CA" w:eastAsia="en-CA"/>
        </w:rPr>
        <w:t>(b)</w:t>
      </w:r>
      <w:r w:rsidR="00DD1F8D">
        <w:rPr>
          <w:lang w:val="en-CA" w:eastAsia="en-CA"/>
        </w:rPr>
        <w:t xml:space="preserve"> as soon as practicable</w:t>
      </w:r>
      <w:r w:rsidR="005477AA">
        <w:rPr>
          <w:lang w:val="en-CA" w:eastAsia="en-CA"/>
        </w:rPr>
        <w:t xml:space="preserve"> (</w:t>
      </w:r>
      <w:r w:rsidR="004E554D">
        <w:rPr>
          <w:lang w:val="en-CA" w:eastAsia="en-CA"/>
        </w:rPr>
        <w:t>w/</w:t>
      </w:r>
      <w:r w:rsidR="00DD1F8D">
        <w:rPr>
          <w:lang w:val="en-CA" w:eastAsia="en-CA"/>
        </w:rPr>
        <w:t>in 10 days</w:t>
      </w:r>
      <w:r w:rsidR="005477AA">
        <w:rPr>
          <w:lang w:val="en-CA" w:eastAsia="en-CA"/>
        </w:rPr>
        <w:t>)</w:t>
      </w:r>
      <w:r w:rsidR="00E91249">
        <w:rPr>
          <w:lang w:val="en-CA" w:eastAsia="en-CA"/>
        </w:rPr>
        <w:t xml:space="preserve"> file </w:t>
      </w:r>
      <w:r w:rsidR="00E91249" w:rsidRPr="00E91249">
        <w:rPr>
          <w:b/>
          <w:lang w:val="en-CA" w:eastAsia="en-CA"/>
        </w:rPr>
        <w:t>Form 51-102F3</w:t>
      </w:r>
      <w:r w:rsidR="00DD1F8D">
        <w:rPr>
          <w:lang w:val="en-CA" w:eastAsia="en-CA"/>
        </w:rPr>
        <w:t xml:space="preserve"> (10 days is a long time, cannot sit on it for 10 day</w:t>
      </w:r>
      <w:r w:rsidR="00E91249">
        <w:rPr>
          <w:lang w:val="en-CA" w:eastAsia="en-CA"/>
        </w:rPr>
        <w:t xml:space="preserve">s should really be issuing form </w:t>
      </w:r>
      <w:r>
        <w:rPr>
          <w:lang w:val="en-CA" w:eastAsia="en-CA"/>
        </w:rPr>
        <w:t xml:space="preserve">alongside news </w:t>
      </w:r>
      <w:r w:rsidR="00E55667">
        <w:rPr>
          <w:lang w:val="en-CA" w:eastAsia="en-CA"/>
        </w:rPr>
        <w:t>release) (</w:t>
      </w:r>
      <w:r w:rsidRPr="00DD1F8D">
        <w:rPr>
          <w:b/>
          <w:color w:val="7030A0"/>
          <w:lang w:val="en-CA" w:eastAsia="en-CA"/>
        </w:rPr>
        <w:t>7.1(1)</w:t>
      </w:r>
      <w:r>
        <w:rPr>
          <w:b/>
          <w:color w:val="7030A0"/>
          <w:lang w:val="en-CA" w:eastAsia="en-CA"/>
        </w:rPr>
        <w:t>)</w:t>
      </w:r>
    </w:p>
    <w:p w:rsidR="006A574C" w:rsidRPr="005B059E" w:rsidRDefault="006A574C" w:rsidP="00FF0B61">
      <w:pPr>
        <w:pStyle w:val="ListParagraph"/>
        <w:numPr>
          <w:ilvl w:val="1"/>
          <w:numId w:val="147"/>
        </w:numPr>
        <w:rPr>
          <w:lang w:val="en-CA" w:eastAsia="en-CA"/>
        </w:rPr>
      </w:pPr>
      <w:r w:rsidRPr="009B6ED7">
        <w:rPr>
          <w:b/>
          <w:u w:val="single"/>
          <w:lang w:val="en-CA" w:eastAsia="en-CA"/>
        </w:rPr>
        <w:t>Best Disclosure Practices (4 steps)</w:t>
      </w:r>
      <w:r w:rsidRPr="005B059E">
        <w:rPr>
          <w:b/>
          <w:lang w:val="en-CA" w:eastAsia="en-CA"/>
        </w:rPr>
        <w:t xml:space="preserve"> </w:t>
      </w:r>
      <w:r>
        <w:rPr>
          <w:b/>
          <w:color w:val="7030A0"/>
          <w:lang w:val="en-CA" w:eastAsia="en-CA"/>
        </w:rPr>
        <w:t>(NP 51-201, Part 6)</w:t>
      </w:r>
    </w:p>
    <w:p w:rsidR="006A574C" w:rsidRPr="005B059E" w:rsidRDefault="006A574C" w:rsidP="00FF0B61">
      <w:pPr>
        <w:pStyle w:val="ListParagraph"/>
        <w:numPr>
          <w:ilvl w:val="2"/>
          <w:numId w:val="147"/>
        </w:numPr>
        <w:rPr>
          <w:lang w:val="en-CA" w:eastAsia="en-CA"/>
        </w:rPr>
      </w:pPr>
      <w:r>
        <w:t>I</w:t>
      </w:r>
      <w:r w:rsidRPr="003120AC">
        <w:t xml:space="preserve">ssue news release through widely </w:t>
      </w:r>
      <w:r>
        <w:t>circulated news or wire service</w:t>
      </w:r>
    </w:p>
    <w:p w:rsidR="006A574C" w:rsidRPr="005B059E" w:rsidRDefault="006A574C" w:rsidP="00FF0B61">
      <w:pPr>
        <w:pStyle w:val="ListParagraph"/>
        <w:numPr>
          <w:ilvl w:val="2"/>
          <w:numId w:val="147"/>
        </w:numPr>
        <w:rPr>
          <w:lang w:val="en-CA" w:eastAsia="en-CA"/>
        </w:rPr>
      </w:pPr>
      <w:r>
        <w:t>A</w:t>
      </w:r>
      <w:r w:rsidRPr="003120AC">
        <w:t xml:space="preserve">dvance public notice before </w:t>
      </w:r>
      <w:r>
        <w:t>conference call to discuss info</w:t>
      </w:r>
    </w:p>
    <w:p w:rsidR="006A574C" w:rsidRPr="002C0A34" w:rsidRDefault="006A574C" w:rsidP="00FF0B61">
      <w:pPr>
        <w:pStyle w:val="ListParagraph"/>
        <w:numPr>
          <w:ilvl w:val="2"/>
          <w:numId w:val="147"/>
        </w:numPr>
        <w:rPr>
          <w:lang w:val="en-CA" w:eastAsia="en-CA"/>
        </w:rPr>
      </w:pPr>
      <w:r>
        <w:t>H</w:t>
      </w:r>
      <w:r w:rsidRPr="003120AC">
        <w:t>old conference call in open manner eg. web casting</w:t>
      </w:r>
    </w:p>
    <w:p w:rsidR="006A574C" w:rsidRPr="006A574C" w:rsidRDefault="006A574C" w:rsidP="00FF0B61">
      <w:pPr>
        <w:pStyle w:val="ListParagraph"/>
        <w:numPr>
          <w:ilvl w:val="2"/>
          <w:numId w:val="147"/>
        </w:numPr>
        <w:rPr>
          <w:lang w:val="en-CA" w:eastAsia="en-CA"/>
        </w:rPr>
      </w:pPr>
      <w:r>
        <w:t xml:space="preserve">Provide dial-in and/or web replay or make transcripts of the call available for a reasonable period of time. </w:t>
      </w:r>
    </w:p>
    <w:p w:rsidR="000B6EF6" w:rsidRPr="000B6EF6" w:rsidRDefault="00113A48" w:rsidP="00FF0B61">
      <w:pPr>
        <w:pStyle w:val="ListParagraph"/>
        <w:numPr>
          <w:ilvl w:val="0"/>
          <w:numId w:val="147"/>
        </w:numPr>
        <w:rPr>
          <w:lang w:val="en-CA" w:eastAsia="en-CA"/>
        </w:rPr>
      </w:pPr>
      <w:r>
        <w:rPr>
          <w:b/>
          <w:lang w:val="en-CA" w:eastAsia="en-CA"/>
        </w:rPr>
        <w:t>CONFIDENTIAL MCR (“Exception to Public Report”</w:t>
      </w:r>
      <w:r w:rsidR="00CC1D04">
        <w:rPr>
          <w:b/>
          <w:lang w:val="en-CA" w:eastAsia="en-CA"/>
        </w:rPr>
        <w:t xml:space="preserve"> – MCR release is delayed, still </w:t>
      </w:r>
      <w:r w:rsidR="006A193F">
        <w:rPr>
          <w:b/>
          <w:lang w:val="en-CA" w:eastAsia="en-CA"/>
        </w:rPr>
        <w:t xml:space="preserve">confidentially </w:t>
      </w:r>
      <w:r w:rsidR="009E7845">
        <w:rPr>
          <w:b/>
          <w:lang w:val="en-CA" w:eastAsia="en-CA"/>
        </w:rPr>
        <w:t>file w/in 10 days</w:t>
      </w:r>
      <w:r>
        <w:rPr>
          <w:b/>
          <w:lang w:val="en-CA" w:eastAsia="en-CA"/>
        </w:rPr>
        <w:t>)</w:t>
      </w:r>
      <w:r w:rsidR="000B6EF6">
        <w:rPr>
          <w:b/>
          <w:lang w:val="en-CA" w:eastAsia="en-CA"/>
        </w:rPr>
        <w:t>:</w:t>
      </w:r>
      <w:r w:rsidR="005C272C">
        <w:rPr>
          <w:b/>
          <w:lang w:val="en-CA" w:eastAsia="en-CA"/>
        </w:rPr>
        <w:t xml:space="preserve"> </w:t>
      </w:r>
      <w:r w:rsidR="005C272C">
        <w:rPr>
          <w:lang w:val="en-CA" w:eastAsia="en-CA"/>
        </w:rPr>
        <w:t>2 ways to file confidentially. Must provide written reasons for non-disclosure and convince Commission every 10 days that info should remain confident</w:t>
      </w:r>
      <w:r w:rsidR="001C6602">
        <w:rPr>
          <w:lang w:val="en-CA" w:eastAsia="en-CA"/>
        </w:rPr>
        <w:t xml:space="preserve">ial. Cannot sell </w:t>
      </w:r>
      <w:r w:rsidR="004035F3">
        <w:rPr>
          <w:lang w:val="en-CA" w:eastAsia="en-CA"/>
        </w:rPr>
        <w:t xml:space="preserve">securities until info disclosed and disseminated </w:t>
      </w:r>
      <w:r w:rsidR="00D40D46">
        <w:rPr>
          <w:lang w:val="en-CA" w:eastAsia="en-CA"/>
        </w:rPr>
        <w:t>(</w:t>
      </w:r>
      <w:r w:rsidR="00CB287B" w:rsidRPr="00CB287B">
        <w:rPr>
          <w:b/>
          <w:color w:val="7030A0"/>
          <w:lang w:val="en-CA" w:eastAsia="en-CA"/>
        </w:rPr>
        <w:t>51-102</w:t>
      </w:r>
      <w:r w:rsidR="00CB287B" w:rsidRPr="00CB287B">
        <w:rPr>
          <w:color w:val="7030A0"/>
          <w:lang w:val="en-CA" w:eastAsia="en-CA"/>
        </w:rPr>
        <w:t xml:space="preserve"> </w:t>
      </w:r>
      <w:r w:rsidR="00D40D46" w:rsidRPr="00D40D46">
        <w:rPr>
          <w:b/>
          <w:color w:val="7030A0"/>
          <w:lang w:val="en-CA" w:eastAsia="en-CA"/>
        </w:rPr>
        <w:t>s.7.1(5)</w:t>
      </w:r>
      <w:r w:rsidR="00D40D46">
        <w:rPr>
          <w:b/>
          <w:lang w:val="en-CA" w:eastAsia="en-CA"/>
        </w:rPr>
        <w:t>)</w:t>
      </w:r>
    </w:p>
    <w:p w:rsidR="00DD1F8D" w:rsidRPr="000B6EF6" w:rsidRDefault="005C272C" w:rsidP="00FF0B61">
      <w:pPr>
        <w:pStyle w:val="ListParagraph"/>
        <w:numPr>
          <w:ilvl w:val="1"/>
          <w:numId w:val="147"/>
        </w:numPr>
        <w:rPr>
          <w:lang w:val="en-CA" w:eastAsia="en-CA"/>
        </w:rPr>
      </w:pPr>
      <w:r>
        <w:rPr>
          <w:b/>
        </w:rPr>
        <w:t xml:space="preserve">[1] </w:t>
      </w:r>
      <w:r w:rsidR="000B6EF6">
        <w:rPr>
          <w:b/>
        </w:rPr>
        <w:t xml:space="preserve">Detriment: </w:t>
      </w:r>
      <w:r w:rsidR="00EE2D9B">
        <w:t>When in the issuers reasonable opinion immediate dis</w:t>
      </w:r>
      <w:r w:rsidR="00360672">
        <w:t>closure “would unduly detriment”</w:t>
      </w:r>
      <w:r w:rsidR="00EE2D9B">
        <w:t xml:space="preserve"> its interests (e.g. pursuing a specific strategy)</w:t>
      </w:r>
      <w:r w:rsidR="00DD1F8D">
        <w:rPr>
          <w:lang w:val="en-CA" w:eastAsia="en-CA"/>
        </w:rPr>
        <w:t xml:space="preserve"> (</w:t>
      </w:r>
      <w:r w:rsidR="00DD1F8D" w:rsidRPr="00C2494C">
        <w:rPr>
          <w:b/>
          <w:color w:val="7030A0"/>
          <w:lang w:val="en-CA" w:eastAsia="en-CA"/>
        </w:rPr>
        <w:t>7.1(2)(a)).</w:t>
      </w:r>
      <w:r w:rsidR="00DD1F8D" w:rsidRPr="00C2494C">
        <w:rPr>
          <w:color w:val="7030A0"/>
          <w:lang w:val="en-CA" w:eastAsia="en-CA"/>
        </w:rPr>
        <w:t xml:space="preserve"> </w:t>
      </w:r>
    </w:p>
    <w:p w:rsidR="000B6EF6" w:rsidRPr="005A6BA3" w:rsidRDefault="005C272C" w:rsidP="00FF0B61">
      <w:pPr>
        <w:pStyle w:val="ListParagraph"/>
        <w:numPr>
          <w:ilvl w:val="1"/>
          <w:numId w:val="147"/>
        </w:numPr>
        <w:rPr>
          <w:lang w:val="en-CA" w:eastAsia="en-CA"/>
        </w:rPr>
      </w:pPr>
      <w:r>
        <w:rPr>
          <w:b/>
        </w:rPr>
        <w:t xml:space="preserve">[2] </w:t>
      </w:r>
      <w:r w:rsidR="00693A67">
        <w:rPr>
          <w:b/>
        </w:rPr>
        <w:t xml:space="preserve">MGT: </w:t>
      </w:r>
      <w:r w:rsidR="000B6EF6">
        <w:t>W</w:t>
      </w:r>
      <w:r w:rsidR="000B6EF6" w:rsidRPr="003120AC">
        <w:t>hen decision made by senior mgmt amounts to a material change and is awaiting probable board approval</w:t>
      </w:r>
      <w:r w:rsidR="00F92D6F">
        <w:t>. Must have no reason to believe persons w/ knowledge of decision are buying or selling the issuer’s securities</w:t>
      </w:r>
      <w:r w:rsidR="000B6EF6">
        <w:t xml:space="preserve"> </w:t>
      </w:r>
      <w:r w:rsidR="000B6EF6">
        <w:rPr>
          <w:lang w:val="en-CA" w:eastAsia="en-CA"/>
        </w:rPr>
        <w:t>(</w:t>
      </w:r>
      <w:r w:rsidR="000B6EF6">
        <w:rPr>
          <w:b/>
          <w:color w:val="7030A0"/>
          <w:lang w:val="en-CA" w:eastAsia="en-CA"/>
        </w:rPr>
        <w:t>7.1(2)(b)).</w:t>
      </w:r>
    </w:p>
    <w:p w:rsidR="00E71FE3" w:rsidRDefault="00F81604" w:rsidP="00FF0B61">
      <w:pPr>
        <w:pStyle w:val="Heading2"/>
        <w:spacing w:line="240" w:lineRule="auto"/>
        <w:rPr>
          <w:lang w:val="en-CA" w:eastAsia="en-CA"/>
        </w:rPr>
      </w:pPr>
      <w:bookmarkStart w:id="50" w:name="_Toc468980421"/>
      <w:r>
        <w:rPr>
          <w:lang w:val="en-CA" w:eastAsia="en-CA"/>
        </w:rPr>
        <w:t xml:space="preserve">[3] </w:t>
      </w:r>
      <w:r w:rsidR="00B72A17" w:rsidRPr="005E6F2D">
        <w:rPr>
          <w:lang w:val="en-CA" w:eastAsia="en-CA"/>
        </w:rPr>
        <w:t xml:space="preserve">Selective </w:t>
      </w:r>
      <w:r w:rsidR="00E71FE3" w:rsidRPr="005E6F2D">
        <w:rPr>
          <w:lang w:val="en-CA" w:eastAsia="en-CA"/>
        </w:rPr>
        <w:t>Disclosure</w:t>
      </w:r>
      <w:bookmarkEnd w:id="50"/>
      <w:r w:rsidR="0044236D">
        <w:rPr>
          <w:lang w:val="en-CA" w:eastAsia="en-CA"/>
        </w:rPr>
        <w:t xml:space="preserve"> </w:t>
      </w:r>
    </w:p>
    <w:p w:rsidR="006B5B15" w:rsidRPr="00171AED" w:rsidRDefault="006B5B15" w:rsidP="00FF0B61">
      <w:pPr>
        <w:pStyle w:val="ListParagraph"/>
        <w:numPr>
          <w:ilvl w:val="0"/>
          <w:numId w:val="56"/>
        </w:numPr>
        <w:spacing w:after="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Accidental or intentional dissemination to a select group of individuals of information about an issuer tha</w:t>
      </w:r>
      <w:r>
        <w:rPr>
          <w:rFonts w:ascii="Calibri" w:eastAsia="Times New Roman" w:hAnsi="Calibri" w:cs="Times New Roman"/>
          <w:color w:val="000000"/>
          <w:lang w:eastAsia="en-CA"/>
        </w:rPr>
        <w:t>t is n</w:t>
      </w:r>
      <w:r w:rsidR="00171AED">
        <w:rPr>
          <w:rFonts w:ascii="Calibri" w:eastAsia="Times New Roman" w:hAnsi="Calibri" w:cs="Times New Roman"/>
          <w:color w:val="000000"/>
          <w:lang w:eastAsia="en-CA"/>
        </w:rPr>
        <w:t xml:space="preserve">ot yet publicly available </w:t>
      </w:r>
      <w:r w:rsidR="00171AED">
        <w:rPr>
          <w:rFonts w:ascii="Calibri" w:eastAsia="Times New Roman" w:hAnsi="Calibri" w:cs="Times New Roman"/>
          <w:b/>
          <w:color w:val="000000"/>
          <w:lang w:eastAsia="en-CA"/>
        </w:rPr>
        <w:t xml:space="preserve">// </w:t>
      </w:r>
      <w:r w:rsidRPr="00171AED">
        <w:rPr>
          <w:rFonts w:ascii="Calibri" w:eastAsia="Times New Roman" w:hAnsi="Calibri" w:cs="Times New Roman"/>
          <w:color w:val="000000"/>
          <w:lang w:eastAsia="en-CA"/>
        </w:rPr>
        <w:t xml:space="preserve">If a RI discloses some </w:t>
      </w:r>
      <w:r w:rsidRPr="00A4410B">
        <w:rPr>
          <w:rFonts w:ascii="Calibri" w:eastAsia="Times New Roman" w:hAnsi="Calibri" w:cs="Times New Roman"/>
          <w:color w:val="000000"/>
          <w:u w:val="single"/>
          <w:lang w:eastAsia="en-CA"/>
        </w:rPr>
        <w:t>material information</w:t>
      </w:r>
      <w:r w:rsidRPr="00171AED">
        <w:rPr>
          <w:rFonts w:ascii="Calibri" w:eastAsia="Times New Roman" w:hAnsi="Calibri" w:cs="Times New Roman"/>
          <w:color w:val="000000"/>
          <w:lang w:eastAsia="en-CA"/>
        </w:rPr>
        <w:t xml:space="preserve"> it should make an i</w:t>
      </w:r>
      <w:r w:rsidRPr="00A4410B">
        <w:rPr>
          <w:rFonts w:ascii="Calibri" w:eastAsia="Times New Roman" w:hAnsi="Calibri" w:cs="Times New Roman"/>
          <w:b/>
          <w:i/>
          <w:color w:val="000000"/>
          <w:lang w:eastAsia="en-CA"/>
        </w:rPr>
        <w:t>mmediate public announcement and request exchanges to halt trading until that announcement is disseminated</w:t>
      </w:r>
      <w:r w:rsidRPr="00171AED">
        <w:rPr>
          <w:rFonts w:ascii="Calibri" w:eastAsia="Times New Roman" w:hAnsi="Calibri" w:cs="Times New Roman"/>
          <w:color w:val="000000"/>
          <w:lang w:eastAsia="en-CA"/>
        </w:rPr>
        <w:t xml:space="preserve"> (</w:t>
      </w:r>
      <w:r w:rsidRPr="00171AED">
        <w:rPr>
          <w:rFonts w:ascii="Calibri" w:eastAsia="Times New Roman" w:hAnsi="Calibri" w:cs="Times New Roman"/>
          <w:b/>
          <w:color w:val="7030A0"/>
          <w:lang w:eastAsia="en-CA"/>
        </w:rPr>
        <w:t>NP 51-201 s.3.6</w:t>
      </w:r>
      <w:r w:rsidRPr="00171AED">
        <w:rPr>
          <w:rFonts w:ascii="Calibri" w:eastAsia="Times New Roman" w:hAnsi="Calibri" w:cs="Times New Roman"/>
          <w:color w:val="000000"/>
          <w:lang w:eastAsia="en-CA"/>
        </w:rPr>
        <w:t>)</w:t>
      </w:r>
    </w:p>
    <w:p w:rsidR="006B5B15" w:rsidRPr="00743870" w:rsidRDefault="006B5B15" w:rsidP="00FF0B61">
      <w:pPr>
        <w:pStyle w:val="ListParagraph"/>
        <w:numPr>
          <w:ilvl w:val="0"/>
          <w:numId w:val="56"/>
        </w:numPr>
        <w:spacing w:after="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 xml:space="preserve">CSA views it </w:t>
      </w:r>
      <w:r w:rsidR="00755A9C" w:rsidRPr="00743870">
        <w:rPr>
          <w:rFonts w:ascii="Calibri" w:eastAsia="Times New Roman" w:hAnsi="Calibri" w:cs="Times New Roman"/>
          <w:color w:val="000000"/>
          <w:lang w:eastAsia="en-CA"/>
        </w:rPr>
        <w:t>unfavorably</w:t>
      </w:r>
      <w:r w:rsidRPr="00743870">
        <w:rPr>
          <w:rFonts w:ascii="Calibri" w:eastAsia="Times New Roman" w:hAnsi="Calibri" w:cs="Times New Roman"/>
          <w:color w:val="000000"/>
          <w:lang w:eastAsia="en-CA"/>
        </w:rPr>
        <w:t xml:space="preserve"> due to need for level playing field</w:t>
      </w:r>
      <w:r w:rsidR="005A65E6">
        <w:rPr>
          <w:rFonts w:ascii="Calibri" w:eastAsia="Times New Roman" w:hAnsi="Calibri" w:cs="Times New Roman"/>
          <w:color w:val="000000"/>
          <w:lang w:eastAsia="en-CA"/>
        </w:rPr>
        <w:t>.</w:t>
      </w:r>
    </w:p>
    <w:p w:rsidR="006B5B15" w:rsidRDefault="006B5B15" w:rsidP="00FF0B61">
      <w:pPr>
        <w:pStyle w:val="ListParagraph"/>
        <w:numPr>
          <w:ilvl w:val="0"/>
          <w:numId w:val="56"/>
        </w:numPr>
        <w:spacing w:after="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Concerns about regulating selective disclosure since it might have a “chilling effect” between RIs and their analysts</w:t>
      </w:r>
      <w:r w:rsidR="00A4410B">
        <w:rPr>
          <w:rFonts w:ascii="Calibri" w:eastAsia="Times New Roman" w:hAnsi="Calibri" w:cs="Times New Roman"/>
          <w:color w:val="000000"/>
          <w:lang w:eastAsia="en-CA"/>
        </w:rPr>
        <w:t xml:space="preserve">. </w:t>
      </w:r>
      <w:r w:rsidRPr="00743870">
        <w:rPr>
          <w:rFonts w:ascii="Calibri" w:eastAsia="Times New Roman" w:hAnsi="Calibri" w:cs="Times New Roman"/>
          <w:color w:val="000000"/>
          <w:lang w:eastAsia="en-CA"/>
        </w:rPr>
        <w:t xml:space="preserve"> </w:t>
      </w:r>
    </w:p>
    <w:p w:rsidR="00B543A9" w:rsidRPr="00743870" w:rsidRDefault="00B543A9" w:rsidP="00FF0B61">
      <w:pPr>
        <w:pStyle w:val="ListParagraph"/>
        <w:spacing w:after="0"/>
        <w:textAlignment w:val="center"/>
        <w:rPr>
          <w:rFonts w:ascii="Calibri" w:eastAsia="Times New Roman" w:hAnsi="Calibri" w:cs="Times New Roman"/>
          <w:color w:val="000000"/>
          <w:lang w:eastAsia="en-CA"/>
        </w:rPr>
      </w:pPr>
    </w:p>
    <w:p w:rsidR="00E71FE3" w:rsidRDefault="002073B9" w:rsidP="00FF0B61">
      <w:pPr>
        <w:pStyle w:val="Heading1"/>
        <w:spacing w:after="0"/>
        <w:rPr>
          <w:lang w:val="en-CA" w:eastAsia="en-CA"/>
        </w:rPr>
      </w:pPr>
      <w:bookmarkStart w:id="51" w:name="_Toc468980422"/>
      <w:r w:rsidRPr="00E318CC">
        <w:rPr>
          <w:lang w:val="en-CA" w:eastAsia="en-CA"/>
        </w:rPr>
        <w:t>The Exempt Market</w:t>
      </w:r>
      <w:bookmarkEnd w:id="51"/>
    </w:p>
    <w:p w:rsidR="00495207" w:rsidRPr="00495207" w:rsidRDefault="00495207" w:rsidP="00FF0B61">
      <w:pPr>
        <w:spacing w:line="240" w:lineRule="auto"/>
        <w:rPr>
          <w:lang w:val="en-CA" w:eastAsia="en-CA"/>
        </w:rPr>
      </w:pPr>
      <w:r w:rsidRPr="00A857C6">
        <w:rPr>
          <w:b/>
          <w:lang w:val="en-CA" w:eastAsia="en-CA"/>
        </w:rPr>
        <w:t>3 ways to sell securities</w:t>
      </w:r>
      <w:r w:rsidRPr="00A857C6">
        <w:rPr>
          <w:lang w:val="en-CA" w:eastAsia="en-CA"/>
        </w:rPr>
        <w:t xml:space="preserve">: </w:t>
      </w:r>
      <w:r w:rsidRPr="00A857C6">
        <w:rPr>
          <w:b/>
          <w:lang w:val="en-CA" w:eastAsia="en-CA"/>
        </w:rPr>
        <w:t xml:space="preserve">1) </w:t>
      </w:r>
      <w:r w:rsidR="00CB5F43" w:rsidRPr="00A857C6">
        <w:rPr>
          <w:lang w:val="en-CA" w:eastAsia="en-CA"/>
        </w:rPr>
        <w:t>Issue prospectus</w:t>
      </w:r>
      <w:r w:rsidRPr="00A857C6">
        <w:rPr>
          <w:lang w:val="en-CA" w:eastAsia="en-CA"/>
        </w:rPr>
        <w:t xml:space="preserve">; </w:t>
      </w:r>
      <w:r w:rsidRPr="00A857C6">
        <w:rPr>
          <w:b/>
          <w:lang w:val="en-CA" w:eastAsia="en-CA"/>
        </w:rPr>
        <w:t xml:space="preserve">2) </w:t>
      </w:r>
      <w:r w:rsidR="00A857C6" w:rsidRPr="00A857C6">
        <w:rPr>
          <w:lang w:val="en-CA" w:eastAsia="en-CA"/>
        </w:rPr>
        <w:t xml:space="preserve">Legislative/Regulatory prospectus exemption; </w:t>
      </w:r>
      <w:r w:rsidR="00A857C6" w:rsidRPr="00A857C6">
        <w:rPr>
          <w:b/>
          <w:lang w:val="en-CA" w:eastAsia="en-CA"/>
        </w:rPr>
        <w:t>3)</w:t>
      </w:r>
      <w:r w:rsidR="00A857C6" w:rsidRPr="00A857C6">
        <w:rPr>
          <w:lang w:val="en-CA" w:eastAsia="en-CA"/>
        </w:rPr>
        <w:t xml:space="preserve"> Discretionary Prospectus Exemption</w:t>
      </w:r>
      <w:r w:rsidRPr="00A857C6">
        <w:rPr>
          <w:lang w:val="en-CA" w:eastAsia="en-CA"/>
        </w:rPr>
        <w:t>.</w:t>
      </w:r>
    </w:p>
    <w:p w:rsidR="00F10589" w:rsidRDefault="00F97ACC" w:rsidP="00FF0B61">
      <w:pPr>
        <w:spacing w:after="0" w:line="240" w:lineRule="auto"/>
        <w:rPr>
          <w:b/>
          <w:color w:val="7030A0"/>
          <w:lang w:val="en-CA" w:eastAsia="en-CA"/>
        </w:rPr>
      </w:pPr>
      <w:r>
        <w:rPr>
          <w:b/>
          <w:lang w:val="en-CA" w:eastAsia="en-CA"/>
        </w:rPr>
        <w:t xml:space="preserve">Exempt Market: </w:t>
      </w:r>
      <w:r>
        <w:rPr>
          <w:lang w:val="en-CA" w:eastAsia="en-CA"/>
        </w:rPr>
        <w:t>If selling w/in closed system can issue securities w/o filing a prospectus (</w:t>
      </w:r>
      <w:r w:rsidRPr="00EB17CE">
        <w:rPr>
          <w:b/>
          <w:color w:val="7030A0"/>
          <w:lang w:val="en-CA" w:eastAsia="en-CA"/>
        </w:rPr>
        <w:t>NI 45-106</w:t>
      </w:r>
      <w:r>
        <w:rPr>
          <w:b/>
          <w:color w:val="7030A0"/>
          <w:lang w:val="en-CA" w:eastAsia="en-CA"/>
        </w:rPr>
        <w:t xml:space="preserve">). </w:t>
      </w:r>
    </w:p>
    <w:p w:rsidR="00B008AA" w:rsidRDefault="00B008AA" w:rsidP="00FF0B61">
      <w:pPr>
        <w:pStyle w:val="ListParagraph"/>
        <w:numPr>
          <w:ilvl w:val="0"/>
          <w:numId w:val="65"/>
        </w:numPr>
        <w:spacing w:after="0"/>
        <w:rPr>
          <w:lang w:val="en-CA" w:eastAsia="en-CA"/>
        </w:rPr>
      </w:pPr>
      <w:r w:rsidRPr="00B275E4">
        <w:rPr>
          <w:lang w:val="en-CA" w:eastAsia="en-CA"/>
        </w:rPr>
        <w:t xml:space="preserve">Less protection for investors </w:t>
      </w:r>
      <w:r w:rsidRPr="00B275E4">
        <w:rPr>
          <w:b/>
          <w:lang w:val="en-CA" w:eastAsia="en-CA"/>
        </w:rPr>
        <w:t xml:space="preserve">// </w:t>
      </w:r>
      <w:r w:rsidRPr="00B275E4">
        <w:rPr>
          <w:lang w:val="en-CA" w:eastAsia="en-CA"/>
        </w:rPr>
        <w:t xml:space="preserve">Markets are also less fair </w:t>
      </w:r>
      <w:r w:rsidRPr="00B275E4">
        <w:rPr>
          <w:b/>
          <w:lang w:val="en-CA" w:eastAsia="en-CA"/>
        </w:rPr>
        <w:t xml:space="preserve">// </w:t>
      </w:r>
      <w:r w:rsidRPr="00B275E4">
        <w:rPr>
          <w:lang w:val="en-CA" w:eastAsia="en-CA"/>
        </w:rPr>
        <w:t xml:space="preserve">More room to “game” the mrkt. </w:t>
      </w:r>
    </w:p>
    <w:p w:rsidR="00B008AA" w:rsidRDefault="00B008AA" w:rsidP="00FF0B61">
      <w:pPr>
        <w:pStyle w:val="ListParagraph"/>
        <w:numPr>
          <w:ilvl w:val="0"/>
          <w:numId w:val="65"/>
        </w:numPr>
        <w:spacing w:after="0"/>
        <w:rPr>
          <w:lang w:val="en-CA" w:eastAsia="en-CA"/>
        </w:rPr>
      </w:pPr>
      <w:r w:rsidRPr="00B275E4">
        <w:rPr>
          <w:b/>
          <w:i/>
          <w:lang w:val="en-CA" w:eastAsia="en-CA"/>
        </w:rPr>
        <w:t>Why needed</w:t>
      </w:r>
      <w:r w:rsidRPr="00B275E4">
        <w:rPr>
          <w:lang w:val="en-CA" w:eastAsia="en-CA"/>
        </w:rPr>
        <w:t xml:space="preserve"> </w:t>
      </w:r>
      <w:r w:rsidRPr="00B275E4">
        <w:rPr>
          <w:b/>
          <w:lang w:val="en-CA" w:eastAsia="en-CA"/>
        </w:rPr>
        <w:t>– i)</w:t>
      </w:r>
      <w:r w:rsidRPr="00B275E4">
        <w:rPr>
          <w:lang w:val="en-CA" w:eastAsia="en-CA"/>
        </w:rPr>
        <w:t xml:space="preserve"> Allows small companies to raise capital; </w:t>
      </w:r>
      <w:r w:rsidRPr="00B275E4">
        <w:rPr>
          <w:b/>
          <w:lang w:val="en-CA" w:eastAsia="en-CA"/>
        </w:rPr>
        <w:t>ii)</w:t>
      </w:r>
      <w:r w:rsidRPr="00B275E4">
        <w:rPr>
          <w:lang w:val="en-CA" w:eastAsia="en-CA"/>
        </w:rPr>
        <w:t xml:space="preserve"> People who invest in these markets are different (they may be safer, or we care about them less). </w:t>
      </w:r>
    </w:p>
    <w:p w:rsidR="004F47ED" w:rsidRDefault="004F47ED" w:rsidP="00FF0B61">
      <w:pPr>
        <w:spacing w:after="0" w:line="240" w:lineRule="auto"/>
        <w:rPr>
          <w:lang w:val="en-CA" w:eastAsia="en-CA"/>
        </w:rPr>
      </w:pPr>
    </w:p>
    <w:p w:rsidR="004F47ED" w:rsidRPr="003120AC" w:rsidRDefault="004F47ED" w:rsidP="00FF0B61">
      <w:pPr>
        <w:spacing w:after="0" w:line="240" w:lineRule="auto"/>
      </w:pPr>
      <w:r w:rsidRPr="00657D1D">
        <w:rPr>
          <w:b/>
          <w:lang w:val="en-CA" w:eastAsia="en-CA"/>
        </w:rPr>
        <w:t>CLOSED SYSTEM</w:t>
      </w:r>
      <w:r>
        <w:rPr>
          <w:b/>
          <w:lang w:val="en-CA" w:eastAsia="en-CA"/>
        </w:rPr>
        <w:t xml:space="preserve"> CONCEPT (replaces “to the public” idea)</w:t>
      </w:r>
      <w:r w:rsidRPr="00657D1D">
        <w:rPr>
          <w:b/>
          <w:lang w:val="en-CA" w:eastAsia="en-CA"/>
        </w:rPr>
        <w:t xml:space="preserve">: </w:t>
      </w:r>
      <w:r>
        <w:t>Model</w:t>
      </w:r>
      <w:r w:rsidRPr="003120AC">
        <w:t xml:space="preserve"> ensure</w:t>
      </w:r>
      <w:r>
        <w:t>s</w:t>
      </w:r>
      <w:r w:rsidRPr="003120AC">
        <w:t xml:space="preserve"> that securities cannot be traded without either a prospectus or an exemption from the prospectus requirement. </w:t>
      </w:r>
      <w:r w:rsidRPr="00495207">
        <w:rPr>
          <w:u w:val="single"/>
        </w:rPr>
        <w:t xml:space="preserve">Securityholders </w:t>
      </w:r>
      <w:r w:rsidRPr="00495207">
        <w:rPr>
          <w:b/>
          <w:i/>
        </w:rPr>
        <w:t>wishing to trade an exempt market security can</w:t>
      </w:r>
      <w:r w:rsidRPr="003120AC">
        <w:t>:</w:t>
      </w:r>
    </w:p>
    <w:p w:rsidR="004F47ED" w:rsidRPr="003120AC" w:rsidRDefault="004F47ED" w:rsidP="00FF0B61">
      <w:pPr>
        <w:pStyle w:val="ListParagraph"/>
        <w:numPr>
          <w:ilvl w:val="0"/>
          <w:numId w:val="64"/>
        </w:numPr>
        <w:spacing w:after="0"/>
      </w:pPr>
      <w:r w:rsidRPr="003120AC">
        <w:t xml:space="preserve">Continue to trade the security </w:t>
      </w:r>
      <w:r w:rsidRPr="004F47ED">
        <w:rPr>
          <w:b/>
        </w:rPr>
        <w:t>within the closed exempt market</w:t>
      </w:r>
      <w:r w:rsidRPr="003120AC">
        <w:t xml:space="preserve"> by relying on further exemptions</w:t>
      </w:r>
      <w:r>
        <w:t>;</w:t>
      </w:r>
    </w:p>
    <w:p w:rsidR="004F47ED" w:rsidRPr="003120AC" w:rsidRDefault="004F47ED" w:rsidP="00FF0B61">
      <w:pPr>
        <w:pStyle w:val="ListParagraph"/>
        <w:numPr>
          <w:ilvl w:val="0"/>
          <w:numId w:val="64"/>
        </w:numPr>
        <w:spacing w:after="0"/>
      </w:pPr>
      <w:r w:rsidRPr="003120AC">
        <w:t xml:space="preserve">The issuer </w:t>
      </w:r>
      <w:r w:rsidRPr="004F47ED">
        <w:rPr>
          <w:b/>
        </w:rPr>
        <w:t>may file a prospectus to qualify the securities already distributed</w:t>
      </w:r>
      <w:r w:rsidRPr="003120AC">
        <w:t xml:space="preserve"> (</w:t>
      </w:r>
      <w:r>
        <w:t>transforms securities from exempt mrkt to freely traded securities</w:t>
      </w:r>
      <w:r w:rsidRPr="003120AC">
        <w:t>)</w:t>
      </w:r>
      <w:r>
        <w:t>;</w:t>
      </w:r>
    </w:p>
    <w:p w:rsidR="004F47ED" w:rsidRPr="004F47ED" w:rsidRDefault="004F47ED" w:rsidP="00FF0B61">
      <w:pPr>
        <w:pStyle w:val="ListParagraph"/>
        <w:numPr>
          <w:ilvl w:val="0"/>
          <w:numId w:val="64"/>
        </w:numPr>
        <w:spacing w:after="0"/>
        <w:rPr>
          <w:b/>
        </w:rPr>
      </w:pPr>
      <w:r w:rsidRPr="004F47ED">
        <w:rPr>
          <w:b/>
        </w:rPr>
        <w:t>Under the resale rules in NI 45-102, the securityholder may hold the exempt securities until a specified ‘hold period’ expires.</w:t>
      </w:r>
    </w:p>
    <w:p w:rsidR="004F47ED" w:rsidRPr="004F47ED" w:rsidRDefault="004F47ED" w:rsidP="00FF0B61">
      <w:pPr>
        <w:spacing w:after="0" w:line="240" w:lineRule="auto"/>
        <w:rPr>
          <w:lang w:val="en-CA" w:eastAsia="en-CA"/>
        </w:rPr>
      </w:pPr>
    </w:p>
    <w:p w:rsidR="00B275E4" w:rsidRDefault="0085558B" w:rsidP="00FF0B61">
      <w:pPr>
        <w:spacing w:after="0" w:line="240" w:lineRule="auto"/>
        <w:rPr>
          <w:b/>
          <w:i/>
          <w:lang w:val="en-CA" w:eastAsia="en-CA"/>
        </w:rPr>
      </w:pPr>
      <w:r>
        <w:rPr>
          <w:b/>
          <w:lang w:val="en-CA" w:eastAsia="en-CA"/>
        </w:rPr>
        <w:t>RATIONALE</w:t>
      </w:r>
      <w:r w:rsidR="00954ED0">
        <w:rPr>
          <w:b/>
          <w:lang w:val="en-CA" w:eastAsia="en-CA"/>
        </w:rPr>
        <w:t xml:space="preserve"> (</w:t>
      </w:r>
      <w:r>
        <w:rPr>
          <w:b/>
          <w:i/>
          <w:lang w:val="en-CA" w:eastAsia="en-CA"/>
        </w:rPr>
        <w:t>5 Main Reasons</w:t>
      </w:r>
      <w:r w:rsidR="00700C09">
        <w:rPr>
          <w:b/>
          <w:i/>
          <w:lang w:val="en-CA" w:eastAsia="en-CA"/>
        </w:rPr>
        <w:t xml:space="preserve"> Exemptions</w:t>
      </w:r>
      <w:r w:rsidR="00954ED0">
        <w:rPr>
          <w:b/>
          <w:lang w:val="en-CA" w:eastAsia="en-CA"/>
        </w:rPr>
        <w:t>)</w:t>
      </w:r>
      <w:r w:rsidR="00700C09">
        <w:rPr>
          <w:b/>
          <w:i/>
          <w:lang w:val="en-CA" w:eastAsia="en-CA"/>
        </w:rPr>
        <w:t xml:space="preserve">: </w:t>
      </w:r>
    </w:p>
    <w:p w:rsidR="00B275E4" w:rsidRPr="003C005F" w:rsidRDefault="00B275E4" w:rsidP="00FF0B61">
      <w:pPr>
        <w:pStyle w:val="ListParagraph"/>
        <w:numPr>
          <w:ilvl w:val="0"/>
          <w:numId w:val="65"/>
        </w:numPr>
        <w:spacing w:after="0"/>
        <w:rPr>
          <w:lang w:val="en-CA" w:eastAsia="en-CA"/>
        </w:rPr>
      </w:pPr>
      <w:r>
        <w:rPr>
          <w:b/>
          <w:lang w:val="en-CA" w:eastAsia="en-CA"/>
        </w:rPr>
        <w:t xml:space="preserve">1) </w:t>
      </w:r>
      <w:r w:rsidR="00700C09" w:rsidRPr="00B275E4">
        <w:rPr>
          <w:lang w:val="en-CA" w:eastAsia="en-CA"/>
        </w:rPr>
        <w:t xml:space="preserve">Prospectus </w:t>
      </w:r>
      <w:r w:rsidR="00700C09" w:rsidRPr="00B275E4">
        <w:rPr>
          <w:u w:val="single"/>
          <w:lang w:val="en-CA" w:eastAsia="en-CA"/>
        </w:rPr>
        <w:t>takes time and money</w:t>
      </w:r>
      <w:r w:rsidR="003C005F">
        <w:rPr>
          <w:u w:val="single"/>
          <w:lang w:val="en-CA" w:eastAsia="en-CA"/>
        </w:rPr>
        <w:t>:</w:t>
      </w:r>
      <w:r w:rsidR="003C005F">
        <w:rPr>
          <w:lang w:val="en-CA" w:eastAsia="en-CA"/>
        </w:rPr>
        <w:t xml:space="preserve"> </w:t>
      </w:r>
      <w:r w:rsidR="003C005F">
        <w:rPr>
          <w:b/>
          <w:lang w:val="en-CA" w:eastAsia="en-CA"/>
        </w:rPr>
        <w:t>Costs</w:t>
      </w:r>
      <w:r w:rsidR="0033180C" w:rsidRPr="003C005F">
        <w:rPr>
          <w:lang w:val="en-CA" w:eastAsia="en-CA"/>
        </w:rPr>
        <w:t xml:space="preserve">: i) </w:t>
      </w:r>
      <w:r w:rsidR="008D24A6" w:rsidRPr="003C005F">
        <w:rPr>
          <w:lang w:val="en-CA" w:eastAsia="en-CA"/>
        </w:rPr>
        <w:t xml:space="preserve">Direct – out of pocket (commission to UW, fees, etc); </w:t>
      </w:r>
      <w:r w:rsidR="0033180C" w:rsidRPr="003C005F">
        <w:rPr>
          <w:lang w:val="en-CA" w:eastAsia="en-CA"/>
        </w:rPr>
        <w:t>ii</w:t>
      </w:r>
      <w:r w:rsidR="008D24A6" w:rsidRPr="003C005F">
        <w:rPr>
          <w:lang w:val="en-CA" w:eastAsia="en-CA"/>
        </w:rPr>
        <w:t>) Indirect – Searching for</w:t>
      </w:r>
      <w:r w:rsidR="0033180C" w:rsidRPr="003C005F">
        <w:rPr>
          <w:lang w:val="en-CA" w:eastAsia="en-CA"/>
        </w:rPr>
        <w:t xml:space="preserve"> UW and marketing; iii</w:t>
      </w:r>
      <w:r w:rsidR="008D24A6" w:rsidRPr="003C005F">
        <w:rPr>
          <w:lang w:val="en-CA" w:eastAsia="en-CA"/>
        </w:rPr>
        <w:t xml:space="preserve">) Intangible (shares immediately start trading above issuing price). </w:t>
      </w:r>
      <w:r w:rsidR="00700C09" w:rsidRPr="003C005F">
        <w:rPr>
          <w:lang w:val="en-CA" w:eastAsia="en-CA"/>
        </w:rPr>
        <w:t xml:space="preserve"> </w:t>
      </w:r>
    </w:p>
    <w:p w:rsidR="00B275E4" w:rsidRDefault="00700C09" w:rsidP="00FF0B61">
      <w:pPr>
        <w:pStyle w:val="ListParagraph"/>
        <w:numPr>
          <w:ilvl w:val="0"/>
          <w:numId w:val="65"/>
        </w:numPr>
        <w:spacing w:after="0"/>
        <w:rPr>
          <w:lang w:val="en-CA" w:eastAsia="en-CA"/>
        </w:rPr>
      </w:pPr>
      <w:r w:rsidRPr="00B275E4">
        <w:rPr>
          <w:b/>
          <w:lang w:val="en-CA" w:eastAsia="en-CA"/>
        </w:rPr>
        <w:t xml:space="preserve">2) </w:t>
      </w:r>
      <w:r w:rsidRPr="00B275E4">
        <w:rPr>
          <w:lang w:val="en-CA" w:eastAsia="en-CA"/>
        </w:rPr>
        <w:t xml:space="preserve">Exemption may be more appropriate if the issuer is offering securities only to a </w:t>
      </w:r>
      <w:r w:rsidRPr="00B275E4">
        <w:rPr>
          <w:u w:val="single"/>
          <w:lang w:val="en-CA" w:eastAsia="en-CA"/>
        </w:rPr>
        <w:t>narrow range of investors</w:t>
      </w:r>
      <w:r w:rsidRPr="00B275E4">
        <w:rPr>
          <w:lang w:val="en-CA" w:eastAsia="en-CA"/>
        </w:rPr>
        <w:t xml:space="preserve">; </w:t>
      </w:r>
    </w:p>
    <w:p w:rsidR="00B275E4" w:rsidRDefault="00700C09" w:rsidP="00FF0B61">
      <w:pPr>
        <w:pStyle w:val="ListParagraph"/>
        <w:numPr>
          <w:ilvl w:val="0"/>
          <w:numId w:val="65"/>
        </w:numPr>
        <w:spacing w:after="0"/>
        <w:rPr>
          <w:lang w:val="en-CA" w:eastAsia="en-CA"/>
        </w:rPr>
      </w:pPr>
      <w:r w:rsidRPr="00B275E4">
        <w:rPr>
          <w:b/>
          <w:lang w:val="en-CA" w:eastAsia="en-CA"/>
        </w:rPr>
        <w:t xml:space="preserve">3) </w:t>
      </w:r>
      <w:r w:rsidRPr="00B275E4">
        <w:rPr>
          <w:lang w:val="en-CA" w:eastAsia="en-CA"/>
        </w:rPr>
        <w:t xml:space="preserve">The Commissions </w:t>
      </w:r>
      <w:r w:rsidR="00BC44A4">
        <w:rPr>
          <w:u w:val="single"/>
          <w:lang w:val="en-CA" w:eastAsia="en-CA"/>
        </w:rPr>
        <w:t xml:space="preserve">not </w:t>
      </w:r>
      <w:r w:rsidRPr="00B275E4">
        <w:rPr>
          <w:u w:val="single"/>
          <w:lang w:val="en-CA" w:eastAsia="en-CA"/>
        </w:rPr>
        <w:t>willing to approve a prospectus</w:t>
      </w:r>
      <w:r w:rsidRPr="00B275E4">
        <w:rPr>
          <w:lang w:val="en-CA" w:eastAsia="en-CA"/>
        </w:rPr>
        <w:t xml:space="preserve"> or the issuer may be unable to satisfy the prospectus disclosure req’s; </w:t>
      </w:r>
    </w:p>
    <w:p w:rsidR="00B275E4" w:rsidRDefault="00700C09" w:rsidP="00FF0B61">
      <w:pPr>
        <w:pStyle w:val="ListParagraph"/>
        <w:numPr>
          <w:ilvl w:val="0"/>
          <w:numId w:val="65"/>
        </w:numPr>
        <w:spacing w:after="0"/>
        <w:rPr>
          <w:lang w:val="en-CA" w:eastAsia="en-CA"/>
        </w:rPr>
      </w:pPr>
      <w:r w:rsidRPr="00B275E4">
        <w:rPr>
          <w:b/>
          <w:lang w:val="en-CA" w:eastAsia="en-CA"/>
        </w:rPr>
        <w:t xml:space="preserve">4) </w:t>
      </w:r>
      <w:r w:rsidR="00B9632F">
        <w:rPr>
          <w:b/>
          <w:i/>
          <w:lang w:val="en-CA" w:eastAsia="en-CA"/>
        </w:rPr>
        <w:t>N</w:t>
      </w:r>
      <w:r w:rsidR="00BC44A4">
        <w:rPr>
          <w:b/>
          <w:i/>
          <w:lang w:val="en-CA" w:eastAsia="en-CA"/>
        </w:rPr>
        <w:t xml:space="preserve">ot </w:t>
      </w:r>
      <w:r w:rsidRPr="00B275E4">
        <w:rPr>
          <w:b/>
          <w:i/>
          <w:lang w:val="en-CA" w:eastAsia="en-CA"/>
        </w:rPr>
        <w:t>able</w:t>
      </w:r>
      <w:r w:rsidRPr="00B275E4">
        <w:rPr>
          <w:lang w:val="en-CA" w:eastAsia="en-CA"/>
        </w:rPr>
        <w:t xml:space="preserve"> to find a </w:t>
      </w:r>
      <w:r w:rsidRPr="00B275E4">
        <w:rPr>
          <w:u w:val="single"/>
          <w:lang w:val="en-CA" w:eastAsia="en-CA"/>
        </w:rPr>
        <w:t>registered dealer</w:t>
      </w:r>
      <w:r w:rsidRPr="00B275E4">
        <w:rPr>
          <w:lang w:val="en-CA" w:eastAsia="en-CA"/>
        </w:rPr>
        <w:t xml:space="preserve"> willing to sell securities through prospectus; </w:t>
      </w:r>
    </w:p>
    <w:p w:rsidR="00B275E4" w:rsidRDefault="00700C09" w:rsidP="00FF0B61">
      <w:pPr>
        <w:pStyle w:val="ListParagraph"/>
        <w:numPr>
          <w:ilvl w:val="0"/>
          <w:numId w:val="65"/>
        </w:numPr>
        <w:spacing w:after="0"/>
        <w:rPr>
          <w:lang w:val="en-CA" w:eastAsia="en-CA"/>
        </w:rPr>
      </w:pPr>
      <w:r w:rsidRPr="00B275E4">
        <w:rPr>
          <w:b/>
          <w:lang w:val="en-CA" w:eastAsia="en-CA"/>
        </w:rPr>
        <w:t xml:space="preserve">5) </w:t>
      </w:r>
      <w:r w:rsidRPr="00B275E4">
        <w:rPr>
          <w:lang w:val="en-CA" w:eastAsia="en-CA"/>
        </w:rPr>
        <w:t xml:space="preserve">The Issuer may </w:t>
      </w:r>
      <w:r w:rsidRPr="00B275E4">
        <w:rPr>
          <w:b/>
          <w:i/>
          <w:lang w:val="en-CA" w:eastAsia="en-CA"/>
        </w:rPr>
        <w:t>prefer not to become</w:t>
      </w:r>
      <w:r w:rsidRPr="00B275E4">
        <w:rPr>
          <w:lang w:val="en-CA" w:eastAsia="en-CA"/>
        </w:rPr>
        <w:t xml:space="preserve"> a RI </w:t>
      </w:r>
      <w:r w:rsidRPr="00B275E4">
        <w:rPr>
          <w:u w:val="single"/>
          <w:lang w:val="en-CA" w:eastAsia="en-CA"/>
        </w:rPr>
        <w:t>subject to continuous disclosure</w:t>
      </w:r>
      <w:r w:rsidRPr="00B275E4">
        <w:rPr>
          <w:lang w:val="en-CA" w:eastAsia="en-CA"/>
        </w:rPr>
        <w:t xml:space="preserve"> req’s. </w:t>
      </w:r>
    </w:p>
    <w:p w:rsidR="007C6D8A" w:rsidRDefault="007C6D8A" w:rsidP="00FF0B61">
      <w:pPr>
        <w:spacing w:after="0" w:line="240" w:lineRule="auto"/>
        <w:rPr>
          <w:lang w:val="en-CA" w:eastAsia="en-CA"/>
        </w:rPr>
      </w:pPr>
    </w:p>
    <w:p w:rsidR="00860D6A" w:rsidRPr="00860D6A" w:rsidRDefault="00860D6A" w:rsidP="00FF0B61">
      <w:pPr>
        <w:spacing w:after="0" w:line="240" w:lineRule="auto"/>
        <w:rPr>
          <w:b/>
          <w:lang w:val="en-CA" w:eastAsia="en-CA"/>
        </w:rPr>
      </w:pPr>
      <w:r>
        <w:rPr>
          <w:b/>
          <w:lang w:val="en-CA" w:eastAsia="en-CA"/>
        </w:rPr>
        <w:t xml:space="preserve">WHO NEEDS A PROSPECTUS: </w:t>
      </w:r>
      <w:r>
        <w:rPr>
          <w:lang w:val="en-CA" w:eastAsia="en-CA"/>
        </w:rPr>
        <w:t>Members of the Public (not ppl intimate with the issuer)</w:t>
      </w:r>
      <w:r w:rsidR="00604DF8">
        <w:rPr>
          <w:lang w:val="en-CA" w:eastAsia="en-CA"/>
        </w:rPr>
        <w:t xml:space="preserve"> </w:t>
      </w:r>
      <w:r>
        <w:rPr>
          <w:lang w:val="en-CA" w:eastAsia="en-CA"/>
        </w:rPr>
        <w:t>(</w:t>
      </w:r>
      <w:r w:rsidRPr="00860D6A">
        <w:rPr>
          <w:b/>
          <w:i/>
          <w:color w:val="1006E0"/>
          <w:lang w:val="en-CA" w:eastAsia="en-CA"/>
        </w:rPr>
        <w:t>Ralson Purina</w:t>
      </w:r>
      <w:r>
        <w:rPr>
          <w:b/>
          <w:lang w:val="en-CA" w:eastAsia="en-CA"/>
        </w:rPr>
        <w:t>)</w:t>
      </w:r>
    </w:p>
    <w:p w:rsidR="00CB5F43" w:rsidRDefault="007C6D8A" w:rsidP="00FF0B61">
      <w:pPr>
        <w:spacing w:after="0" w:line="240" w:lineRule="auto"/>
        <w:rPr>
          <w:lang w:val="en-CA" w:eastAsia="en-CA"/>
        </w:rPr>
      </w:pPr>
      <w:r>
        <w:rPr>
          <w:b/>
          <w:lang w:val="en-CA" w:eastAsia="en-CA"/>
        </w:rPr>
        <w:t xml:space="preserve">COMMON BONDS TEST: </w:t>
      </w:r>
      <w:r>
        <w:rPr>
          <w:lang w:val="en-CA" w:eastAsia="en-CA"/>
        </w:rPr>
        <w:t xml:space="preserve">They know each other well enough the investor would not be defrauded. </w:t>
      </w:r>
    </w:p>
    <w:p w:rsidR="009F3989" w:rsidRDefault="009F3989" w:rsidP="00FF0B61">
      <w:pPr>
        <w:spacing w:after="0" w:line="240" w:lineRule="auto"/>
        <w:rPr>
          <w:lang w:val="en-CA" w:eastAsia="en-CA"/>
        </w:rPr>
      </w:pPr>
    </w:p>
    <w:p w:rsidR="00A0707D" w:rsidRDefault="001E4DB6" w:rsidP="00FF0B61">
      <w:pPr>
        <w:pStyle w:val="Heading2"/>
        <w:spacing w:line="240" w:lineRule="auto"/>
        <w:rPr>
          <w:lang w:val="en-CA" w:eastAsia="en-CA"/>
        </w:rPr>
      </w:pPr>
      <w:bookmarkStart w:id="52" w:name="_Toc468980423"/>
      <w:r>
        <w:rPr>
          <w:lang w:val="en-CA" w:eastAsia="en-CA"/>
        </w:rPr>
        <w:t xml:space="preserve">TYPES OF </w:t>
      </w:r>
      <w:r w:rsidR="00C366E2">
        <w:rPr>
          <w:lang w:val="en-CA" w:eastAsia="en-CA"/>
        </w:rPr>
        <w:t>PROSPECTUS EXEMPTIONS:</w:t>
      </w:r>
      <w:bookmarkEnd w:id="52"/>
    </w:p>
    <w:p w:rsidR="00B2603F" w:rsidRDefault="00A01091" w:rsidP="00FF0B61">
      <w:pPr>
        <w:spacing w:after="0" w:line="240" w:lineRule="auto"/>
        <w:rPr>
          <w:lang w:val="en-CA" w:eastAsia="en-CA"/>
        </w:rPr>
      </w:pPr>
      <w:r>
        <w:rPr>
          <w:b/>
          <w:lang w:val="en-CA" w:eastAsia="en-CA"/>
        </w:rPr>
        <w:t xml:space="preserve">NB: </w:t>
      </w:r>
      <w:r w:rsidR="00B2603F">
        <w:rPr>
          <w:b/>
          <w:lang w:val="en-CA" w:eastAsia="en-CA"/>
        </w:rPr>
        <w:t>Discretionary Exemption (</w:t>
      </w:r>
      <w:r w:rsidR="00B2603F" w:rsidRPr="00B2603F">
        <w:rPr>
          <w:b/>
          <w:color w:val="C45911" w:themeColor="accent2" w:themeShade="BF"/>
          <w:lang w:val="en-CA" w:eastAsia="en-CA"/>
        </w:rPr>
        <w:t>BCSA 76</w:t>
      </w:r>
      <w:r w:rsidR="00B2603F">
        <w:rPr>
          <w:b/>
          <w:lang w:val="en-CA" w:eastAsia="en-CA"/>
        </w:rPr>
        <w:t xml:space="preserve">): </w:t>
      </w:r>
      <w:r w:rsidR="00B2603F">
        <w:rPr>
          <w:lang w:val="en-CA" w:eastAsia="en-CA"/>
        </w:rPr>
        <w:t xml:space="preserve">An issuer can request a discretionary exemption. Commission may allow exemption in certain circumstances where it is not prejudicial to the public interest. </w:t>
      </w:r>
    </w:p>
    <w:p w:rsidR="00A01091" w:rsidRPr="00A01091" w:rsidRDefault="00A01091" w:rsidP="00FF0B61">
      <w:pPr>
        <w:pStyle w:val="ListParagraph"/>
        <w:numPr>
          <w:ilvl w:val="0"/>
          <w:numId w:val="162"/>
        </w:numPr>
        <w:rPr>
          <w:lang w:val="en-CA" w:eastAsia="en-CA"/>
        </w:rPr>
      </w:pPr>
      <w:r w:rsidRPr="00A01091">
        <w:rPr>
          <w:b/>
          <w:i/>
          <w:color w:val="1006E0"/>
          <w:lang w:val="en-CA" w:eastAsia="en-CA"/>
        </w:rPr>
        <w:t>Re Uranium</w:t>
      </w:r>
      <w:r w:rsidRPr="00A01091">
        <w:rPr>
          <w:b/>
          <w:color w:val="1006E0"/>
          <w:lang w:val="en-CA" w:eastAsia="en-CA"/>
        </w:rPr>
        <w:t xml:space="preserve">: </w:t>
      </w:r>
      <w:r>
        <w:rPr>
          <w:lang w:val="en-CA" w:eastAsia="en-CA"/>
        </w:rPr>
        <w:t xml:space="preserve">Exemptions can be tailor-made to the situations of the company. </w:t>
      </w:r>
    </w:p>
    <w:p w:rsidR="007A6018" w:rsidRPr="007A6018" w:rsidRDefault="002A337F" w:rsidP="00FF0B61">
      <w:pPr>
        <w:pStyle w:val="Heading3"/>
        <w:spacing w:line="240" w:lineRule="auto"/>
        <w:rPr>
          <w:lang w:val="en-CA" w:eastAsia="en-CA"/>
        </w:rPr>
      </w:pPr>
      <w:bookmarkStart w:id="53" w:name="_Toc468980424"/>
      <w:r>
        <w:rPr>
          <w:lang w:val="en-CA" w:eastAsia="en-CA"/>
        </w:rPr>
        <w:t xml:space="preserve">(A) </w:t>
      </w:r>
      <w:r w:rsidR="00F935E9">
        <w:rPr>
          <w:lang w:val="en-CA" w:eastAsia="en-CA"/>
        </w:rPr>
        <w:t>No Need to Know: Purchaser already familiar w/ Issuer or Securities</w:t>
      </w:r>
      <w:r w:rsidR="00C366E2">
        <w:rPr>
          <w:lang w:val="en-CA" w:eastAsia="en-CA"/>
        </w:rPr>
        <w:t xml:space="preserve"> </w:t>
      </w:r>
      <w:r w:rsidR="007F4926">
        <w:rPr>
          <w:lang w:val="en-CA" w:eastAsia="en-CA"/>
        </w:rPr>
        <w:t>(</w:t>
      </w:r>
      <w:r w:rsidR="00872C94" w:rsidRPr="00872C94">
        <w:rPr>
          <w:color w:val="7030A0"/>
          <w:lang w:val="en-CA" w:eastAsia="en-CA"/>
        </w:rPr>
        <w:t>NI 45-106,</w:t>
      </w:r>
      <w:r w:rsidR="00872C94">
        <w:rPr>
          <w:b w:val="0"/>
          <w:color w:val="7030A0"/>
          <w:lang w:val="en-CA" w:eastAsia="en-CA"/>
        </w:rPr>
        <w:t xml:space="preserve"> </w:t>
      </w:r>
      <w:r w:rsidR="007F4926" w:rsidRPr="007F4926">
        <w:rPr>
          <w:color w:val="7030A0"/>
          <w:lang w:val="en-CA" w:eastAsia="en-CA"/>
        </w:rPr>
        <w:t>Part 2 Div 1</w:t>
      </w:r>
      <w:r w:rsidR="007F4926">
        <w:rPr>
          <w:lang w:val="en-CA" w:eastAsia="en-CA"/>
        </w:rPr>
        <w:t>)</w:t>
      </w:r>
      <w:bookmarkEnd w:id="53"/>
    </w:p>
    <w:p w:rsidR="004F183C" w:rsidRPr="002808E7" w:rsidRDefault="000751B3" w:rsidP="00FF0B61">
      <w:pPr>
        <w:spacing w:after="0" w:line="240" w:lineRule="auto"/>
      </w:pPr>
      <w:r>
        <w:rPr>
          <w:b/>
          <w:lang w:val="en-CA" w:eastAsia="en-CA"/>
        </w:rPr>
        <w:t>[</w:t>
      </w:r>
      <w:r w:rsidR="007A6018">
        <w:rPr>
          <w:b/>
          <w:lang w:val="en-CA" w:eastAsia="en-CA"/>
        </w:rPr>
        <w:t>1</w:t>
      </w:r>
      <w:r>
        <w:rPr>
          <w:b/>
          <w:lang w:val="en-CA" w:eastAsia="en-CA"/>
        </w:rPr>
        <w:t>]</w:t>
      </w:r>
      <w:r w:rsidR="007A6018" w:rsidRPr="00AE2346">
        <w:rPr>
          <w:b/>
          <w:lang w:val="en-CA" w:eastAsia="en-CA"/>
        </w:rPr>
        <w:t xml:space="preserve"> </w:t>
      </w:r>
      <w:r w:rsidR="00736CC2" w:rsidRPr="00AE2346">
        <w:rPr>
          <w:b/>
          <w:lang w:val="en-CA" w:eastAsia="en-CA"/>
        </w:rPr>
        <w:t>Rights Offering</w:t>
      </w:r>
      <w:r w:rsidR="00C5069D">
        <w:rPr>
          <w:b/>
          <w:lang w:val="en-CA" w:eastAsia="en-CA"/>
        </w:rPr>
        <w:t xml:space="preserve"> (</w:t>
      </w:r>
      <w:r w:rsidR="00CD0CB3" w:rsidRPr="00CD0CB3">
        <w:rPr>
          <w:b/>
          <w:color w:val="7030A0"/>
          <w:lang w:val="en-CA" w:eastAsia="en-CA"/>
        </w:rPr>
        <w:t>NI 45-106</w:t>
      </w:r>
      <w:r w:rsidR="00CD0CB3">
        <w:rPr>
          <w:color w:val="7030A0"/>
          <w:lang w:val="en-CA" w:eastAsia="en-CA"/>
        </w:rPr>
        <w:t xml:space="preserve"> </w:t>
      </w:r>
      <w:r w:rsidR="00FE0ACC">
        <w:rPr>
          <w:b/>
          <w:color w:val="7030A0"/>
          <w:lang w:val="en-CA" w:eastAsia="en-CA"/>
        </w:rPr>
        <w:t>s.</w:t>
      </w:r>
      <w:r w:rsidR="00C5069D" w:rsidRPr="00F935E9">
        <w:rPr>
          <w:b/>
          <w:color w:val="7030A0"/>
          <w:lang w:val="en-CA" w:eastAsia="en-CA"/>
        </w:rPr>
        <w:t>2.1</w:t>
      </w:r>
      <w:r w:rsidR="00C5069D">
        <w:rPr>
          <w:b/>
          <w:lang w:val="en-CA" w:eastAsia="en-CA"/>
        </w:rPr>
        <w:t>)</w:t>
      </w:r>
      <w:r w:rsidR="004F183C">
        <w:rPr>
          <w:b/>
          <w:lang w:val="en-CA" w:eastAsia="en-CA"/>
        </w:rPr>
        <w:t xml:space="preserve">: </w:t>
      </w:r>
      <w:r w:rsidR="004F183C" w:rsidRPr="003120AC">
        <w:t xml:space="preserve">A distribution to issuer’s existing security holders to purchase more shares of issuer on </w:t>
      </w:r>
      <w:r w:rsidR="004F183C" w:rsidRPr="005F61BE">
        <w:rPr>
          <w:u w:val="single"/>
        </w:rPr>
        <w:t>pro rata basis.</w:t>
      </w:r>
      <w:r w:rsidR="004F183C" w:rsidRPr="003120AC">
        <w:t xml:space="preserve"> </w:t>
      </w:r>
      <w:r w:rsidR="004F183C" w:rsidRPr="002808E7">
        <w:t xml:space="preserve">Fast way to raise capital. </w:t>
      </w:r>
      <w:r w:rsidR="004F183C" w:rsidRPr="002808E7">
        <w:rPr>
          <w:b/>
          <w:i/>
        </w:rPr>
        <w:t>Issuer must</w:t>
      </w:r>
      <w:r w:rsidR="004F183C" w:rsidRPr="002808E7">
        <w:t xml:space="preserve"> provide written notice of details of offering to regulator in advance of offering. Regulator has 10 days to raise any objections. </w:t>
      </w:r>
    </w:p>
    <w:p w:rsidR="003A1FAA" w:rsidRPr="002808E7" w:rsidRDefault="00E501F3" w:rsidP="00FF0B61">
      <w:pPr>
        <w:pStyle w:val="ListParagraph"/>
        <w:numPr>
          <w:ilvl w:val="0"/>
          <w:numId w:val="57"/>
        </w:numPr>
        <w:rPr>
          <w:b/>
          <w:lang w:val="en-CA" w:eastAsia="en-CA"/>
        </w:rPr>
      </w:pPr>
      <w:r w:rsidRPr="002808E7">
        <w:rPr>
          <w:b/>
          <w:lang w:val="en-CA" w:eastAsia="en-CA"/>
        </w:rPr>
        <w:t>P</w:t>
      </w:r>
      <w:r w:rsidR="003A1FAA" w:rsidRPr="002808E7">
        <w:rPr>
          <w:b/>
          <w:lang w:val="en-CA" w:eastAsia="en-CA"/>
        </w:rPr>
        <w:t>rospectus req’s does not apply to rights offering if</w:t>
      </w:r>
      <w:r w:rsidR="00D27E7F" w:rsidRPr="002808E7">
        <w:rPr>
          <w:lang w:val="en-CA" w:eastAsia="en-CA"/>
        </w:rPr>
        <w:t xml:space="preserve"> (</w:t>
      </w:r>
      <w:r w:rsidR="00D27E7F" w:rsidRPr="002808E7">
        <w:rPr>
          <w:b/>
          <w:color w:val="7030A0"/>
          <w:lang w:val="en-CA" w:eastAsia="en-CA"/>
        </w:rPr>
        <w:t>s.2.1(3))</w:t>
      </w:r>
      <w:r w:rsidR="003A1FAA" w:rsidRPr="002808E7">
        <w:rPr>
          <w:lang w:val="en-CA" w:eastAsia="en-CA"/>
        </w:rPr>
        <w:t xml:space="preserve">: </w:t>
      </w:r>
      <w:r w:rsidRPr="002808E7">
        <w:rPr>
          <w:b/>
          <w:lang w:val="en-CA" w:eastAsia="en-CA"/>
        </w:rPr>
        <w:t>a</w:t>
      </w:r>
      <w:r w:rsidR="003A1FAA" w:rsidRPr="002808E7">
        <w:rPr>
          <w:b/>
          <w:lang w:val="en-CA" w:eastAsia="en-CA"/>
        </w:rPr>
        <w:t>)</w:t>
      </w:r>
      <w:r w:rsidR="003A1FAA" w:rsidRPr="002808E7">
        <w:rPr>
          <w:lang w:val="en-CA" w:eastAsia="en-CA"/>
        </w:rPr>
        <w:t xml:space="preserve"> Issuer is a </w:t>
      </w:r>
      <w:r w:rsidR="00D27E7F" w:rsidRPr="002808E7">
        <w:rPr>
          <w:lang w:val="en-CA" w:eastAsia="en-CA"/>
        </w:rPr>
        <w:t>RI</w:t>
      </w:r>
      <w:r w:rsidR="003A1FAA" w:rsidRPr="002808E7">
        <w:rPr>
          <w:lang w:val="en-CA" w:eastAsia="en-CA"/>
        </w:rPr>
        <w:t xml:space="preserve"> in jurisdiction in CND; </w:t>
      </w:r>
      <w:r w:rsidRPr="002808E7">
        <w:rPr>
          <w:b/>
          <w:lang w:val="en-CA" w:eastAsia="en-CA"/>
        </w:rPr>
        <w:t>b</w:t>
      </w:r>
      <w:r w:rsidR="003A1FAA" w:rsidRPr="002808E7">
        <w:rPr>
          <w:b/>
          <w:lang w:val="en-CA" w:eastAsia="en-CA"/>
        </w:rPr>
        <w:t>)</w:t>
      </w:r>
      <w:r w:rsidR="003A1FAA" w:rsidRPr="002808E7">
        <w:rPr>
          <w:lang w:val="en-CA" w:eastAsia="en-CA"/>
        </w:rPr>
        <w:t xml:space="preserve"> Filed all periodic and timely disclosure requirements (not behind on their filings</w:t>
      </w:r>
      <w:r w:rsidRPr="002808E7">
        <w:rPr>
          <w:lang w:val="en-CA" w:eastAsia="en-CA"/>
        </w:rPr>
        <w:t xml:space="preserve">), </w:t>
      </w:r>
      <w:r w:rsidRPr="002808E7">
        <w:rPr>
          <w:b/>
          <w:lang w:val="en-CA" w:eastAsia="en-CA"/>
        </w:rPr>
        <w:t xml:space="preserve">c) </w:t>
      </w:r>
      <w:r w:rsidRPr="002808E7">
        <w:rPr>
          <w:lang w:val="en-CA" w:eastAsia="en-CA"/>
        </w:rPr>
        <w:t xml:space="preserve">File the rights offering and give ppl advanced warning; </w:t>
      </w:r>
      <w:r w:rsidR="00860D1C" w:rsidRPr="002808E7">
        <w:rPr>
          <w:b/>
          <w:lang w:val="en-CA" w:eastAsia="en-CA"/>
        </w:rPr>
        <w:t xml:space="preserve">d) </w:t>
      </w:r>
      <w:r w:rsidR="00860D1C" w:rsidRPr="002808E7">
        <w:rPr>
          <w:lang w:val="en-CA" w:eastAsia="en-CA"/>
        </w:rPr>
        <w:t xml:space="preserve">Concurrently w/ filing </w:t>
      </w:r>
      <w:r w:rsidR="00860D1C" w:rsidRPr="002808E7">
        <w:rPr>
          <w:lang w:val="en-CA" w:eastAsia="en-CA"/>
        </w:rPr>
        <w:lastRenderedPageBreak/>
        <w:t xml:space="preserve">the rights offering notice, issuer files a rights offering circular; </w:t>
      </w:r>
      <w:r w:rsidR="005F7A53" w:rsidRPr="002808E7">
        <w:rPr>
          <w:b/>
          <w:lang w:val="en-CA" w:eastAsia="en-CA"/>
        </w:rPr>
        <w:t xml:space="preserve">g) </w:t>
      </w:r>
      <w:r w:rsidR="00EC3834" w:rsidRPr="002808E7">
        <w:rPr>
          <w:lang w:val="en-CA" w:eastAsia="en-CA"/>
        </w:rPr>
        <w:t>The Subscription price</w:t>
      </w:r>
      <w:r w:rsidR="005F7A53" w:rsidRPr="002808E7">
        <w:rPr>
          <w:lang w:val="en-CA" w:eastAsia="en-CA"/>
        </w:rPr>
        <w:t xml:space="preserve"> you will pay for rights offering is: </w:t>
      </w:r>
      <w:r w:rsidR="005F7A53" w:rsidRPr="002808E7">
        <w:rPr>
          <w:b/>
          <w:lang w:val="en-CA" w:eastAsia="en-CA"/>
        </w:rPr>
        <w:t>i)</w:t>
      </w:r>
      <w:r w:rsidR="005F7A53" w:rsidRPr="002808E7">
        <w:rPr>
          <w:lang w:val="en-CA" w:eastAsia="en-CA"/>
        </w:rPr>
        <w:t xml:space="preserve"> </w:t>
      </w:r>
      <w:r w:rsidR="004E664D" w:rsidRPr="002808E7">
        <w:rPr>
          <w:lang w:val="en-CA" w:eastAsia="en-CA"/>
        </w:rPr>
        <w:t>I</w:t>
      </w:r>
      <w:r w:rsidR="005F7A53" w:rsidRPr="002808E7">
        <w:rPr>
          <w:lang w:val="en-CA" w:eastAsia="en-CA"/>
        </w:rPr>
        <w:t xml:space="preserve">f there is </w:t>
      </w:r>
      <w:r w:rsidR="00D76EBE" w:rsidRPr="002808E7">
        <w:rPr>
          <w:lang w:val="en-CA" w:eastAsia="en-CA"/>
        </w:rPr>
        <w:t xml:space="preserve">a published mrkt (e.g. TSX) = </w:t>
      </w:r>
      <w:r w:rsidR="004E664D" w:rsidRPr="002808E7">
        <w:rPr>
          <w:lang w:val="en-CA" w:eastAsia="en-CA"/>
        </w:rPr>
        <w:t>P</w:t>
      </w:r>
      <w:r w:rsidR="005F7A53" w:rsidRPr="002808E7">
        <w:rPr>
          <w:lang w:val="en-CA" w:eastAsia="en-CA"/>
        </w:rPr>
        <w:t xml:space="preserve">rice of rights are lower than mrkt price </w:t>
      </w:r>
      <w:r w:rsidR="004E664D" w:rsidRPr="002808E7">
        <w:rPr>
          <w:b/>
          <w:lang w:val="en-CA" w:eastAsia="en-CA"/>
        </w:rPr>
        <w:t>OR</w:t>
      </w:r>
      <w:r w:rsidR="005F7A53" w:rsidRPr="002808E7">
        <w:rPr>
          <w:b/>
          <w:lang w:val="en-CA" w:eastAsia="en-CA"/>
        </w:rPr>
        <w:t xml:space="preserve"> ii)</w:t>
      </w:r>
      <w:r w:rsidR="005F7A53" w:rsidRPr="002808E7">
        <w:rPr>
          <w:lang w:val="en-CA" w:eastAsia="en-CA"/>
        </w:rPr>
        <w:t xml:space="preserve"> </w:t>
      </w:r>
      <w:r w:rsidR="004E664D" w:rsidRPr="002808E7">
        <w:rPr>
          <w:lang w:val="en-CA" w:eastAsia="en-CA"/>
        </w:rPr>
        <w:t>If no published mrkt = Price is lower than the fair value of the securit</w:t>
      </w:r>
      <w:r w:rsidR="005B77DA" w:rsidRPr="002808E7">
        <w:rPr>
          <w:lang w:val="en-CA" w:eastAsia="en-CA"/>
        </w:rPr>
        <w:t xml:space="preserve">y. </w:t>
      </w:r>
    </w:p>
    <w:p w:rsidR="00F22A50" w:rsidRPr="000B0F2A" w:rsidRDefault="00F22A50" w:rsidP="00FF0B61">
      <w:pPr>
        <w:pStyle w:val="ListParagraph"/>
        <w:numPr>
          <w:ilvl w:val="0"/>
          <w:numId w:val="57"/>
        </w:numPr>
        <w:rPr>
          <w:b/>
          <w:lang w:val="en-CA" w:eastAsia="en-CA"/>
        </w:rPr>
      </w:pPr>
      <w:r w:rsidRPr="002808E7">
        <w:rPr>
          <w:lang w:val="en-CA" w:eastAsia="en-CA"/>
        </w:rPr>
        <w:t>On closing</w:t>
      </w:r>
      <w:r w:rsidRPr="000B0F2A">
        <w:rPr>
          <w:lang w:val="en-CA" w:eastAsia="en-CA"/>
        </w:rPr>
        <w:t xml:space="preserve"> date of i</w:t>
      </w:r>
      <w:r w:rsidR="000B0F2A" w:rsidRPr="000B0F2A">
        <w:rPr>
          <w:lang w:val="en-CA" w:eastAsia="en-CA"/>
        </w:rPr>
        <w:t>s</w:t>
      </w:r>
      <w:r w:rsidR="00F1589C">
        <w:rPr>
          <w:lang w:val="en-CA" w:eastAsia="en-CA"/>
        </w:rPr>
        <w:t xml:space="preserve">sue, must issue a </w:t>
      </w:r>
      <w:r w:rsidR="00F1589C" w:rsidRPr="00F1589C">
        <w:rPr>
          <w:b/>
          <w:i/>
          <w:lang w:val="en-CA" w:eastAsia="en-CA"/>
        </w:rPr>
        <w:t>news release</w:t>
      </w:r>
      <w:r w:rsidR="00F1589C">
        <w:rPr>
          <w:lang w:val="en-CA" w:eastAsia="en-CA"/>
        </w:rPr>
        <w:t xml:space="preserve"> (</w:t>
      </w:r>
      <w:r w:rsidR="00F1589C" w:rsidRPr="000B0F2A">
        <w:rPr>
          <w:b/>
          <w:color w:val="7030A0"/>
          <w:lang w:val="en-CA" w:eastAsia="en-CA"/>
        </w:rPr>
        <w:t>s.2.1(5)</w:t>
      </w:r>
      <w:r w:rsidR="00F1589C">
        <w:rPr>
          <w:b/>
          <w:color w:val="7030A0"/>
          <w:lang w:val="en-CA" w:eastAsia="en-CA"/>
        </w:rPr>
        <w:t>)</w:t>
      </w:r>
    </w:p>
    <w:p w:rsidR="00F93825" w:rsidRDefault="000751B3" w:rsidP="00FF0B61">
      <w:pPr>
        <w:spacing w:after="0" w:line="240" w:lineRule="auto"/>
        <w:rPr>
          <w:lang w:val="en-CA" w:eastAsia="en-CA"/>
        </w:rPr>
      </w:pPr>
      <w:r w:rsidRPr="002A1D0D">
        <w:rPr>
          <w:b/>
          <w:lang w:val="en-CA" w:eastAsia="en-CA"/>
        </w:rPr>
        <w:t xml:space="preserve">[2] </w:t>
      </w:r>
      <w:r w:rsidR="0010617E" w:rsidRPr="002A1D0D">
        <w:rPr>
          <w:b/>
          <w:lang w:val="en-CA" w:eastAsia="en-CA"/>
        </w:rPr>
        <w:t>Reinvestment Plan</w:t>
      </w:r>
      <w:r w:rsidR="00C5069D" w:rsidRPr="002A1D0D">
        <w:rPr>
          <w:b/>
          <w:lang w:val="en-CA" w:eastAsia="en-CA"/>
        </w:rPr>
        <w:t xml:space="preserve"> (</w:t>
      </w:r>
      <w:r w:rsidR="00EC5A52" w:rsidRPr="002A1D0D">
        <w:rPr>
          <w:b/>
          <w:color w:val="7030A0"/>
          <w:lang w:val="en-CA" w:eastAsia="en-CA"/>
        </w:rPr>
        <w:t>NI 45-106</w:t>
      </w:r>
      <w:r w:rsidR="00EC5A52" w:rsidRPr="002A1D0D">
        <w:rPr>
          <w:color w:val="7030A0"/>
          <w:lang w:val="en-CA" w:eastAsia="en-CA"/>
        </w:rPr>
        <w:t xml:space="preserve"> </w:t>
      </w:r>
      <w:r w:rsidR="00FE0ACC" w:rsidRPr="002A1D0D">
        <w:rPr>
          <w:b/>
          <w:color w:val="7030A0"/>
          <w:lang w:val="en-CA" w:eastAsia="en-CA"/>
        </w:rPr>
        <w:t>s.</w:t>
      </w:r>
      <w:r w:rsidR="00C5069D" w:rsidRPr="002A1D0D">
        <w:rPr>
          <w:b/>
          <w:color w:val="7030A0"/>
          <w:lang w:val="en-CA" w:eastAsia="en-CA"/>
        </w:rPr>
        <w:t>2.2</w:t>
      </w:r>
      <w:r w:rsidR="00C5069D" w:rsidRPr="002A1D0D">
        <w:rPr>
          <w:b/>
          <w:lang w:val="en-CA" w:eastAsia="en-CA"/>
        </w:rPr>
        <w:t>)</w:t>
      </w:r>
      <w:r w:rsidR="0010617E" w:rsidRPr="002A1D0D">
        <w:rPr>
          <w:b/>
          <w:lang w:val="en-CA" w:eastAsia="en-CA"/>
        </w:rPr>
        <w:t xml:space="preserve">: </w:t>
      </w:r>
      <w:r w:rsidR="00DA2D00" w:rsidRPr="002A1D0D">
        <w:rPr>
          <w:lang w:val="en-CA" w:eastAsia="en-CA"/>
        </w:rPr>
        <w:t xml:space="preserve">If you get dividends from the co, these are </w:t>
      </w:r>
      <w:r w:rsidR="00DA2D00" w:rsidRPr="002A1D0D">
        <w:rPr>
          <w:b/>
          <w:i/>
          <w:lang w:val="en-CA" w:eastAsia="en-CA"/>
        </w:rPr>
        <w:t>automatically rolled into buying more shares</w:t>
      </w:r>
      <w:r w:rsidR="002A1D0D" w:rsidRPr="002A1D0D">
        <w:rPr>
          <w:lang w:val="en-CA" w:eastAsia="en-CA"/>
        </w:rPr>
        <w:t xml:space="preserve"> in the company (Must meet requirements of </w:t>
      </w:r>
      <w:r w:rsidR="002A1D0D" w:rsidRPr="002A1D0D">
        <w:rPr>
          <w:b/>
          <w:color w:val="7030A0"/>
          <w:lang w:val="en-CA" w:eastAsia="en-CA"/>
        </w:rPr>
        <w:t>s.2.2(1)-(5)</w:t>
      </w:r>
      <w:r w:rsidR="002A1D0D" w:rsidRPr="002A1D0D">
        <w:rPr>
          <w:lang w:val="en-CA" w:eastAsia="en-CA"/>
        </w:rPr>
        <w:t>)</w:t>
      </w:r>
    </w:p>
    <w:p w:rsidR="00F93825" w:rsidRDefault="00F93825" w:rsidP="00FF0B61">
      <w:pPr>
        <w:pStyle w:val="ListParagraph"/>
        <w:numPr>
          <w:ilvl w:val="0"/>
          <w:numId w:val="66"/>
        </w:numPr>
        <w:spacing w:after="0"/>
        <w:rPr>
          <w:lang w:val="en-CA" w:eastAsia="en-CA"/>
        </w:rPr>
      </w:pPr>
      <w:r w:rsidRPr="00F93825">
        <w:rPr>
          <w:b/>
          <w:lang w:val="en-CA" w:eastAsia="en-CA"/>
        </w:rPr>
        <w:t>Don’t need prospectus as</w:t>
      </w:r>
      <w:r w:rsidRPr="00F93825">
        <w:rPr>
          <w:lang w:val="en-CA" w:eastAsia="en-CA"/>
        </w:rPr>
        <w:t xml:space="preserve">: Securityholders already hold securities and have access to relevant info; and since automatic there is no choice being made, so does not require disclosure to make an informed choice. </w:t>
      </w:r>
    </w:p>
    <w:p w:rsidR="00555349" w:rsidRDefault="00555349" w:rsidP="00FF0B61">
      <w:pPr>
        <w:spacing w:after="0" w:line="240" w:lineRule="auto"/>
        <w:rPr>
          <w:b/>
          <w:lang w:val="en-CA" w:eastAsia="en-CA"/>
        </w:rPr>
      </w:pPr>
    </w:p>
    <w:p w:rsidR="00555349" w:rsidRPr="00F75324" w:rsidRDefault="00555349" w:rsidP="00FF0B61">
      <w:pPr>
        <w:spacing w:after="0" w:line="240" w:lineRule="auto"/>
        <w:rPr>
          <w:b/>
          <w:lang w:val="en-CA" w:eastAsia="en-CA"/>
        </w:rPr>
      </w:pPr>
      <w:r w:rsidRPr="00954CA4">
        <w:rPr>
          <w:b/>
          <w:lang w:val="en-CA" w:eastAsia="en-CA"/>
        </w:rPr>
        <w:t>[3] Private Issuer (</w:t>
      </w:r>
      <w:r w:rsidRPr="00954CA4">
        <w:rPr>
          <w:b/>
          <w:color w:val="7030A0"/>
          <w:lang w:val="en-CA" w:eastAsia="en-CA"/>
        </w:rPr>
        <w:t>NI 45-106</w:t>
      </w:r>
      <w:r w:rsidRPr="00954CA4">
        <w:rPr>
          <w:color w:val="7030A0"/>
          <w:lang w:val="en-CA" w:eastAsia="en-CA"/>
        </w:rPr>
        <w:t xml:space="preserve"> </w:t>
      </w:r>
      <w:r w:rsidRPr="00954CA4">
        <w:rPr>
          <w:b/>
          <w:color w:val="7030A0"/>
          <w:lang w:val="en-CA" w:eastAsia="en-CA"/>
        </w:rPr>
        <w:t>2.4</w:t>
      </w:r>
      <w:r w:rsidRPr="00954CA4">
        <w:rPr>
          <w:b/>
          <w:lang w:val="en-CA" w:eastAsia="en-CA"/>
        </w:rPr>
        <w:t xml:space="preserve">) – </w:t>
      </w:r>
      <w:r w:rsidRPr="00954CA4">
        <w:rPr>
          <w:lang w:val="en-CA" w:eastAsia="en-CA"/>
        </w:rPr>
        <w:t>Private issuer is</w:t>
      </w:r>
      <w:r w:rsidRPr="00954CA4">
        <w:rPr>
          <w:b/>
          <w:lang w:val="en-CA" w:eastAsia="en-CA"/>
        </w:rPr>
        <w:t xml:space="preserve"> a)</w:t>
      </w:r>
      <w:r w:rsidR="00954CA4">
        <w:rPr>
          <w:lang w:val="en-CA" w:eastAsia="en-CA"/>
        </w:rPr>
        <w:t xml:space="preserve"> Not a RI or investment fund, </w:t>
      </w:r>
      <w:r w:rsidR="00954CA4">
        <w:rPr>
          <w:b/>
          <w:lang w:val="en-CA" w:eastAsia="en-CA"/>
        </w:rPr>
        <w:t xml:space="preserve">b) </w:t>
      </w:r>
      <w:r w:rsidR="00954CA4">
        <w:rPr>
          <w:lang w:val="en-CA" w:eastAsia="en-CA"/>
        </w:rPr>
        <w:t xml:space="preserve">has </w:t>
      </w:r>
      <w:r w:rsidR="00954CA4" w:rsidRPr="00F75324">
        <w:rPr>
          <w:u w:val="single"/>
          <w:lang w:val="en-CA" w:eastAsia="en-CA"/>
        </w:rPr>
        <w:t>50 or fewer securityholders</w:t>
      </w:r>
      <w:r w:rsidR="00954CA4">
        <w:rPr>
          <w:lang w:val="en-CA" w:eastAsia="en-CA"/>
        </w:rPr>
        <w:t xml:space="preserve">, </w:t>
      </w:r>
      <w:r w:rsidR="00954CA4">
        <w:rPr>
          <w:b/>
          <w:lang w:val="en-CA" w:eastAsia="en-CA"/>
        </w:rPr>
        <w:t xml:space="preserve">and c) </w:t>
      </w:r>
      <w:r w:rsidR="00954CA4">
        <w:rPr>
          <w:lang w:val="en-CA" w:eastAsia="en-CA"/>
        </w:rPr>
        <w:t>constating d</w:t>
      </w:r>
      <w:r w:rsidR="00954CA4" w:rsidRPr="00F75324">
        <w:rPr>
          <w:lang w:val="en-CA" w:eastAsia="en-CA"/>
        </w:rPr>
        <w:t>ocument restricts the right of securityholders</w:t>
      </w:r>
      <w:r w:rsidR="0093211E" w:rsidRPr="00F75324">
        <w:rPr>
          <w:lang w:val="en-CA" w:eastAsia="en-CA"/>
        </w:rPr>
        <w:t xml:space="preserve"> to transfer its securities (</w:t>
      </w:r>
      <w:r w:rsidR="0093211E" w:rsidRPr="00F75324">
        <w:rPr>
          <w:b/>
          <w:color w:val="7030A0"/>
          <w:lang w:val="en-CA" w:eastAsia="en-CA"/>
        </w:rPr>
        <w:t>s.2.4(1)</w:t>
      </w:r>
      <w:r w:rsidR="0093211E" w:rsidRPr="00F75324">
        <w:rPr>
          <w:b/>
          <w:lang w:val="en-CA" w:eastAsia="en-CA"/>
        </w:rPr>
        <w:t>)</w:t>
      </w:r>
      <w:r w:rsidR="00F75324">
        <w:rPr>
          <w:lang w:val="en-CA" w:eastAsia="en-CA"/>
        </w:rPr>
        <w:t xml:space="preserve"> </w:t>
      </w:r>
      <w:r w:rsidR="00F75324" w:rsidRPr="00F75324">
        <w:rPr>
          <w:lang w:val="en-CA" w:eastAsia="en-CA"/>
        </w:rPr>
        <w:sym w:font="Wingdings" w:char="F0E0"/>
      </w:r>
      <w:r w:rsidR="00F75324">
        <w:rPr>
          <w:lang w:val="en-CA" w:eastAsia="en-CA"/>
        </w:rPr>
        <w:t xml:space="preserve"> </w:t>
      </w:r>
      <w:r w:rsidR="00975F2F">
        <w:rPr>
          <w:b/>
          <w:lang w:val="en-CA" w:eastAsia="en-CA"/>
        </w:rPr>
        <w:t>D</w:t>
      </w:r>
      <w:r w:rsidR="00F75324">
        <w:rPr>
          <w:b/>
          <w:lang w:val="en-CA" w:eastAsia="en-CA"/>
        </w:rPr>
        <w:t>efined around the small # of securityholders.</w:t>
      </w:r>
    </w:p>
    <w:p w:rsidR="00F75324" w:rsidRPr="00F75324" w:rsidRDefault="00555349" w:rsidP="00FF0B61">
      <w:pPr>
        <w:pStyle w:val="ListParagraph"/>
        <w:numPr>
          <w:ilvl w:val="0"/>
          <w:numId w:val="66"/>
        </w:numPr>
        <w:spacing w:after="0"/>
        <w:rPr>
          <w:lang w:val="en-CA" w:eastAsia="en-CA"/>
        </w:rPr>
      </w:pPr>
      <w:r w:rsidRPr="00AF3C6F">
        <w:rPr>
          <w:b/>
          <w:lang w:val="en-CA" w:eastAsia="en-CA"/>
        </w:rPr>
        <w:t>There is a list of ppl who can get</w:t>
      </w:r>
      <w:r w:rsidRPr="00F75324">
        <w:rPr>
          <w:lang w:val="en-CA" w:eastAsia="en-CA"/>
        </w:rPr>
        <w:t xml:space="preserve">: </w:t>
      </w:r>
      <w:r w:rsidR="007527D2">
        <w:rPr>
          <w:lang w:val="en-CA" w:eastAsia="en-CA"/>
        </w:rPr>
        <w:t>EE’s/OFR’s/DIRs as well as their family/close personal friends/close biz associates</w:t>
      </w:r>
      <w:r w:rsidRPr="00F75324">
        <w:rPr>
          <w:lang w:val="en-CA" w:eastAsia="en-CA"/>
        </w:rPr>
        <w:t xml:space="preserve"> (</w:t>
      </w:r>
      <w:r w:rsidR="008B059F">
        <w:rPr>
          <w:b/>
          <w:color w:val="7030A0"/>
          <w:lang w:val="en-CA" w:eastAsia="en-CA"/>
        </w:rPr>
        <w:t>2.4(2)(a-l</w:t>
      </w:r>
      <w:r w:rsidRPr="00F75324">
        <w:rPr>
          <w:b/>
          <w:color w:val="7030A0"/>
          <w:lang w:val="en-CA" w:eastAsia="en-CA"/>
        </w:rPr>
        <w:t>)</w:t>
      </w:r>
      <w:r w:rsidRPr="00F75324">
        <w:rPr>
          <w:lang w:val="en-CA" w:eastAsia="en-CA"/>
        </w:rPr>
        <w:t xml:space="preserve">). </w:t>
      </w:r>
    </w:p>
    <w:p w:rsidR="00AF09A6" w:rsidRPr="00AF09A6" w:rsidRDefault="00AF09A6" w:rsidP="00FF0B61">
      <w:pPr>
        <w:pStyle w:val="Normal1"/>
        <w:widowControl w:val="0"/>
        <w:numPr>
          <w:ilvl w:val="1"/>
          <w:numId w:val="66"/>
        </w:numPr>
        <w:spacing w:line="240" w:lineRule="auto"/>
        <w:contextualSpacing/>
        <w:rPr>
          <w:rFonts w:asciiTheme="minorHAnsi" w:hAnsiTheme="minorHAnsi"/>
          <w:b/>
          <w:sz w:val="18"/>
          <w:szCs w:val="20"/>
        </w:rPr>
      </w:pPr>
      <w:r w:rsidRPr="00AF09A6">
        <w:rPr>
          <w:rFonts w:asciiTheme="minorHAnsi" w:hAnsiTheme="minorHAnsi"/>
          <w:b/>
          <w:sz w:val="18"/>
          <w:szCs w:val="20"/>
        </w:rPr>
        <w:t>NOTE:</w:t>
      </w:r>
      <w:r w:rsidRPr="00AF09A6">
        <w:rPr>
          <w:rFonts w:asciiTheme="minorHAnsi" w:hAnsiTheme="minorHAnsi"/>
          <w:sz w:val="18"/>
          <w:szCs w:val="20"/>
        </w:rPr>
        <w:t xml:space="preserve"> can issue securities under this exemption to persons not enumerated if you can satisfy the requirement that they are </w:t>
      </w:r>
      <w:r w:rsidRPr="0055014A">
        <w:rPr>
          <w:rFonts w:asciiTheme="minorHAnsi" w:hAnsiTheme="minorHAnsi"/>
          <w:sz w:val="18"/>
          <w:szCs w:val="20"/>
          <w:u w:val="single"/>
        </w:rPr>
        <w:t>not members of the public</w:t>
      </w:r>
      <w:r w:rsidRPr="00AF09A6">
        <w:rPr>
          <w:rFonts w:asciiTheme="minorHAnsi" w:hAnsiTheme="minorHAnsi"/>
          <w:sz w:val="18"/>
          <w:szCs w:val="20"/>
        </w:rPr>
        <w:t xml:space="preserve"> re: </w:t>
      </w:r>
      <w:r w:rsidR="00AE2D7A" w:rsidRPr="00AE2D7A">
        <w:rPr>
          <w:rFonts w:asciiTheme="minorHAnsi" w:hAnsiTheme="minorHAnsi"/>
          <w:b/>
          <w:color w:val="7030A0"/>
          <w:sz w:val="18"/>
          <w:szCs w:val="20"/>
        </w:rPr>
        <w:t>2.4(2)</w:t>
      </w:r>
      <w:r w:rsidRPr="00AE2D7A">
        <w:rPr>
          <w:rFonts w:asciiTheme="minorHAnsi" w:hAnsiTheme="minorHAnsi"/>
          <w:b/>
          <w:color w:val="7030A0"/>
          <w:sz w:val="18"/>
          <w:szCs w:val="20"/>
        </w:rPr>
        <w:t>(l)</w:t>
      </w:r>
    </w:p>
    <w:p w:rsidR="008B059F" w:rsidRPr="008B059F" w:rsidRDefault="008B059F" w:rsidP="00FF0B61">
      <w:pPr>
        <w:pStyle w:val="Normal1"/>
        <w:widowControl w:val="0"/>
        <w:numPr>
          <w:ilvl w:val="1"/>
          <w:numId w:val="66"/>
        </w:numPr>
        <w:spacing w:line="240" w:lineRule="auto"/>
        <w:contextualSpacing/>
        <w:rPr>
          <w:rFonts w:asciiTheme="minorHAnsi" w:hAnsiTheme="minorHAnsi"/>
          <w:sz w:val="18"/>
          <w:szCs w:val="18"/>
        </w:rPr>
      </w:pPr>
      <w:r w:rsidRPr="0055014A">
        <w:rPr>
          <w:rFonts w:asciiTheme="minorHAnsi" w:hAnsiTheme="minorHAnsi"/>
          <w:b/>
          <w:i/>
          <w:sz w:val="18"/>
          <w:szCs w:val="18"/>
        </w:rPr>
        <w:t>Policy rationale:</w:t>
      </w:r>
      <w:r w:rsidRPr="0055014A">
        <w:rPr>
          <w:rFonts w:asciiTheme="minorHAnsi" w:hAnsiTheme="minorHAnsi"/>
          <w:sz w:val="18"/>
          <w:szCs w:val="18"/>
        </w:rPr>
        <w:t xml:space="preserve"> These</w:t>
      </w:r>
      <w:r w:rsidRPr="008B059F">
        <w:rPr>
          <w:rFonts w:asciiTheme="minorHAnsi" w:hAnsiTheme="minorHAnsi"/>
          <w:sz w:val="18"/>
          <w:szCs w:val="18"/>
        </w:rPr>
        <w:t xml:space="preserve"> persons are in a position to know the issuer or to find out about it without requiring a prospectus to provide the info. The test for who constitutes “the public” has been set out in various cases, but is largely contextual. </w:t>
      </w:r>
    </w:p>
    <w:p w:rsidR="00F75324" w:rsidRPr="0097490F" w:rsidRDefault="00555349" w:rsidP="00FF0B61">
      <w:pPr>
        <w:pStyle w:val="ListParagraph"/>
        <w:numPr>
          <w:ilvl w:val="2"/>
          <w:numId w:val="66"/>
        </w:numPr>
        <w:spacing w:after="0"/>
        <w:rPr>
          <w:lang w:val="en-CA" w:eastAsia="en-CA"/>
        </w:rPr>
      </w:pPr>
      <w:r w:rsidRPr="0097490F">
        <w:rPr>
          <w:b/>
          <w:lang w:val="en-CA" w:eastAsia="en-CA"/>
        </w:rPr>
        <w:t xml:space="preserve">Need to Know Test: </w:t>
      </w:r>
      <w:r w:rsidRPr="0097490F">
        <w:rPr>
          <w:lang w:val="en-CA" w:eastAsia="en-CA"/>
        </w:rPr>
        <w:t xml:space="preserve">Categories of ppl who can invest in exempt mrkt are those </w:t>
      </w:r>
      <w:r w:rsidRPr="0097490F">
        <w:rPr>
          <w:u w:val="single"/>
          <w:lang w:val="en-CA" w:eastAsia="en-CA"/>
        </w:rPr>
        <w:t>who do not need to know</w:t>
      </w:r>
      <w:r w:rsidRPr="0097490F">
        <w:rPr>
          <w:lang w:val="en-CA" w:eastAsia="en-CA"/>
        </w:rPr>
        <w:t xml:space="preserve"> everything that would be in disclosure; thus not “the public” (</w:t>
      </w:r>
      <w:r w:rsidRPr="0097490F">
        <w:rPr>
          <w:b/>
          <w:i/>
          <w:color w:val="1006E0"/>
          <w:lang w:val="en-CA" w:eastAsia="en-CA"/>
        </w:rPr>
        <w:t xml:space="preserve">Ralson Purina </w:t>
      </w:r>
      <w:r w:rsidRPr="0097490F">
        <w:rPr>
          <w:b/>
          <w:i/>
          <w:lang w:val="en-CA" w:eastAsia="en-CA"/>
        </w:rPr>
        <w:t xml:space="preserve">– </w:t>
      </w:r>
      <w:r w:rsidRPr="0097490F">
        <w:rPr>
          <w:i/>
          <w:lang w:val="en-CA" w:eastAsia="en-CA"/>
        </w:rPr>
        <w:t>co offered SH’s to EE’s</w:t>
      </w:r>
      <w:r w:rsidRPr="0097490F">
        <w:rPr>
          <w:lang w:val="en-CA" w:eastAsia="en-CA"/>
        </w:rPr>
        <w:t>)</w:t>
      </w:r>
    </w:p>
    <w:p w:rsidR="00555349" w:rsidRPr="00395739" w:rsidRDefault="00555349" w:rsidP="00FF0B61">
      <w:pPr>
        <w:pStyle w:val="ListParagraph"/>
        <w:numPr>
          <w:ilvl w:val="2"/>
          <w:numId w:val="66"/>
        </w:numPr>
        <w:spacing w:after="0"/>
        <w:rPr>
          <w:lang w:val="en-CA" w:eastAsia="en-CA"/>
        </w:rPr>
      </w:pPr>
      <w:r w:rsidRPr="008109D8">
        <w:rPr>
          <w:b/>
          <w:u w:val="single"/>
          <w:lang w:val="en-CA" w:eastAsia="en-CA"/>
        </w:rPr>
        <w:t>Common Bonds Test</w:t>
      </w:r>
      <w:r w:rsidRPr="008109D8">
        <w:rPr>
          <w:u w:val="single"/>
          <w:lang w:val="en-CA" w:eastAsia="en-CA"/>
        </w:rPr>
        <w:t>:</w:t>
      </w:r>
      <w:r w:rsidRPr="0097490F">
        <w:rPr>
          <w:lang w:val="en-CA" w:eastAsia="en-CA"/>
        </w:rPr>
        <w:t xml:space="preserve"> the public is those who are not in any sense friends of associates of the issuer, or persons having common bonds of interest or association (</w:t>
      </w:r>
      <w:r w:rsidRPr="0097490F">
        <w:rPr>
          <w:b/>
          <w:i/>
          <w:color w:val="1006E0"/>
          <w:lang w:val="en-CA" w:eastAsia="en-CA"/>
        </w:rPr>
        <w:t xml:space="preserve">Piepgrass, </w:t>
      </w:r>
      <w:r w:rsidRPr="0097490F">
        <w:rPr>
          <w:b/>
          <w:color w:val="1006E0"/>
          <w:lang w:val="en-CA" w:eastAsia="en-CA"/>
        </w:rPr>
        <w:t xml:space="preserve">ABCA – </w:t>
      </w:r>
      <w:r w:rsidRPr="0097490F">
        <w:rPr>
          <w:i/>
          <w:lang w:val="en-CA" w:eastAsia="en-CA"/>
        </w:rPr>
        <w:t>Fellow</w:t>
      </w:r>
      <w:r w:rsidR="000137FD">
        <w:rPr>
          <w:i/>
          <w:lang w:val="en-CA" w:eastAsia="en-CA"/>
        </w:rPr>
        <w:t xml:space="preserve"> farmers</w:t>
      </w:r>
      <w:r w:rsidRPr="0097490F">
        <w:rPr>
          <w:i/>
          <w:lang w:val="en-CA" w:eastAsia="en-CA"/>
        </w:rPr>
        <w:t xml:space="preserve"> not enough to constitute common bond</w:t>
      </w:r>
      <w:r w:rsidRPr="0097490F">
        <w:rPr>
          <w:b/>
          <w:lang w:val="en-CA" w:eastAsia="en-CA"/>
        </w:rPr>
        <w:t xml:space="preserve">). </w:t>
      </w:r>
    </w:p>
    <w:p w:rsidR="00395739" w:rsidRPr="00395739" w:rsidRDefault="00395739" w:rsidP="00FF0B61">
      <w:pPr>
        <w:pStyle w:val="ListParagraph"/>
        <w:numPr>
          <w:ilvl w:val="0"/>
          <w:numId w:val="66"/>
        </w:numPr>
        <w:rPr>
          <w:b/>
          <w:lang w:val="en-CA" w:eastAsia="en-CA"/>
        </w:rPr>
      </w:pPr>
      <w:r w:rsidRPr="00AF3C6F">
        <w:rPr>
          <w:b/>
          <w:lang w:val="en-CA" w:eastAsia="en-CA"/>
        </w:rPr>
        <w:t>Other req’s:</w:t>
      </w:r>
      <w:r w:rsidRPr="00395739">
        <w:rPr>
          <w:lang w:val="en-CA" w:eastAsia="en-CA"/>
        </w:rPr>
        <w:t xml:space="preserve"> No commission or finders fee can apply.</w:t>
      </w:r>
    </w:p>
    <w:p w:rsidR="00B86F40" w:rsidRPr="008B5976" w:rsidRDefault="00555349" w:rsidP="00FF0B61">
      <w:pPr>
        <w:spacing w:after="0" w:line="240" w:lineRule="auto"/>
        <w:rPr>
          <w:b/>
          <w:lang w:val="en-CA" w:eastAsia="en-CA"/>
        </w:rPr>
      </w:pPr>
      <w:r w:rsidRPr="008B5976">
        <w:rPr>
          <w:b/>
          <w:lang w:val="en-CA" w:eastAsia="en-CA"/>
        </w:rPr>
        <w:t>[4</w:t>
      </w:r>
      <w:r w:rsidR="00B86F40" w:rsidRPr="008B5976">
        <w:rPr>
          <w:b/>
          <w:lang w:val="en-CA" w:eastAsia="en-CA"/>
        </w:rPr>
        <w:t>] Friends, Family and Business Associates (</w:t>
      </w:r>
      <w:r w:rsidR="00EC5A52" w:rsidRPr="008B5976">
        <w:rPr>
          <w:b/>
          <w:color w:val="7030A0"/>
          <w:lang w:val="en-CA" w:eastAsia="en-CA"/>
        </w:rPr>
        <w:t>NI 45-106</w:t>
      </w:r>
      <w:r w:rsidR="00EC5A52" w:rsidRPr="008B5976">
        <w:rPr>
          <w:color w:val="7030A0"/>
          <w:lang w:val="en-CA" w:eastAsia="en-CA"/>
        </w:rPr>
        <w:t xml:space="preserve"> </w:t>
      </w:r>
      <w:r w:rsidR="00585B68" w:rsidRPr="008B5976">
        <w:rPr>
          <w:b/>
          <w:color w:val="7030A0"/>
          <w:lang w:val="en-CA" w:eastAsia="en-CA"/>
        </w:rPr>
        <w:t>s.</w:t>
      </w:r>
      <w:r w:rsidR="00B86F40" w:rsidRPr="008B5976">
        <w:rPr>
          <w:b/>
          <w:color w:val="7030A0"/>
          <w:lang w:val="en-CA" w:eastAsia="en-CA"/>
        </w:rPr>
        <w:t>2.5</w:t>
      </w:r>
      <w:r w:rsidR="00B86F40" w:rsidRPr="008B5976">
        <w:rPr>
          <w:b/>
          <w:lang w:val="en-CA" w:eastAsia="en-CA"/>
        </w:rPr>
        <w:t>)</w:t>
      </w:r>
    </w:p>
    <w:p w:rsidR="00144E89" w:rsidRPr="002541D3" w:rsidRDefault="00D83319" w:rsidP="00FF0B61">
      <w:pPr>
        <w:pStyle w:val="ListParagraph"/>
        <w:numPr>
          <w:ilvl w:val="0"/>
          <w:numId w:val="58"/>
        </w:numPr>
        <w:rPr>
          <w:b/>
          <w:lang w:val="en-CA" w:eastAsia="en-CA"/>
        </w:rPr>
      </w:pPr>
      <w:r w:rsidRPr="00D83319">
        <w:rPr>
          <w:lang w:val="en-CA" w:eastAsia="en-CA"/>
        </w:rPr>
        <w:t xml:space="preserve">A distribution to “family,” “close personal friends” or “close business associates” of the </w:t>
      </w:r>
      <w:r w:rsidRPr="009A0268">
        <w:rPr>
          <w:b/>
          <w:lang w:val="en-CA" w:eastAsia="en-CA"/>
        </w:rPr>
        <w:t>issuer’s DIRs/Exe OFRs/Control Person</w:t>
      </w:r>
      <w:r>
        <w:rPr>
          <w:lang w:val="en-CA" w:eastAsia="en-CA"/>
        </w:rPr>
        <w:t xml:space="preserve"> is exempt. </w:t>
      </w:r>
      <w:r w:rsidR="007813A9">
        <w:rPr>
          <w:lang w:val="en-CA" w:eastAsia="en-CA"/>
        </w:rPr>
        <w:t xml:space="preserve">Not available in ONT. </w:t>
      </w:r>
      <w:r w:rsidR="00144E89" w:rsidRPr="002541D3">
        <w:rPr>
          <w:lang w:val="en-CA" w:eastAsia="en-CA"/>
        </w:rPr>
        <w:t>No restriction on the number of investors to whom securities may be sold</w:t>
      </w:r>
    </w:p>
    <w:p w:rsidR="00984B1F" w:rsidRDefault="006D42DB" w:rsidP="00FF0B61">
      <w:pPr>
        <w:pStyle w:val="ListParagraph"/>
        <w:numPr>
          <w:ilvl w:val="0"/>
          <w:numId w:val="58"/>
        </w:numPr>
        <w:rPr>
          <w:b/>
          <w:lang w:val="en-CA" w:eastAsia="en-CA"/>
        </w:rPr>
      </w:pPr>
      <w:r w:rsidRPr="00EC1DF1">
        <w:rPr>
          <w:b/>
          <w:lang w:val="en-CA" w:eastAsia="en-CA"/>
        </w:rPr>
        <w:t>There is an e</w:t>
      </w:r>
      <w:r w:rsidR="002541D3" w:rsidRPr="00EC1DF1">
        <w:rPr>
          <w:b/>
          <w:lang w:val="en-CA" w:eastAsia="en-CA"/>
        </w:rPr>
        <w:t>xhaustive list of who qualifies (</w:t>
      </w:r>
      <w:r w:rsidR="002541D3" w:rsidRPr="00051E00">
        <w:rPr>
          <w:b/>
          <w:color w:val="7030A0"/>
          <w:lang w:val="en-CA" w:eastAsia="en-CA"/>
        </w:rPr>
        <w:t>s.2.5(1)</w:t>
      </w:r>
      <w:r w:rsidR="00757C3D">
        <w:rPr>
          <w:b/>
          <w:color w:val="7030A0"/>
          <w:lang w:val="en-CA" w:eastAsia="en-CA"/>
        </w:rPr>
        <w:t>(a-i)</w:t>
      </w:r>
      <w:r w:rsidR="002541D3" w:rsidRPr="00051E00">
        <w:rPr>
          <w:b/>
          <w:lang w:val="en-CA" w:eastAsia="en-CA"/>
        </w:rPr>
        <w:t>)</w:t>
      </w:r>
      <w:r w:rsidR="003B58F2">
        <w:rPr>
          <w:b/>
          <w:lang w:val="en-CA" w:eastAsia="en-CA"/>
        </w:rPr>
        <w:t xml:space="preserve"> </w:t>
      </w:r>
      <w:r w:rsidR="00A37B54">
        <w:rPr>
          <w:lang w:val="en-CA" w:eastAsia="en-CA"/>
        </w:rPr>
        <w:t>(2 degrees up and down (</w:t>
      </w:r>
      <w:r w:rsidR="00EC1DF1">
        <w:rPr>
          <w:lang w:val="en-CA" w:eastAsia="en-CA"/>
        </w:rPr>
        <w:t>p</w:t>
      </w:r>
      <w:r w:rsidR="003B58F2">
        <w:rPr>
          <w:lang w:val="en-CA" w:eastAsia="en-CA"/>
        </w:rPr>
        <w:t>arents, grandparents, children and grandchildren); 1 degree side-ways (</w:t>
      </w:r>
      <w:r w:rsidR="00A37B54">
        <w:rPr>
          <w:lang w:val="en-CA" w:eastAsia="en-CA"/>
        </w:rPr>
        <w:t>siblings, spouse</w:t>
      </w:r>
      <w:r w:rsidR="003B58F2">
        <w:rPr>
          <w:lang w:val="en-CA" w:eastAsia="en-CA"/>
        </w:rPr>
        <w:t>) in relationship to ppl in co).</w:t>
      </w:r>
    </w:p>
    <w:p w:rsidR="002541D3" w:rsidRPr="00946494" w:rsidRDefault="00051E00" w:rsidP="00FF0B61">
      <w:pPr>
        <w:pStyle w:val="ListParagraph"/>
        <w:numPr>
          <w:ilvl w:val="0"/>
          <w:numId w:val="58"/>
        </w:numPr>
        <w:rPr>
          <w:b/>
          <w:lang w:val="en-CA" w:eastAsia="en-CA"/>
        </w:rPr>
      </w:pPr>
      <w:r w:rsidRPr="00EC1DF1">
        <w:rPr>
          <w:b/>
          <w:lang w:val="en-CA" w:eastAsia="en-CA"/>
        </w:rPr>
        <w:t xml:space="preserve">Determination of “close personal friend” and “close business associate” requires a </w:t>
      </w:r>
      <w:r w:rsidR="002B1382" w:rsidRPr="00EC1DF1">
        <w:rPr>
          <w:b/>
          <w:lang w:val="en-CA" w:eastAsia="en-CA"/>
        </w:rPr>
        <w:t>subjective analysis</w:t>
      </w:r>
      <w:r w:rsidR="00EC1DF1">
        <w:rPr>
          <w:lang w:val="en-CA" w:eastAsia="en-CA"/>
        </w:rPr>
        <w:t>:</w:t>
      </w:r>
    </w:p>
    <w:p w:rsidR="00946494" w:rsidRPr="002B3EA7" w:rsidRDefault="00946494" w:rsidP="00FF0B61">
      <w:pPr>
        <w:pStyle w:val="ListParagraph"/>
        <w:numPr>
          <w:ilvl w:val="1"/>
          <w:numId w:val="58"/>
        </w:numPr>
        <w:rPr>
          <w:b/>
          <w:lang w:val="en-CA" w:eastAsia="en-CA"/>
        </w:rPr>
      </w:pPr>
      <w:r w:rsidRPr="002B3EA7">
        <w:rPr>
          <w:b/>
          <w:lang w:val="en-CA" w:eastAsia="en-CA"/>
        </w:rPr>
        <w:t>“Close Personal Friend”</w:t>
      </w:r>
      <w:r>
        <w:rPr>
          <w:lang w:val="en-CA" w:eastAsia="en-CA"/>
        </w:rPr>
        <w:t xml:space="preserve"> is one who has known the person in question (e.g. DIR) long enough to be in a position to assess that persons </w:t>
      </w:r>
      <w:r w:rsidR="003C4C57">
        <w:rPr>
          <w:lang w:val="en-CA" w:eastAsia="en-CA"/>
        </w:rPr>
        <w:t>capabilities</w:t>
      </w:r>
      <w:r>
        <w:rPr>
          <w:lang w:val="en-CA" w:eastAsia="en-CA"/>
        </w:rPr>
        <w:t xml:space="preserve"> and trustworthiness. </w:t>
      </w:r>
      <w:r w:rsidR="002B3EA7">
        <w:rPr>
          <w:lang w:val="en-CA" w:eastAsia="en-CA"/>
        </w:rPr>
        <w:t xml:space="preserve">Must be a direct relationship. </w:t>
      </w:r>
      <w:r w:rsidR="002B3EA7" w:rsidRPr="003120AC">
        <w:t>Not simply b/c related, belong to same org, or used to work together. Must look at the length and nature of relationship, and the amount of friends that have been distributed to</w:t>
      </w:r>
      <w:r w:rsidR="007327CB">
        <w:t xml:space="preserve"> (</w:t>
      </w:r>
      <w:r w:rsidR="007327CB">
        <w:rPr>
          <w:b/>
          <w:color w:val="7030A0"/>
        </w:rPr>
        <w:t xml:space="preserve">45-106CP s.2.7). </w:t>
      </w:r>
    </w:p>
    <w:p w:rsidR="002B3EA7" w:rsidRPr="00651963" w:rsidRDefault="001F439B" w:rsidP="00FF0B61">
      <w:pPr>
        <w:pStyle w:val="ListParagraph"/>
        <w:numPr>
          <w:ilvl w:val="1"/>
          <w:numId w:val="58"/>
        </w:numPr>
        <w:rPr>
          <w:b/>
          <w:lang w:val="en-CA" w:eastAsia="en-CA"/>
        </w:rPr>
      </w:pPr>
      <w:r>
        <w:rPr>
          <w:b/>
          <w:lang w:val="en-CA" w:eastAsia="en-CA"/>
        </w:rPr>
        <w:t xml:space="preserve">“Close Business Associate” </w:t>
      </w:r>
      <w:r w:rsidR="007327CB" w:rsidRPr="003120AC">
        <w:t>sufficient prior b</w:t>
      </w:r>
      <w:r w:rsidR="007327CB">
        <w:t>usiness dealings with a DIR</w:t>
      </w:r>
      <w:r w:rsidR="007327CB" w:rsidRPr="003120AC">
        <w:t xml:space="preserve">, </w:t>
      </w:r>
      <w:r w:rsidR="007327CB">
        <w:t>OFR</w:t>
      </w:r>
      <w:r w:rsidR="007327CB" w:rsidRPr="003120AC">
        <w:t xml:space="preserve">, founder or control person of issuer to be in a position to assess that person’s capabilities and trustworthiness. Look at the length of time the associate knew the </w:t>
      </w:r>
      <w:r w:rsidR="007327CB">
        <w:t>DIR</w:t>
      </w:r>
      <w:r w:rsidR="00657CB6">
        <w:t xml:space="preserve"> (etc)</w:t>
      </w:r>
      <w:r w:rsidR="007327CB">
        <w:t>, when business K</w:t>
      </w:r>
      <w:r w:rsidR="00657CB6">
        <w:t>’</w:t>
      </w:r>
      <w:r w:rsidR="007327CB" w:rsidRPr="003120AC">
        <w:t>s between the two sta</w:t>
      </w:r>
      <w:r w:rsidR="00984B1F">
        <w:t>rted, and the amount of K</w:t>
      </w:r>
      <w:r w:rsidR="007327CB" w:rsidRPr="003120AC">
        <w:t>s done, and the number of business associates the registrant relied on</w:t>
      </w:r>
      <w:r w:rsidR="007327CB">
        <w:t xml:space="preserve"> (</w:t>
      </w:r>
      <w:r w:rsidR="007327CB" w:rsidRPr="007327CB">
        <w:rPr>
          <w:b/>
          <w:color w:val="7030A0"/>
        </w:rPr>
        <w:t>45-106CP s.2.8</w:t>
      </w:r>
      <w:r w:rsidR="007327CB">
        <w:rPr>
          <w:b/>
        </w:rPr>
        <w:t>)</w:t>
      </w:r>
    </w:p>
    <w:p w:rsidR="00651963" w:rsidRPr="00946494" w:rsidRDefault="00651963" w:rsidP="00FF0B61">
      <w:pPr>
        <w:pStyle w:val="ListParagraph"/>
        <w:numPr>
          <w:ilvl w:val="2"/>
          <w:numId w:val="58"/>
        </w:numPr>
        <w:rPr>
          <w:b/>
          <w:lang w:val="en-CA" w:eastAsia="en-CA"/>
        </w:rPr>
      </w:pPr>
      <w:r>
        <w:rPr>
          <w:b/>
        </w:rPr>
        <w:t xml:space="preserve">Insufficient: </w:t>
      </w:r>
      <w:r>
        <w:t>to rely on statement signed by a purchaser that they are a “close personal friend” or “biz assoc”</w:t>
      </w:r>
    </w:p>
    <w:p w:rsidR="005A52D9" w:rsidRPr="00EA4787" w:rsidRDefault="005A52D9" w:rsidP="00FF0B61">
      <w:pPr>
        <w:pStyle w:val="ListParagraph"/>
        <w:numPr>
          <w:ilvl w:val="0"/>
          <w:numId w:val="58"/>
        </w:numPr>
        <w:rPr>
          <w:b/>
          <w:lang w:val="en-CA" w:eastAsia="en-CA"/>
        </w:rPr>
      </w:pPr>
      <w:r w:rsidRPr="00144FC8">
        <w:rPr>
          <w:b/>
          <w:lang w:val="en-CA" w:eastAsia="en-CA"/>
        </w:rPr>
        <w:t>Other req’s:</w:t>
      </w:r>
      <w:r w:rsidRPr="00EA4787">
        <w:rPr>
          <w:lang w:val="en-CA" w:eastAsia="en-CA"/>
        </w:rPr>
        <w:t xml:space="preserve"> No commission or finders fee can apply </w:t>
      </w:r>
      <w:r w:rsidR="0024166B" w:rsidRPr="00EA4787">
        <w:rPr>
          <w:lang w:val="en-CA" w:eastAsia="en-CA"/>
        </w:rPr>
        <w:t>(</w:t>
      </w:r>
      <w:r w:rsidR="0024166B" w:rsidRPr="00EA4787">
        <w:rPr>
          <w:b/>
          <w:lang w:val="en-CA" w:eastAsia="en-CA"/>
        </w:rPr>
        <w:t xml:space="preserve">e.g. </w:t>
      </w:r>
      <w:r w:rsidR="0024166B" w:rsidRPr="00EA4787">
        <w:rPr>
          <w:lang w:val="en-CA" w:eastAsia="en-CA"/>
        </w:rPr>
        <w:t>Issuer cannot locate long-lost grandchild and try and sell securities as defeats the reasoning behind this)</w:t>
      </w:r>
      <w:r w:rsidR="00AF3C6F">
        <w:rPr>
          <w:lang w:val="en-CA" w:eastAsia="en-CA"/>
        </w:rPr>
        <w:t xml:space="preserve">. </w:t>
      </w:r>
    </w:p>
    <w:p w:rsidR="003F123C" w:rsidRPr="003F123C" w:rsidRDefault="00555349" w:rsidP="00FF0B61">
      <w:pPr>
        <w:spacing w:after="0" w:line="240" w:lineRule="auto"/>
        <w:rPr>
          <w:lang w:val="en-CA" w:eastAsia="en-CA"/>
        </w:rPr>
      </w:pPr>
      <w:r w:rsidRPr="00333CD5">
        <w:rPr>
          <w:b/>
          <w:lang w:val="en-CA" w:eastAsia="en-CA"/>
        </w:rPr>
        <w:t>[5</w:t>
      </w:r>
      <w:r w:rsidR="00333CD5" w:rsidRPr="00333CD5">
        <w:rPr>
          <w:b/>
          <w:lang w:val="en-CA" w:eastAsia="en-CA"/>
        </w:rPr>
        <w:t>] Affiliate Exemption</w:t>
      </w:r>
      <w:r w:rsidR="005A0EA5" w:rsidRPr="00333CD5">
        <w:rPr>
          <w:b/>
          <w:lang w:val="en-CA" w:eastAsia="en-CA"/>
        </w:rPr>
        <w:t xml:space="preserve"> (</w:t>
      </w:r>
      <w:r w:rsidR="005A0EA5" w:rsidRPr="00333CD5">
        <w:rPr>
          <w:b/>
          <w:color w:val="7030A0"/>
          <w:lang w:val="en-CA" w:eastAsia="en-CA"/>
        </w:rPr>
        <w:t>NI 45-106</w:t>
      </w:r>
      <w:r w:rsidR="005A0EA5" w:rsidRPr="00333CD5">
        <w:rPr>
          <w:color w:val="7030A0"/>
          <w:lang w:val="en-CA" w:eastAsia="en-CA"/>
        </w:rPr>
        <w:t xml:space="preserve"> </w:t>
      </w:r>
      <w:r w:rsidR="00333CD5" w:rsidRPr="00333CD5">
        <w:rPr>
          <w:b/>
          <w:color w:val="7030A0"/>
          <w:lang w:val="en-CA" w:eastAsia="en-CA"/>
        </w:rPr>
        <w:t>s.</w:t>
      </w:r>
      <w:r w:rsidR="005A0EA5" w:rsidRPr="00333CD5">
        <w:rPr>
          <w:b/>
          <w:color w:val="7030A0"/>
          <w:lang w:val="en-CA" w:eastAsia="en-CA"/>
        </w:rPr>
        <w:t>2.8</w:t>
      </w:r>
      <w:r w:rsidR="003F123C">
        <w:rPr>
          <w:b/>
          <w:lang w:val="en-CA" w:eastAsia="en-CA"/>
        </w:rPr>
        <w:t xml:space="preserve">): </w:t>
      </w:r>
      <w:r w:rsidR="003F123C">
        <w:rPr>
          <w:lang w:val="en-CA" w:eastAsia="en-CA"/>
        </w:rPr>
        <w:t xml:space="preserve">Distribution to an “affiliate” of an issuer is an exempt distribution. </w:t>
      </w:r>
    </w:p>
    <w:p w:rsidR="002625B4" w:rsidRPr="00990647" w:rsidRDefault="005A0EA5" w:rsidP="00FF0B61">
      <w:pPr>
        <w:pStyle w:val="ListParagraph"/>
        <w:numPr>
          <w:ilvl w:val="0"/>
          <w:numId w:val="61"/>
        </w:numPr>
        <w:rPr>
          <w:b/>
          <w:lang w:val="en-CA" w:eastAsia="en-CA"/>
        </w:rPr>
      </w:pPr>
      <w:r w:rsidRPr="00DE6A4A">
        <w:rPr>
          <w:b/>
          <w:lang w:val="en-CA" w:eastAsia="en-CA"/>
        </w:rPr>
        <w:t>“</w:t>
      </w:r>
      <w:r w:rsidR="003F123C" w:rsidRPr="00DE6A4A">
        <w:rPr>
          <w:b/>
          <w:lang w:val="en-CA" w:eastAsia="en-CA"/>
        </w:rPr>
        <w:t>A</w:t>
      </w:r>
      <w:r w:rsidRPr="00DE6A4A">
        <w:rPr>
          <w:b/>
          <w:lang w:val="en-CA" w:eastAsia="en-CA"/>
        </w:rPr>
        <w:t>ffiliate”</w:t>
      </w:r>
      <w:r w:rsidR="003F123C" w:rsidRPr="00DE6A4A">
        <w:rPr>
          <w:b/>
          <w:lang w:val="en-CA" w:eastAsia="en-CA"/>
        </w:rPr>
        <w:t xml:space="preserve"> (</w:t>
      </w:r>
      <w:r w:rsidR="003F123C" w:rsidRPr="00DE6A4A">
        <w:rPr>
          <w:b/>
          <w:color w:val="7030A0"/>
          <w:lang w:val="en-CA" w:eastAsia="en-CA"/>
        </w:rPr>
        <w:t>s.1.3</w:t>
      </w:r>
      <w:r w:rsidR="003F123C" w:rsidRPr="00DE6A4A">
        <w:rPr>
          <w:b/>
          <w:lang w:val="en-CA" w:eastAsia="en-CA"/>
        </w:rPr>
        <w:t>)</w:t>
      </w:r>
      <w:r w:rsidRPr="00DE6A4A">
        <w:rPr>
          <w:b/>
          <w:lang w:val="en-CA" w:eastAsia="en-CA"/>
        </w:rPr>
        <w:t>:</w:t>
      </w:r>
      <w:r w:rsidRPr="00DE6A4A">
        <w:rPr>
          <w:lang w:val="en-CA" w:eastAsia="en-CA"/>
        </w:rPr>
        <w:t xml:space="preserve"> </w:t>
      </w:r>
      <w:r w:rsidR="00DE6A4A" w:rsidRPr="00DE6A4A">
        <w:rPr>
          <w:lang w:val="en-CA" w:eastAsia="en-CA"/>
        </w:rPr>
        <w:t>Company is an affiliate of an issuer if one is a subsidiary of the other, or if each is control</w:t>
      </w:r>
      <w:r w:rsidR="008A2DCD">
        <w:rPr>
          <w:lang w:val="en-CA" w:eastAsia="en-CA"/>
        </w:rPr>
        <w:t xml:space="preserve">led by the same person </w:t>
      </w:r>
      <w:r w:rsidR="008A2DCD">
        <w:rPr>
          <w:b/>
          <w:lang w:val="en-CA" w:eastAsia="en-CA"/>
        </w:rPr>
        <w:t xml:space="preserve">// </w:t>
      </w:r>
      <w:r w:rsidR="00F738C5">
        <w:rPr>
          <w:b/>
          <w:lang w:val="en-CA" w:eastAsia="en-CA"/>
        </w:rPr>
        <w:t xml:space="preserve">Rationale: </w:t>
      </w:r>
      <w:r w:rsidR="002625B4" w:rsidRPr="008A2DCD">
        <w:rPr>
          <w:lang w:val="en-CA" w:eastAsia="en-CA"/>
        </w:rPr>
        <w:t xml:space="preserve">Issuer is unlikely to take advantage of its affiliate, and affiliates share so much info that prospectus-level disclosure is unnecessary. </w:t>
      </w:r>
      <w:r w:rsidR="00C56670" w:rsidRPr="008A2DCD">
        <w:rPr>
          <w:lang w:val="en-CA" w:eastAsia="en-CA"/>
        </w:rPr>
        <w:t xml:space="preserve">There are remedies if an affiliate is taken advantage of as well (e.g. majority-owned subsidiary pays too much for its parent corps securities, minority SH’s in the subsidiary can bring an oppression remedy). </w:t>
      </w:r>
    </w:p>
    <w:p w:rsidR="00B935DB" w:rsidRDefault="00990647" w:rsidP="00FF0B61">
      <w:pPr>
        <w:spacing w:after="0" w:line="240" w:lineRule="auto"/>
      </w:pPr>
      <w:r w:rsidRPr="00767E8D">
        <w:rPr>
          <w:b/>
          <w:lang w:val="en-CA" w:eastAsia="en-CA"/>
        </w:rPr>
        <w:t xml:space="preserve">[6] Employee, Exe OFR, DIR and Consultant </w:t>
      </w:r>
      <w:r w:rsidR="00896BD1" w:rsidRPr="00767E8D">
        <w:rPr>
          <w:b/>
          <w:lang w:val="en-CA" w:eastAsia="en-CA"/>
        </w:rPr>
        <w:t>(</w:t>
      </w:r>
      <w:r w:rsidR="00896BD1" w:rsidRPr="00767E8D">
        <w:rPr>
          <w:b/>
          <w:color w:val="7030A0"/>
          <w:lang w:val="en-CA" w:eastAsia="en-CA"/>
        </w:rPr>
        <w:t>NI 45-106 s.2.22 – 2.29</w:t>
      </w:r>
      <w:r w:rsidR="00896BD1" w:rsidRPr="00767E8D">
        <w:rPr>
          <w:b/>
          <w:lang w:val="en-CA" w:eastAsia="en-CA"/>
        </w:rPr>
        <w:t>)</w:t>
      </w:r>
      <w:r w:rsidR="00B935DB" w:rsidRPr="00767E8D">
        <w:rPr>
          <w:b/>
          <w:lang w:val="en-CA" w:eastAsia="en-CA"/>
        </w:rPr>
        <w:t xml:space="preserve">: </w:t>
      </w:r>
      <w:r w:rsidR="00B935DB" w:rsidRPr="00767E8D">
        <w:t>Distribution</w:t>
      </w:r>
      <w:r w:rsidR="00B935DB" w:rsidRPr="003120AC">
        <w:t xml:space="preserve"> </w:t>
      </w:r>
      <w:r w:rsidR="00B935DB" w:rsidRPr="003120AC">
        <w:rPr>
          <w:b/>
        </w:rPr>
        <w:t>by issuer or by a control person</w:t>
      </w:r>
      <w:r w:rsidR="00B935DB" w:rsidRPr="003120AC">
        <w:t xml:space="preserve"> in securities of issuer to </w:t>
      </w:r>
      <w:r w:rsidR="00B935DB">
        <w:rPr>
          <w:u w:val="single"/>
        </w:rPr>
        <w:t>an EE</w:t>
      </w:r>
      <w:r w:rsidR="00B935DB" w:rsidRPr="003120AC">
        <w:rPr>
          <w:u w:val="single"/>
        </w:rPr>
        <w:t>, executive officer, director or consultant of issuer</w:t>
      </w:r>
      <w:r w:rsidR="00B935DB">
        <w:t xml:space="preserve"> is an exempt distribution. EE</w:t>
      </w:r>
      <w:r w:rsidR="00B935DB" w:rsidRPr="003120AC">
        <w:t xml:space="preserve"> stock options etc. must be voluntary participation.</w:t>
      </w:r>
    </w:p>
    <w:p w:rsidR="00767E8D" w:rsidRPr="00767E8D" w:rsidRDefault="00767E8D" w:rsidP="00FF0B61">
      <w:pPr>
        <w:pStyle w:val="ListParagraph"/>
        <w:numPr>
          <w:ilvl w:val="0"/>
          <w:numId w:val="73"/>
        </w:numPr>
        <w:rPr>
          <w:b/>
          <w:lang w:val="en-CA" w:eastAsia="en-CA"/>
        </w:rPr>
      </w:pPr>
      <w:r w:rsidRPr="00E65BFF">
        <w:rPr>
          <w:b/>
          <w:i/>
          <w:lang w:val="en-CA" w:eastAsia="en-CA"/>
        </w:rPr>
        <w:t>Rationale</w:t>
      </w:r>
      <w:r w:rsidRPr="00E65BFF">
        <w:rPr>
          <w:lang w:val="en-CA" w:eastAsia="en-CA"/>
        </w:rPr>
        <w:t xml:space="preserve">: </w:t>
      </w:r>
      <w:r w:rsidR="005B1D57" w:rsidRPr="00E65BFF">
        <w:rPr>
          <w:lang w:val="en-CA" w:eastAsia="en-CA"/>
        </w:rPr>
        <w:t>1</w:t>
      </w:r>
      <w:r w:rsidR="005B1D57" w:rsidRPr="0036519A">
        <w:rPr>
          <w:b/>
          <w:lang w:val="en-CA" w:eastAsia="en-CA"/>
        </w:rPr>
        <w:t>)</w:t>
      </w:r>
      <w:r w:rsidR="005B1D57">
        <w:rPr>
          <w:lang w:val="en-CA" w:eastAsia="en-CA"/>
        </w:rPr>
        <w:t xml:space="preserve"> EE’s, Exe OFRs, and DIRs likely already know much about the issuer, </w:t>
      </w:r>
      <w:r w:rsidR="005B1D57" w:rsidRPr="0036519A">
        <w:rPr>
          <w:b/>
          <w:lang w:val="en-CA" w:eastAsia="en-CA"/>
        </w:rPr>
        <w:t>2)</w:t>
      </w:r>
      <w:r w:rsidR="005B1D57">
        <w:rPr>
          <w:lang w:val="en-CA" w:eastAsia="en-CA"/>
        </w:rPr>
        <w:t xml:space="preserve"> EE and MGT investment in an issuer is seen to be in the interest of the issuer and its securityholders as a whole. </w:t>
      </w:r>
    </w:p>
    <w:p w:rsidR="00FF105C" w:rsidRPr="00215FB1" w:rsidRDefault="002A337F" w:rsidP="00FF0B61">
      <w:pPr>
        <w:pStyle w:val="Heading3"/>
        <w:spacing w:line="240" w:lineRule="auto"/>
        <w:rPr>
          <w:lang w:val="en-CA" w:eastAsia="en-CA"/>
        </w:rPr>
      </w:pPr>
      <w:bookmarkStart w:id="54" w:name="_Toc468980425"/>
      <w:r>
        <w:rPr>
          <w:lang w:val="en-CA" w:eastAsia="en-CA"/>
        </w:rPr>
        <w:t xml:space="preserve">(B) </w:t>
      </w:r>
      <w:r w:rsidR="00FF105C" w:rsidRPr="006969EF">
        <w:rPr>
          <w:lang w:val="en-CA" w:eastAsia="en-CA"/>
        </w:rPr>
        <w:t>No Need to Know: Purchaser is Sophisticated or Otherwise Able to Protect Itself</w:t>
      </w:r>
      <w:bookmarkEnd w:id="54"/>
    </w:p>
    <w:p w:rsidR="00113805" w:rsidRPr="00113805" w:rsidRDefault="00581900" w:rsidP="00FF0B61">
      <w:pPr>
        <w:pStyle w:val="Normal1"/>
        <w:widowControl w:val="0"/>
        <w:spacing w:line="240" w:lineRule="auto"/>
        <w:contextualSpacing/>
        <w:rPr>
          <w:rFonts w:asciiTheme="minorHAnsi" w:hAnsiTheme="minorHAnsi"/>
          <w:sz w:val="18"/>
          <w:szCs w:val="18"/>
        </w:rPr>
      </w:pPr>
      <w:r w:rsidRPr="00113805">
        <w:rPr>
          <w:rFonts w:asciiTheme="minorHAnsi" w:hAnsiTheme="minorHAnsi"/>
          <w:b/>
          <w:sz w:val="18"/>
          <w:szCs w:val="18"/>
          <w:lang w:eastAsia="en-CA"/>
        </w:rPr>
        <w:t xml:space="preserve">[1] </w:t>
      </w:r>
      <w:r w:rsidR="00FF105C" w:rsidRPr="00113805">
        <w:rPr>
          <w:rFonts w:asciiTheme="minorHAnsi" w:hAnsiTheme="minorHAnsi"/>
          <w:b/>
          <w:sz w:val="18"/>
          <w:szCs w:val="18"/>
          <w:lang w:eastAsia="en-CA"/>
        </w:rPr>
        <w:t>Accredited Investor (</w:t>
      </w:r>
      <w:r w:rsidR="00FF105C" w:rsidRPr="00113805">
        <w:rPr>
          <w:rFonts w:asciiTheme="minorHAnsi" w:hAnsiTheme="minorHAnsi"/>
          <w:b/>
          <w:color w:val="7030A0"/>
          <w:sz w:val="18"/>
          <w:szCs w:val="18"/>
          <w:lang w:eastAsia="en-CA"/>
        </w:rPr>
        <w:t>NI 45-106</w:t>
      </w:r>
      <w:r w:rsidR="00FF105C" w:rsidRPr="00113805">
        <w:rPr>
          <w:rFonts w:asciiTheme="minorHAnsi" w:hAnsiTheme="minorHAnsi"/>
          <w:color w:val="7030A0"/>
          <w:sz w:val="18"/>
          <w:szCs w:val="18"/>
          <w:lang w:eastAsia="en-CA"/>
        </w:rPr>
        <w:t xml:space="preserve"> </w:t>
      </w:r>
      <w:r w:rsidR="00FF105C" w:rsidRPr="00113805">
        <w:rPr>
          <w:rFonts w:asciiTheme="minorHAnsi" w:hAnsiTheme="minorHAnsi"/>
          <w:b/>
          <w:color w:val="7030A0"/>
          <w:sz w:val="18"/>
          <w:szCs w:val="18"/>
          <w:lang w:eastAsia="en-CA"/>
        </w:rPr>
        <w:t>2.3</w:t>
      </w:r>
      <w:r w:rsidR="00FF105C" w:rsidRPr="00113805">
        <w:rPr>
          <w:rFonts w:asciiTheme="minorHAnsi" w:hAnsiTheme="minorHAnsi"/>
          <w:b/>
          <w:sz w:val="18"/>
          <w:szCs w:val="18"/>
          <w:lang w:eastAsia="en-CA"/>
        </w:rPr>
        <w:t xml:space="preserve">): </w:t>
      </w:r>
      <w:r w:rsidR="00FF105C" w:rsidRPr="00113805">
        <w:rPr>
          <w:rFonts w:asciiTheme="minorHAnsi" w:hAnsiTheme="minorHAnsi"/>
          <w:sz w:val="18"/>
          <w:szCs w:val="18"/>
          <w:lang w:eastAsia="en-CA"/>
        </w:rPr>
        <w:t xml:space="preserve">Institutional Investors are accredited as they have a level of expertise req’d </w:t>
      </w:r>
      <w:r w:rsidR="00050FFE" w:rsidRPr="00113805">
        <w:rPr>
          <w:rFonts w:asciiTheme="minorHAnsi" w:hAnsiTheme="minorHAnsi"/>
          <w:sz w:val="18"/>
          <w:szCs w:val="18"/>
          <w:lang w:eastAsia="en-CA"/>
        </w:rPr>
        <w:t>to</w:t>
      </w:r>
      <w:r w:rsidR="00FF105C" w:rsidRPr="00113805">
        <w:rPr>
          <w:rFonts w:asciiTheme="minorHAnsi" w:hAnsiTheme="minorHAnsi"/>
          <w:sz w:val="18"/>
          <w:szCs w:val="18"/>
          <w:lang w:eastAsia="en-CA"/>
        </w:rPr>
        <w:t xml:space="preserve"> take care of themselves. </w:t>
      </w:r>
    </w:p>
    <w:p w:rsidR="00985F3E" w:rsidRPr="00985F3E" w:rsidRDefault="00985F3E" w:rsidP="00FF0B61">
      <w:pPr>
        <w:pStyle w:val="Normal1"/>
        <w:widowControl w:val="0"/>
        <w:numPr>
          <w:ilvl w:val="0"/>
          <w:numId w:val="61"/>
        </w:numPr>
        <w:spacing w:line="240" w:lineRule="auto"/>
        <w:contextualSpacing/>
        <w:rPr>
          <w:rFonts w:asciiTheme="minorHAnsi" w:hAnsiTheme="minorHAnsi"/>
          <w:sz w:val="18"/>
          <w:szCs w:val="20"/>
        </w:rPr>
      </w:pPr>
      <w:r w:rsidRPr="00985F3E">
        <w:rPr>
          <w:rFonts w:asciiTheme="minorHAnsi" w:hAnsiTheme="minorHAnsi"/>
          <w:sz w:val="18"/>
          <w:szCs w:val="20"/>
        </w:rPr>
        <w:t xml:space="preserve">Financial institutions such as banks, loans or trust corporations, insurance companies, credit unions, appropriately regulated pension and mutual funds, and govts are designated as accredited investors </w:t>
      </w:r>
      <w:r>
        <w:rPr>
          <w:rFonts w:asciiTheme="minorHAnsi" w:hAnsiTheme="minorHAnsi"/>
          <w:sz w:val="18"/>
          <w:szCs w:val="20"/>
        </w:rPr>
        <w:t>(</w:t>
      </w:r>
      <w:r w:rsidRPr="00985F3E">
        <w:rPr>
          <w:rFonts w:asciiTheme="minorHAnsi" w:hAnsiTheme="minorHAnsi"/>
          <w:sz w:val="18"/>
          <w:szCs w:val="20"/>
        </w:rPr>
        <w:t xml:space="preserve">defined in </w:t>
      </w:r>
      <w:r w:rsidRPr="00985F3E">
        <w:rPr>
          <w:rFonts w:asciiTheme="minorHAnsi" w:hAnsiTheme="minorHAnsi"/>
          <w:b/>
          <w:color w:val="7030A0"/>
          <w:sz w:val="18"/>
          <w:szCs w:val="20"/>
        </w:rPr>
        <w:t>s 1)</w:t>
      </w:r>
    </w:p>
    <w:p w:rsidR="00985F3E" w:rsidRPr="00985F3E" w:rsidRDefault="00985F3E" w:rsidP="00FF0B61">
      <w:pPr>
        <w:pStyle w:val="Normal1"/>
        <w:widowControl w:val="0"/>
        <w:numPr>
          <w:ilvl w:val="0"/>
          <w:numId w:val="61"/>
        </w:numPr>
        <w:spacing w:line="240" w:lineRule="auto"/>
        <w:contextualSpacing/>
        <w:rPr>
          <w:rFonts w:asciiTheme="minorHAnsi" w:hAnsiTheme="minorHAnsi"/>
          <w:sz w:val="18"/>
          <w:szCs w:val="20"/>
        </w:rPr>
      </w:pPr>
      <w:r w:rsidRPr="00050FFE">
        <w:rPr>
          <w:rFonts w:asciiTheme="minorHAnsi" w:hAnsiTheme="minorHAnsi"/>
          <w:sz w:val="18"/>
          <w:szCs w:val="20"/>
          <w:u w:val="single"/>
        </w:rPr>
        <w:t>Individuals</w:t>
      </w:r>
      <w:r w:rsidRPr="00985F3E">
        <w:rPr>
          <w:rFonts w:asciiTheme="minorHAnsi" w:hAnsiTheme="minorHAnsi"/>
          <w:sz w:val="18"/>
          <w:szCs w:val="20"/>
        </w:rPr>
        <w:t xml:space="preserve"> can qualify for this status by </w:t>
      </w:r>
      <w:r w:rsidRPr="00197A6E">
        <w:rPr>
          <w:rFonts w:asciiTheme="minorHAnsi" w:hAnsiTheme="minorHAnsi"/>
          <w:b/>
          <w:i/>
          <w:sz w:val="18"/>
          <w:szCs w:val="20"/>
        </w:rPr>
        <w:t>wa</w:t>
      </w:r>
      <w:r w:rsidR="00050FFE">
        <w:rPr>
          <w:rFonts w:asciiTheme="minorHAnsi" w:hAnsiTheme="minorHAnsi"/>
          <w:b/>
          <w:i/>
          <w:sz w:val="18"/>
          <w:szCs w:val="20"/>
        </w:rPr>
        <w:t>y of 1 of 3 different tests</w:t>
      </w:r>
      <w:r w:rsidRPr="00985F3E">
        <w:rPr>
          <w:rFonts w:asciiTheme="minorHAnsi" w:hAnsiTheme="minorHAnsi"/>
          <w:sz w:val="18"/>
          <w:szCs w:val="20"/>
        </w:rPr>
        <w:t>:</w:t>
      </w:r>
    </w:p>
    <w:p w:rsidR="00985F3E" w:rsidRPr="00985F3E" w:rsidRDefault="00985F3E" w:rsidP="00FF0B61">
      <w:pPr>
        <w:pStyle w:val="Normal1"/>
        <w:widowControl w:val="0"/>
        <w:numPr>
          <w:ilvl w:val="1"/>
          <w:numId w:val="69"/>
        </w:numPr>
        <w:spacing w:line="240" w:lineRule="auto"/>
        <w:contextualSpacing/>
        <w:rPr>
          <w:rFonts w:asciiTheme="minorHAnsi" w:hAnsiTheme="minorHAnsi"/>
          <w:sz w:val="18"/>
          <w:szCs w:val="20"/>
        </w:rPr>
      </w:pPr>
      <w:r w:rsidRPr="00197A6E">
        <w:rPr>
          <w:rFonts w:asciiTheme="minorHAnsi" w:hAnsiTheme="minorHAnsi"/>
          <w:b/>
          <w:sz w:val="18"/>
          <w:szCs w:val="20"/>
        </w:rPr>
        <w:t>“</w:t>
      </w:r>
      <w:r w:rsidR="00197A6E" w:rsidRPr="00197A6E">
        <w:rPr>
          <w:rFonts w:asciiTheme="minorHAnsi" w:hAnsiTheme="minorHAnsi"/>
          <w:b/>
          <w:sz w:val="18"/>
          <w:szCs w:val="20"/>
          <w:u w:val="single"/>
        </w:rPr>
        <w:t>Financial assets test</w:t>
      </w:r>
      <w:r w:rsidRPr="00197A6E">
        <w:rPr>
          <w:rFonts w:asciiTheme="minorHAnsi" w:hAnsiTheme="minorHAnsi"/>
          <w:b/>
          <w:sz w:val="18"/>
          <w:szCs w:val="20"/>
        </w:rPr>
        <w:t xml:space="preserve">” </w:t>
      </w:r>
      <w:r w:rsidRPr="00985F3E">
        <w:rPr>
          <w:rFonts w:asciiTheme="minorHAnsi" w:hAnsiTheme="minorHAnsi"/>
          <w:sz w:val="18"/>
          <w:szCs w:val="20"/>
        </w:rPr>
        <w:t>requires aggregate realizable value exceeding $1M before taxes, but net of any related liabilities</w:t>
      </w:r>
    </w:p>
    <w:p w:rsidR="00E34A63" w:rsidRDefault="00985F3E" w:rsidP="00FF0B61">
      <w:pPr>
        <w:pStyle w:val="Normal1"/>
        <w:widowControl w:val="0"/>
        <w:numPr>
          <w:ilvl w:val="1"/>
          <w:numId w:val="69"/>
        </w:numPr>
        <w:spacing w:line="240" w:lineRule="auto"/>
        <w:contextualSpacing/>
        <w:rPr>
          <w:rFonts w:asciiTheme="minorHAnsi" w:hAnsiTheme="minorHAnsi"/>
          <w:sz w:val="18"/>
          <w:szCs w:val="20"/>
        </w:rPr>
      </w:pPr>
      <w:r w:rsidRPr="00E34A63">
        <w:rPr>
          <w:rFonts w:asciiTheme="minorHAnsi" w:hAnsiTheme="minorHAnsi"/>
          <w:b/>
          <w:sz w:val="18"/>
          <w:szCs w:val="20"/>
        </w:rPr>
        <w:t>“</w:t>
      </w:r>
      <w:r w:rsidR="00197A6E" w:rsidRPr="00E34A63">
        <w:rPr>
          <w:rFonts w:asciiTheme="minorHAnsi" w:hAnsiTheme="minorHAnsi"/>
          <w:b/>
          <w:sz w:val="18"/>
          <w:szCs w:val="20"/>
          <w:u w:val="single"/>
        </w:rPr>
        <w:t>Net asset test</w:t>
      </w:r>
      <w:r w:rsidRPr="00E34A63">
        <w:rPr>
          <w:rFonts w:asciiTheme="minorHAnsi" w:hAnsiTheme="minorHAnsi"/>
          <w:sz w:val="18"/>
          <w:szCs w:val="20"/>
        </w:rPr>
        <w:t xml:space="preserve">” </w:t>
      </w:r>
      <w:r w:rsidR="00E34A63" w:rsidRPr="00E34A63">
        <w:rPr>
          <w:rFonts w:asciiTheme="minorHAnsi" w:hAnsiTheme="minorHAnsi"/>
          <w:sz w:val="18"/>
          <w:szCs w:val="20"/>
        </w:rPr>
        <w:t xml:space="preserve">individual who (alone or w/spouse) has net assets of at least $5 million. (total liabilities subtracted from total assets (including residence). </w:t>
      </w:r>
    </w:p>
    <w:p w:rsidR="00985F3E" w:rsidRPr="00E34A63" w:rsidRDefault="00985F3E" w:rsidP="00FF0B61">
      <w:pPr>
        <w:pStyle w:val="Normal1"/>
        <w:widowControl w:val="0"/>
        <w:numPr>
          <w:ilvl w:val="1"/>
          <w:numId w:val="69"/>
        </w:numPr>
        <w:spacing w:line="240" w:lineRule="auto"/>
        <w:contextualSpacing/>
        <w:rPr>
          <w:rFonts w:asciiTheme="minorHAnsi" w:hAnsiTheme="minorHAnsi"/>
          <w:sz w:val="18"/>
          <w:szCs w:val="20"/>
        </w:rPr>
      </w:pPr>
      <w:r w:rsidRPr="00E34A63">
        <w:rPr>
          <w:rFonts w:asciiTheme="minorHAnsi" w:hAnsiTheme="minorHAnsi"/>
          <w:sz w:val="18"/>
          <w:szCs w:val="20"/>
        </w:rPr>
        <w:t>“</w:t>
      </w:r>
      <w:r w:rsidR="00197A6E" w:rsidRPr="00E34A63">
        <w:rPr>
          <w:rFonts w:asciiTheme="minorHAnsi" w:hAnsiTheme="minorHAnsi"/>
          <w:b/>
          <w:sz w:val="18"/>
          <w:szCs w:val="20"/>
          <w:u w:val="single"/>
        </w:rPr>
        <w:t>I</w:t>
      </w:r>
      <w:r w:rsidRPr="00E34A63">
        <w:rPr>
          <w:rFonts w:asciiTheme="minorHAnsi" w:hAnsiTheme="minorHAnsi"/>
          <w:b/>
          <w:sz w:val="18"/>
          <w:szCs w:val="20"/>
          <w:u w:val="single"/>
        </w:rPr>
        <w:t>ncome test</w:t>
      </w:r>
      <w:r w:rsidRPr="00E34A63">
        <w:rPr>
          <w:rFonts w:asciiTheme="minorHAnsi" w:hAnsiTheme="minorHAnsi"/>
          <w:b/>
          <w:sz w:val="18"/>
          <w:szCs w:val="20"/>
        </w:rPr>
        <w:t xml:space="preserve">” </w:t>
      </w:r>
      <w:r w:rsidRPr="00E34A63">
        <w:rPr>
          <w:rFonts w:asciiTheme="minorHAnsi" w:hAnsiTheme="minorHAnsi"/>
          <w:sz w:val="18"/>
          <w:szCs w:val="20"/>
        </w:rPr>
        <w:t>net income before taxes exceeding $200K in</w:t>
      </w:r>
      <w:r w:rsidR="00B37A0E" w:rsidRPr="00E34A63">
        <w:rPr>
          <w:rFonts w:asciiTheme="minorHAnsi" w:hAnsiTheme="minorHAnsi"/>
          <w:sz w:val="18"/>
          <w:szCs w:val="20"/>
        </w:rPr>
        <w:t xml:space="preserve"> 2 most recent calendar years </w:t>
      </w:r>
      <w:r w:rsidR="00B37A0E" w:rsidRPr="00E34A63">
        <w:rPr>
          <w:rFonts w:asciiTheme="minorHAnsi" w:hAnsiTheme="minorHAnsi"/>
          <w:sz w:val="18"/>
          <w:szCs w:val="20"/>
          <w:u w:val="single"/>
        </w:rPr>
        <w:t>OR</w:t>
      </w:r>
      <w:r w:rsidRPr="00E34A63">
        <w:rPr>
          <w:rFonts w:asciiTheme="minorHAnsi" w:hAnsiTheme="minorHAnsi"/>
          <w:sz w:val="18"/>
          <w:szCs w:val="20"/>
        </w:rPr>
        <w:t xml:space="preserve"> whose combined spousal income exceeded $300K over that time</w:t>
      </w:r>
      <w:r w:rsidR="00403D9A" w:rsidRPr="00E34A63">
        <w:rPr>
          <w:rFonts w:asciiTheme="minorHAnsi" w:hAnsiTheme="minorHAnsi"/>
          <w:sz w:val="18"/>
          <w:szCs w:val="20"/>
        </w:rPr>
        <w:t>, and who “reasonably expects” to exceed that level in the current year.</w:t>
      </w:r>
    </w:p>
    <w:p w:rsidR="00985F3E" w:rsidRPr="00985F3E" w:rsidRDefault="00985F3E" w:rsidP="00FF0B61">
      <w:pPr>
        <w:pStyle w:val="Normal1"/>
        <w:widowControl w:val="0"/>
        <w:numPr>
          <w:ilvl w:val="0"/>
          <w:numId w:val="61"/>
        </w:numPr>
        <w:spacing w:line="240" w:lineRule="auto"/>
        <w:contextualSpacing/>
        <w:rPr>
          <w:rFonts w:asciiTheme="minorHAnsi" w:hAnsiTheme="minorHAnsi"/>
          <w:sz w:val="18"/>
          <w:szCs w:val="20"/>
        </w:rPr>
      </w:pPr>
      <w:r w:rsidRPr="00985F3E">
        <w:rPr>
          <w:rFonts w:asciiTheme="minorHAnsi" w:hAnsiTheme="minorHAnsi"/>
          <w:sz w:val="18"/>
          <w:szCs w:val="20"/>
        </w:rPr>
        <w:t>Dealer registration requirement does not apply to a trade where purchaser is an accredited investor and a principal</w:t>
      </w:r>
      <w:r w:rsidR="000C0005">
        <w:rPr>
          <w:rFonts w:asciiTheme="minorHAnsi" w:hAnsiTheme="minorHAnsi"/>
          <w:sz w:val="18"/>
          <w:szCs w:val="20"/>
        </w:rPr>
        <w:t xml:space="preserve"> (</w:t>
      </w:r>
      <w:r w:rsidR="000C0005">
        <w:rPr>
          <w:rFonts w:asciiTheme="minorHAnsi" w:hAnsiTheme="minorHAnsi"/>
          <w:b/>
          <w:color w:val="7030A0"/>
          <w:sz w:val="18"/>
          <w:szCs w:val="20"/>
        </w:rPr>
        <w:t>s 2.3(1))</w:t>
      </w:r>
      <w:r w:rsidRPr="00985F3E">
        <w:rPr>
          <w:rFonts w:asciiTheme="minorHAnsi" w:hAnsiTheme="minorHAnsi"/>
          <w:sz w:val="18"/>
          <w:szCs w:val="20"/>
        </w:rPr>
        <w:t xml:space="preserve"> </w:t>
      </w:r>
    </w:p>
    <w:p w:rsidR="00985F3E" w:rsidRPr="00985F3E" w:rsidRDefault="00985F3E" w:rsidP="00FF0B61">
      <w:pPr>
        <w:pStyle w:val="Normal1"/>
        <w:widowControl w:val="0"/>
        <w:numPr>
          <w:ilvl w:val="0"/>
          <w:numId w:val="61"/>
        </w:numPr>
        <w:spacing w:line="240" w:lineRule="auto"/>
        <w:contextualSpacing/>
        <w:rPr>
          <w:rFonts w:asciiTheme="minorHAnsi" w:hAnsiTheme="minorHAnsi"/>
          <w:sz w:val="18"/>
          <w:szCs w:val="18"/>
        </w:rPr>
      </w:pPr>
      <w:r w:rsidRPr="00985F3E">
        <w:rPr>
          <w:rFonts w:asciiTheme="minorHAnsi" w:hAnsiTheme="minorHAnsi"/>
          <w:sz w:val="18"/>
          <w:szCs w:val="18"/>
          <w:lang w:eastAsia="en-CA"/>
        </w:rPr>
        <w:lastRenderedPageBreak/>
        <w:t>Cannot create an organization (e.g. a Charity) solely for the purpose of falling in the accredited investor definition (</w:t>
      </w:r>
      <w:r w:rsidRPr="00985F3E">
        <w:rPr>
          <w:rFonts w:asciiTheme="minorHAnsi" w:hAnsiTheme="minorHAnsi"/>
          <w:b/>
          <w:color w:val="7030A0"/>
          <w:sz w:val="18"/>
          <w:szCs w:val="18"/>
          <w:lang w:eastAsia="en-CA"/>
        </w:rPr>
        <w:t>s.2.3(5</w:t>
      </w:r>
      <w:r w:rsidR="00197A6E">
        <w:rPr>
          <w:rFonts w:asciiTheme="minorHAnsi" w:hAnsiTheme="minorHAnsi"/>
          <w:b/>
          <w:color w:val="7030A0"/>
          <w:sz w:val="18"/>
          <w:szCs w:val="18"/>
          <w:lang w:eastAsia="en-CA"/>
        </w:rPr>
        <w:t xml:space="preserve">)). </w:t>
      </w:r>
    </w:p>
    <w:p w:rsidR="00985F3E" w:rsidRDefault="00985F3E" w:rsidP="00FF0B61">
      <w:pPr>
        <w:pStyle w:val="Normal1"/>
        <w:widowControl w:val="0"/>
        <w:numPr>
          <w:ilvl w:val="0"/>
          <w:numId w:val="61"/>
        </w:numPr>
        <w:spacing w:line="240" w:lineRule="auto"/>
        <w:contextualSpacing/>
        <w:rPr>
          <w:rFonts w:asciiTheme="minorHAnsi" w:hAnsiTheme="minorHAnsi"/>
          <w:sz w:val="18"/>
          <w:szCs w:val="18"/>
        </w:rPr>
      </w:pPr>
      <w:r w:rsidRPr="00985F3E">
        <w:rPr>
          <w:rFonts w:asciiTheme="minorHAnsi" w:hAnsiTheme="minorHAnsi"/>
          <w:sz w:val="18"/>
          <w:szCs w:val="18"/>
        </w:rPr>
        <w:t xml:space="preserve">Where </w:t>
      </w:r>
      <w:r w:rsidRPr="003D2D33">
        <w:rPr>
          <w:rFonts w:asciiTheme="minorHAnsi" w:hAnsiTheme="minorHAnsi"/>
          <w:b/>
          <w:sz w:val="18"/>
          <w:szCs w:val="18"/>
        </w:rPr>
        <w:t>accredited investor is an individual</w:t>
      </w:r>
      <w:r w:rsidRPr="00985F3E">
        <w:rPr>
          <w:rFonts w:asciiTheme="minorHAnsi" w:hAnsiTheme="minorHAnsi"/>
          <w:sz w:val="18"/>
          <w:szCs w:val="18"/>
        </w:rPr>
        <w:t xml:space="preserve">, purchaser is required to submit risk acknowledgment </w:t>
      </w:r>
      <w:r w:rsidRPr="003D2D33">
        <w:rPr>
          <w:rFonts w:asciiTheme="minorHAnsi" w:hAnsiTheme="minorHAnsi"/>
          <w:sz w:val="18"/>
          <w:szCs w:val="18"/>
        </w:rPr>
        <w:t>form</w:t>
      </w:r>
      <w:r w:rsidR="003D2D33" w:rsidRPr="003D2D33">
        <w:rPr>
          <w:rFonts w:asciiTheme="minorHAnsi" w:hAnsiTheme="minorHAnsi"/>
          <w:sz w:val="18"/>
          <w:szCs w:val="18"/>
        </w:rPr>
        <w:t xml:space="preserve"> (</w:t>
      </w:r>
      <w:r w:rsidR="003D2D33" w:rsidRPr="003D2D33">
        <w:rPr>
          <w:rFonts w:asciiTheme="minorHAnsi" w:hAnsiTheme="minorHAnsi"/>
          <w:b/>
          <w:color w:val="7030A0"/>
          <w:sz w:val="18"/>
          <w:szCs w:val="18"/>
          <w:lang w:eastAsia="en-CA"/>
        </w:rPr>
        <w:t>Form 45-106F4</w:t>
      </w:r>
      <w:r w:rsidR="003D2D33" w:rsidRPr="003D2D33">
        <w:rPr>
          <w:rFonts w:asciiTheme="minorHAnsi" w:hAnsiTheme="minorHAnsi"/>
          <w:color w:val="7030A0"/>
          <w:sz w:val="18"/>
          <w:szCs w:val="18"/>
          <w:lang w:eastAsia="en-CA"/>
        </w:rPr>
        <w:t>)</w:t>
      </w:r>
      <w:r w:rsidR="003D2D33">
        <w:rPr>
          <w:rFonts w:asciiTheme="minorHAnsi" w:hAnsiTheme="minorHAnsi"/>
          <w:sz w:val="18"/>
          <w:szCs w:val="18"/>
        </w:rPr>
        <w:t xml:space="preserve">. </w:t>
      </w:r>
    </w:p>
    <w:p w:rsidR="009C1AB1" w:rsidRPr="009C1AB1" w:rsidRDefault="009C1AB1" w:rsidP="00FF0B61">
      <w:pPr>
        <w:pStyle w:val="Normal1"/>
        <w:widowControl w:val="0"/>
        <w:numPr>
          <w:ilvl w:val="0"/>
          <w:numId w:val="61"/>
        </w:numPr>
        <w:spacing w:line="240" w:lineRule="auto"/>
        <w:contextualSpacing/>
        <w:rPr>
          <w:rFonts w:asciiTheme="minorHAnsi" w:hAnsiTheme="minorHAnsi"/>
          <w:sz w:val="14"/>
          <w:szCs w:val="18"/>
        </w:rPr>
      </w:pPr>
      <w:r w:rsidRPr="009C1AB1">
        <w:rPr>
          <w:rFonts w:asciiTheme="minorHAnsi" w:hAnsiTheme="minorHAnsi"/>
          <w:sz w:val="18"/>
        </w:rPr>
        <w:t xml:space="preserve">Issuer </w:t>
      </w:r>
      <w:r w:rsidRPr="009C1AB1">
        <w:rPr>
          <w:rFonts w:asciiTheme="minorHAnsi" w:hAnsiTheme="minorHAnsi"/>
          <w:b/>
          <w:sz w:val="18"/>
        </w:rPr>
        <w:t xml:space="preserve">must </w:t>
      </w:r>
      <w:r w:rsidRPr="009C1AB1">
        <w:rPr>
          <w:rFonts w:asciiTheme="minorHAnsi" w:hAnsiTheme="minorHAnsi"/>
          <w:sz w:val="18"/>
        </w:rPr>
        <w:t xml:space="preserve">report the distribution w/in 10 days of the distribution to commission in </w:t>
      </w:r>
      <w:r w:rsidRPr="009C1AB1">
        <w:rPr>
          <w:rFonts w:asciiTheme="minorHAnsi" w:hAnsiTheme="minorHAnsi"/>
          <w:b/>
          <w:color w:val="7030A0"/>
          <w:sz w:val="18"/>
        </w:rPr>
        <w:t>FORM 45-106F1</w:t>
      </w:r>
      <w:r w:rsidRPr="009C1AB1">
        <w:rPr>
          <w:rFonts w:asciiTheme="minorHAnsi" w:hAnsiTheme="minorHAnsi"/>
          <w:sz w:val="18"/>
        </w:rPr>
        <w:t xml:space="preserve">, or in BC, </w:t>
      </w:r>
      <w:r w:rsidR="009F72E6">
        <w:rPr>
          <w:rFonts w:asciiTheme="minorHAnsi" w:hAnsiTheme="minorHAnsi"/>
          <w:sz w:val="18"/>
        </w:rPr>
        <w:t xml:space="preserve">the </w:t>
      </w:r>
      <w:r w:rsidRPr="009C1AB1">
        <w:rPr>
          <w:rFonts w:asciiTheme="minorHAnsi" w:hAnsiTheme="minorHAnsi"/>
          <w:sz w:val="18"/>
        </w:rPr>
        <w:t xml:space="preserve">more extensive </w:t>
      </w:r>
      <w:r w:rsidRPr="009C1AB1">
        <w:rPr>
          <w:rFonts w:asciiTheme="minorHAnsi" w:hAnsiTheme="minorHAnsi"/>
          <w:b/>
          <w:color w:val="7030A0"/>
          <w:sz w:val="18"/>
        </w:rPr>
        <w:t>FORM 45-106F6</w:t>
      </w:r>
      <w:r>
        <w:rPr>
          <w:rFonts w:asciiTheme="minorHAnsi" w:hAnsiTheme="minorHAnsi"/>
          <w:b/>
          <w:color w:val="7030A0"/>
          <w:sz w:val="18"/>
        </w:rPr>
        <w:t xml:space="preserve">. </w:t>
      </w:r>
    </w:p>
    <w:p w:rsidR="00985F3E" w:rsidRDefault="00985F3E" w:rsidP="00FF0B61">
      <w:pPr>
        <w:pStyle w:val="Normal1"/>
        <w:widowControl w:val="0"/>
        <w:numPr>
          <w:ilvl w:val="0"/>
          <w:numId w:val="61"/>
        </w:numPr>
        <w:spacing w:line="240" w:lineRule="auto"/>
        <w:contextualSpacing/>
        <w:rPr>
          <w:rFonts w:asciiTheme="minorHAnsi" w:hAnsiTheme="minorHAnsi"/>
          <w:sz w:val="18"/>
          <w:szCs w:val="20"/>
        </w:rPr>
      </w:pPr>
      <w:r w:rsidRPr="000C0005">
        <w:rPr>
          <w:rFonts w:asciiTheme="minorHAnsi" w:hAnsiTheme="minorHAnsi"/>
          <w:b/>
          <w:i/>
          <w:sz w:val="18"/>
          <w:szCs w:val="18"/>
          <w:u w:val="single"/>
        </w:rPr>
        <w:t>Policy rationale:</w:t>
      </w:r>
      <w:r w:rsidRPr="00985F3E">
        <w:rPr>
          <w:rFonts w:asciiTheme="minorHAnsi" w:hAnsiTheme="minorHAnsi"/>
          <w:sz w:val="18"/>
          <w:szCs w:val="18"/>
        </w:rPr>
        <w:t xml:space="preserve"> these market participants have the investment</w:t>
      </w:r>
      <w:r w:rsidRPr="00985F3E">
        <w:rPr>
          <w:rFonts w:asciiTheme="minorHAnsi" w:hAnsiTheme="minorHAnsi"/>
          <w:sz w:val="18"/>
          <w:szCs w:val="20"/>
        </w:rPr>
        <w:t xml:space="preserve"> expertise and/or financial resources that they don’t need a prospectus before making an investment decisions</w:t>
      </w:r>
    </w:p>
    <w:p w:rsidR="006F78BA" w:rsidRDefault="006F78BA" w:rsidP="00FF0B61">
      <w:pPr>
        <w:pStyle w:val="Normal1"/>
        <w:widowControl w:val="0"/>
        <w:spacing w:line="240" w:lineRule="auto"/>
        <w:ind w:left="360"/>
        <w:contextualSpacing/>
        <w:rPr>
          <w:rFonts w:asciiTheme="minorHAnsi" w:hAnsiTheme="minorHAnsi"/>
          <w:b/>
          <w:i/>
          <w:sz w:val="18"/>
          <w:szCs w:val="18"/>
          <w:u w:val="single"/>
        </w:rPr>
      </w:pPr>
    </w:p>
    <w:p w:rsidR="00581900" w:rsidRDefault="000A71A4" w:rsidP="00FF0B61">
      <w:pPr>
        <w:spacing w:after="0" w:line="240" w:lineRule="auto"/>
        <w:rPr>
          <w:b/>
          <w:lang w:val="en-CA" w:eastAsia="en-CA"/>
        </w:rPr>
      </w:pPr>
      <w:r>
        <w:rPr>
          <w:b/>
          <w:lang w:val="en-CA" w:eastAsia="en-CA"/>
        </w:rPr>
        <w:t xml:space="preserve">[2] </w:t>
      </w:r>
      <w:r w:rsidR="00581900">
        <w:rPr>
          <w:b/>
          <w:lang w:val="en-CA" w:eastAsia="en-CA"/>
        </w:rPr>
        <w:t>Minimum Amount Investment (</w:t>
      </w:r>
      <w:r w:rsidR="00581900" w:rsidRPr="00CD0CB3">
        <w:rPr>
          <w:b/>
          <w:color w:val="7030A0"/>
          <w:lang w:val="en-CA" w:eastAsia="en-CA"/>
        </w:rPr>
        <w:t>NI 45-106</w:t>
      </w:r>
      <w:r w:rsidR="00581900">
        <w:rPr>
          <w:color w:val="7030A0"/>
          <w:lang w:val="en-CA" w:eastAsia="en-CA"/>
        </w:rPr>
        <w:t xml:space="preserve"> </w:t>
      </w:r>
      <w:r w:rsidR="00581900" w:rsidRPr="0008502E">
        <w:rPr>
          <w:b/>
          <w:color w:val="7030A0"/>
          <w:lang w:val="en-CA" w:eastAsia="en-CA"/>
        </w:rPr>
        <w:t>2.10</w:t>
      </w:r>
      <w:r w:rsidR="00581900">
        <w:rPr>
          <w:b/>
          <w:lang w:val="en-CA" w:eastAsia="en-CA"/>
        </w:rPr>
        <w:t>)</w:t>
      </w:r>
    </w:p>
    <w:p w:rsidR="00581900" w:rsidRPr="0008502E" w:rsidRDefault="00581900" w:rsidP="00FF0B61">
      <w:pPr>
        <w:pStyle w:val="ListParagraph"/>
        <w:numPr>
          <w:ilvl w:val="0"/>
          <w:numId w:val="60"/>
        </w:numPr>
        <w:rPr>
          <w:b/>
          <w:lang w:val="en-CA" w:eastAsia="en-CA"/>
        </w:rPr>
      </w:pPr>
      <w:r>
        <w:rPr>
          <w:lang w:val="en-CA" w:eastAsia="en-CA"/>
        </w:rPr>
        <w:t xml:space="preserve">No prospectus if: </w:t>
      </w:r>
      <w:r w:rsidRPr="0008502E">
        <w:rPr>
          <w:b/>
          <w:color w:val="7030A0"/>
          <w:lang w:val="en-CA" w:eastAsia="en-CA"/>
        </w:rPr>
        <w:t xml:space="preserve">a) </w:t>
      </w:r>
      <w:r>
        <w:rPr>
          <w:lang w:val="en-CA" w:eastAsia="en-CA"/>
        </w:rPr>
        <w:t>person is not an individual (corp or tru</w:t>
      </w:r>
      <w:r w:rsidRPr="002B4328">
        <w:rPr>
          <w:lang w:val="en-CA" w:eastAsia="en-CA"/>
        </w:rPr>
        <w:t>st),</w:t>
      </w:r>
      <w:r w:rsidRPr="00794563">
        <w:rPr>
          <w:b/>
          <w:lang w:val="en-CA" w:eastAsia="en-CA"/>
        </w:rPr>
        <w:t xml:space="preserve"> </w:t>
      </w:r>
      <w:r w:rsidRPr="0008502E">
        <w:rPr>
          <w:b/>
          <w:color w:val="7030A0"/>
          <w:lang w:val="en-CA" w:eastAsia="en-CA"/>
        </w:rPr>
        <w:t xml:space="preserve">b) </w:t>
      </w:r>
      <w:r>
        <w:rPr>
          <w:lang w:val="en-CA" w:eastAsia="en-CA"/>
        </w:rPr>
        <w:t>person purchasing as principle</w:t>
      </w:r>
      <w:r w:rsidRPr="0008502E">
        <w:rPr>
          <w:b/>
          <w:color w:val="7030A0"/>
          <w:lang w:val="en-CA" w:eastAsia="en-CA"/>
        </w:rPr>
        <w:t>, c)</w:t>
      </w:r>
      <w:r>
        <w:rPr>
          <w:lang w:val="en-CA" w:eastAsia="en-CA"/>
        </w:rPr>
        <w:t xml:space="preserve"> Investing </w:t>
      </w:r>
      <w:r w:rsidR="00130979">
        <w:rPr>
          <w:lang w:val="en-CA" w:eastAsia="en-CA"/>
        </w:rPr>
        <w:t>more</w:t>
      </w:r>
      <w:r>
        <w:rPr>
          <w:lang w:val="en-CA" w:eastAsia="en-CA"/>
        </w:rPr>
        <w:t xml:space="preserve"> than $150K in cash, </w:t>
      </w:r>
      <w:r w:rsidRPr="0008502E">
        <w:rPr>
          <w:b/>
          <w:color w:val="7030A0"/>
          <w:lang w:val="en-CA" w:eastAsia="en-CA"/>
        </w:rPr>
        <w:t xml:space="preserve">d) </w:t>
      </w:r>
      <w:r>
        <w:rPr>
          <w:lang w:val="en-CA" w:eastAsia="en-CA"/>
        </w:rPr>
        <w:t>the distribution is of</w:t>
      </w:r>
      <w:r w:rsidR="0085348D">
        <w:rPr>
          <w:lang w:val="en-CA" w:eastAsia="en-CA"/>
        </w:rPr>
        <w:t xml:space="preserve"> a security of a single issuer (</w:t>
      </w:r>
      <w:r w:rsidR="0085348D" w:rsidRPr="0085348D">
        <w:rPr>
          <w:b/>
          <w:color w:val="7030A0"/>
          <w:lang w:val="en-CA" w:eastAsia="en-CA"/>
        </w:rPr>
        <w:t>s.2.10</w:t>
      </w:r>
      <w:r w:rsidR="0085348D">
        <w:rPr>
          <w:b/>
          <w:lang w:val="en-CA" w:eastAsia="en-CA"/>
        </w:rPr>
        <w:t>)</w:t>
      </w:r>
    </w:p>
    <w:p w:rsidR="00581900" w:rsidRPr="00731B01" w:rsidRDefault="00581900" w:rsidP="00FF0B61">
      <w:pPr>
        <w:pStyle w:val="ListParagraph"/>
        <w:numPr>
          <w:ilvl w:val="1"/>
          <w:numId w:val="60"/>
        </w:numPr>
        <w:rPr>
          <w:b/>
          <w:lang w:val="en-CA" w:eastAsia="en-CA"/>
        </w:rPr>
      </w:pPr>
      <w:r w:rsidRPr="00731B01">
        <w:rPr>
          <w:b/>
          <w:i/>
          <w:lang w:val="en-CA" w:eastAsia="en-CA"/>
        </w:rPr>
        <w:t>Rationale:</w:t>
      </w:r>
      <w:r w:rsidR="00731B01">
        <w:rPr>
          <w:lang w:val="en-CA" w:eastAsia="en-CA"/>
        </w:rPr>
        <w:t xml:space="preserve"> I</w:t>
      </w:r>
      <w:r>
        <w:rPr>
          <w:lang w:val="en-CA" w:eastAsia="en-CA"/>
        </w:rPr>
        <w:t>f willing to put 150K in likely will do research on the investment.</w:t>
      </w:r>
    </w:p>
    <w:p w:rsidR="00731B01" w:rsidRPr="00C51FF9" w:rsidRDefault="00731B01" w:rsidP="00FF0B61">
      <w:pPr>
        <w:pStyle w:val="ListParagraph"/>
        <w:numPr>
          <w:ilvl w:val="0"/>
          <w:numId w:val="60"/>
        </w:numPr>
      </w:pPr>
      <w:r w:rsidRPr="003120AC">
        <w:t xml:space="preserve">Issuer must report distribution w/in 10 days to commission in </w:t>
      </w:r>
      <w:r w:rsidRPr="00731B01">
        <w:rPr>
          <w:b/>
          <w:color w:val="7030A0"/>
        </w:rPr>
        <w:t>FORM 45-106F1</w:t>
      </w:r>
      <w:r w:rsidRPr="00731B01">
        <w:rPr>
          <w:color w:val="7030A0"/>
        </w:rPr>
        <w:t xml:space="preserve"> </w:t>
      </w:r>
      <w:r w:rsidRPr="003120AC">
        <w:t xml:space="preserve">or in </w:t>
      </w:r>
      <w:r w:rsidRPr="00731B01">
        <w:rPr>
          <w:b/>
          <w:color w:val="7030A0"/>
        </w:rPr>
        <w:t>BC FORM 45-106F6.</w:t>
      </w:r>
      <w:r w:rsidRPr="00731B01">
        <w:rPr>
          <w:color w:val="7030A0"/>
        </w:rPr>
        <w:t xml:space="preserve"> </w:t>
      </w:r>
    </w:p>
    <w:p w:rsidR="002A337F" w:rsidRDefault="002A337F" w:rsidP="00FF0B61">
      <w:pPr>
        <w:pStyle w:val="Heading3"/>
        <w:spacing w:line="240" w:lineRule="auto"/>
      </w:pPr>
      <w:bookmarkStart w:id="55" w:name="_Toc468980426"/>
      <w:r>
        <w:t>(C) No Need to Know: Investment Very Safe</w:t>
      </w:r>
      <w:bookmarkEnd w:id="55"/>
      <w:r>
        <w:t xml:space="preserve"> </w:t>
      </w:r>
    </w:p>
    <w:p w:rsidR="002A337F" w:rsidRDefault="002A337F" w:rsidP="00FF0B61">
      <w:pPr>
        <w:spacing w:after="0" w:line="240" w:lineRule="auto"/>
      </w:pPr>
      <w:r w:rsidRPr="003120AC">
        <w:t xml:space="preserve">Canada Savings Bond, provincial equivalents, municipal bonds, bank bonds etc. Also includes </w:t>
      </w:r>
      <w:r w:rsidRPr="003120AC">
        <w:rPr>
          <w:b/>
        </w:rPr>
        <w:t>short term debt</w:t>
      </w:r>
      <w:r w:rsidRPr="003120AC">
        <w:t>, as long as not convertible, company has approved credit rating from DRO eg. commercial paper, IOU, maturing not more than one year from date of issue.</w:t>
      </w:r>
    </w:p>
    <w:p w:rsidR="00746D17" w:rsidRPr="00746D17" w:rsidRDefault="00746D17" w:rsidP="00FF0B61">
      <w:pPr>
        <w:pStyle w:val="ListParagraph"/>
        <w:numPr>
          <w:ilvl w:val="0"/>
          <w:numId w:val="72"/>
        </w:numPr>
        <w:rPr>
          <w:b/>
          <w:lang w:val="en-CA" w:eastAsia="en-CA"/>
        </w:rPr>
      </w:pPr>
      <w:r w:rsidRPr="00746D17">
        <w:rPr>
          <w:b/>
          <w:lang w:val="en-CA" w:eastAsia="en-CA"/>
        </w:rPr>
        <w:t>Short Term Debt (</w:t>
      </w:r>
      <w:r w:rsidRPr="00746D17">
        <w:rPr>
          <w:b/>
          <w:color w:val="7030A0"/>
          <w:lang w:val="en-CA" w:eastAsia="en-CA"/>
        </w:rPr>
        <w:t>NI 45-106</w:t>
      </w:r>
      <w:r w:rsidRPr="00746D17">
        <w:rPr>
          <w:color w:val="7030A0"/>
          <w:lang w:val="en-CA" w:eastAsia="en-CA"/>
        </w:rPr>
        <w:t xml:space="preserve"> </w:t>
      </w:r>
      <w:r w:rsidRPr="00746D17">
        <w:rPr>
          <w:b/>
          <w:color w:val="7030A0"/>
          <w:lang w:val="en-CA" w:eastAsia="en-CA"/>
        </w:rPr>
        <w:t>s.2.35</w:t>
      </w:r>
      <w:r w:rsidRPr="00746D17">
        <w:rPr>
          <w:b/>
          <w:lang w:val="en-CA" w:eastAsia="en-CA"/>
        </w:rPr>
        <w:t xml:space="preserve">) – only historical significance </w:t>
      </w:r>
    </w:p>
    <w:p w:rsidR="00D5313D" w:rsidRDefault="002A337F" w:rsidP="00FF0B61">
      <w:pPr>
        <w:pStyle w:val="Heading3"/>
        <w:spacing w:line="240" w:lineRule="auto"/>
        <w:rPr>
          <w:lang w:val="en-CA" w:eastAsia="en-CA"/>
        </w:rPr>
      </w:pPr>
      <w:bookmarkStart w:id="56" w:name="_Toc468980427"/>
      <w:r w:rsidRPr="00484ECD">
        <w:rPr>
          <w:lang w:val="en-CA" w:eastAsia="en-CA"/>
        </w:rPr>
        <w:t xml:space="preserve">(D) </w:t>
      </w:r>
      <w:r w:rsidR="00D5313D" w:rsidRPr="00484ECD">
        <w:rPr>
          <w:lang w:val="en-CA" w:eastAsia="en-CA"/>
        </w:rPr>
        <w:t>Redundancy or Dual Regulation: Prospectus-level info available from another source</w:t>
      </w:r>
      <w:bookmarkEnd w:id="56"/>
    </w:p>
    <w:p w:rsidR="00BC247C" w:rsidRPr="007E0DD8" w:rsidRDefault="000A71A4" w:rsidP="00FF0B61">
      <w:pPr>
        <w:spacing w:after="0" w:line="240" w:lineRule="auto"/>
        <w:rPr>
          <w:b/>
          <w:lang w:val="en-CA" w:eastAsia="en-CA"/>
        </w:rPr>
      </w:pPr>
      <w:r>
        <w:rPr>
          <w:b/>
          <w:lang w:val="en-CA" w:eastAsia="en-CA"/>
        </w:rPr>
        <w:t xml:space="preserve">[1] </w:t>
      </w:r>
      <w:r w:rsidR="00B64370" w:rsidRPr="00850E03">
        <w:rPr>
          <w:b/>
          <w:lang w:val="en-CA" w:eastAsia="en-CA"/>
        </w:rPr>
        <w:t>Business Combination (</w:t>
      </w:r>
      <w:r w:rsidR="00E601BB" w:rsidRPr="00CD0CB3">
        <w:rPr>
          <w:b/>
          <w:color w:val="7030A0"/>
          <w:lang w:val="en-CA" w:eastAsia="en-CA"/>
        </w:rPr>
        <w:t>NI 45-106</w:t>
      </w:r>
      <w:r w:rsidR="00E601BB">
        <w:rPr>
          <w:color w:val="7030A0"/>
          <w:lang w:val="en-CA" w:eastAsia="en-CA"/>
        </w:rPr>
        <w:t xml:space="preserve"> </w:t>
      </w:r>
      <w:r w:rsidR="006C3865" w:rsidRPr="00E601BB">
        <w:rPr>
          <w:b/>
          <w:color w:val="7030A0"/>
          <w:lang w:val="en-CA" w:eastAsia="en-CA"/>
        </w:rPr>
        <w:t>s.2</w:t>
      </w:r>
      <w:r w:rsidR="00BC247C" w:rsidRPr="00E601BB">
        <w:rPr>
          <w:b/>
          <w:color w:val="7030A0"/>
          <w:lang w:val="en-CA" w:eastAsia="en-CA"/>
        </w:rPr>
        <w:t>.11</w:t>
      </w:r>
      <w:r w:rsidR="00B64370" w:rsidRPr="00850E03">
        <w:rPr>
          <w:b/>
          <w:lang w:val="en-CA" w:eastAsia="en-CA"/>
        </w:rPr>
        <w:t>)</w:t>
      </w:r>
      <w:r w:rsidR="00BC247C" w:rsidRPr="007E0DD8">
        <w:rPr>
          <w:b/>
          <w:lang w:val="en-CA" w:eastAsia="en-CA"/>
        </w:rPr>
        <w:t xml:space="preserve"> </w:t>
      </w:r>
    </w:p>
    <w:p w:rsidR="00E55E00" w:rsidRPr="00E55E00" w:rsidRDefault="00E55E00" w:rsidP="00FF0B61">
      <w:pPr>
        <w:pStyle w:val="Normal1"/>
        <w:widowControl w:val="0"/>
        <w:numPr>
          <w:ilvl w:val="0"/>
          <w:numId w:val="62"/>
        </w:numPr>
        <w:spacing w:line="240" w:lineRule="auto"/>
        <w:contextualSpacing/>
        <w:rPr>
          <w:rFonts w:asciiTheme="minorHAnsi" w:hAnsiTheme="minorHAnsi"/>
          <w:sz w:val="18"/>
          <w:szCs w:val="20"/>
        </w:rPr>
      </w:pPr>
      <w:r w:rsidRPr="00E55E00">
        <w:rPr>
          <w:rFonts w:asciiTheme="minorHAnsi" w:hAnsiTheme="minorHAnsi"/>
          <w:sz w:val="18"/>
          <w:szCs w:val="20"/>
        </w:rPr>
        <w:t xml:space="preserve">Dealer registration requirement does not apply to trade of security in connection with an amalgamation, merger, reorganization, or arrangement if it falls under one of the following: </w:t>
      </w:r>
      <w:r w:rsidRPr="00E55E00">
        <w:rPr>
          <w:rFonts w:asciiTheme="minorHAnsi" w:hAnsiTheme="minorHAnsi"/>
          <w:b/>
          <w:sz w:val="18"/>
          <w:szCs w:val="20"/>
        </w:rPr>
        <w:t>(1)</w:t>
      </w:r>
      <w:r w:rsidRPr="00E55E00">
        <w:rPr>
          <w:rFonts w:asciiTheme="minorHAnsi" w:hAnsiTheme="minorHAnsi"/>
          <w:sz w:val="18"/>
          <w:szCs w:val="20"/>
        </w:rPr>
        <w:t xml:space="preserve"> made under statutory procedure</w:t>
      </w:r>
      <w:r w:rsidRPr="00E55E00">
        <w:rPr>
          <w:rFonts w:asciiTheme="minorHAnsi" w:hAnsiTheme="minorHAnsi"/>
          <w:b/>
          <w:sz w:val="18"/>
          <w:szCs w:val="20"/>
        </w:rPr>
        <w:t>; (2</w:t>
      </w:r>
      <w:r w:rsidRPr="00E55E00">
        <w:rPr>
          <w:rFonts w:asciiTheme="minorHAnsi" w:hAnsiTheme="minorHAnsi"/>
          <w:sz w:val="18"/>
          <w:szCs w:val="20"/>
        </w:rPr>
        <w:t xml:space="preserve">) described/disclosed in an appropriate circular, approved by security holders, or </w:t>
      </w:r>
      <w:r w:rsidRPr="003E2BD5">
        <w:rPr>
          <w:rFonts w:asciiTheme="minorHAnsi" w:hAnsiTheme="minorHAnsi"/>
          <w:b/>
          <w:sz w:val="18"/>
          <w:szCs w:val="20"/>
        </w:rPr>
        <w:t>(</w:t>
      </w:r>
      <w:r w:rsidRPr="00E55E00">
        <w:rPr>
          <w:rFonts w:asciiTheme="minorHAnsi" w:hAnsiTheme="minorHAnsi"/>
          <w:b/>
          <w:sz w:val="18"/>
          <w:szCs w:val="20"/>
        </w:rPr>
        <w:t>3)</w:t>
      </w:r>
      <w:r w:rsidRPr="00E55E00">
        <w:rPr>
          <w:rFonts w:asciiTheme="minorHAnsi" w:hAnsiTheme="minorHAnsi"/>
          <w:sz w:val="18"/>
          <w:szCs w:val="20"/>
        </w:rPr>
        <w:t xml:space="preserve"> which is a dissolution/winding-up of an issuer</w:t>
      </w:r>
    </w:p>
    <w:p w:rsidR="00E55E00" w:rsidRPr="00E55E00" w:rsidRDefault="00E55E00" w:rsidP="00FF0B61">
      <w:pPr>
        <w:pStyle w:val="Normal1"/>
        <w:widowControl w:val="0"/>
        <w:numPr>
          <w:ilvl w:val="0"/>
          <w:numId w:val="62"/>
        </w:numPr>
        <w:spacing w:line="240" w:lineRule="auto"/>
        <w:contextualSpacing/>
        <w:rPr>
          <w:rFonts w:asciiTheme="minorHAnsi" w:hAnsiTheme="minorHAnsi"/>
          <w:sz w:val="18"/>
          <w:szCs w:val="20"/>
        </w:rPr>
      </w:pPr>
      <w:r w:rsidRPr="00E55E00">
        <w:rPr>
          <w:rFonts w:asciiTheme="minorHAnsi" w:hAnsiTheme="minorHAnsi"/>
          <w:sz w:val="18"/>
          <w:szCs w:val="20"/>
        </w:rPr>
        <w:t xml:space="preserve">When a company offers its shares in exchange for the shares of a target in a </w:t>
      </w:r>
      <w:r w:rsidRPr="00E55E00">
        <w:rPr>
          <w:rFonts w:asciiTheme="minorHAnsi" w:hAnsiTheme="minorHAnsi"/>
          <w:sz w:val="18"/>
          <w:szCs w:val="20"/>
          <w:u w:val="single"/>
        </w:rPr>
        <w:t>takeover bid</w:t>
      </w:r>
      <w:r w:rsidRPr="00E55E00">
        <w:rPr>
          <w:rFonts w:asciiTheme="minorHAnsi" w:hAnsiTheme="minorHAnsi"/>
          <w:sz w:val="18"/>
          <w:szCs w:val="20"/>
        </w:rPr>
        <w:t>, this is technically a distribution</w:t>
      </w:r>
    </w:p>
    <w:p w:rsidR="00E55E00" w:rsidRPr="00E55E00" w:rsidRDefault="00E55E00" w:rsidP="00FF0B61">
      <w:pPr>
        <w:pStyle w:val="Normal1"/>
        <w:widowControl w:val="0"/>
        <w:numPr>
          <w:ilvl w:val="0"/>
          <w:numId w:val="62"/>
        </w:numPr>
        <w:spacing w:line="240" w:lineRule="auto"/>
        <w:contextualSpacing/>
        <w:rPr>
          <w:rFonts w:asciiTheme="minorHAnsi" w:hAnsiTheme="minorHAnsi"/>
          <w:sz w:val="18"/>
          <w:szCs w:val="20"/>
        </w:rPr>
      </w:pPr>
      <w:r w:rsidRPr="003E2BD5">
        <w:rPr>
          <w:rFonts w:asciiTheme="minorHAnsi" w:hAnsiTheme="minorHAnsi"/>
          <w:b/>
          <w:i/>
          <w:sz w:val="18"/>
          <w:szCs w:val="20"/>
          <w:u w:val="single"/>
        </w:rPr>
        <w:t>Policy rationale</w:t>
      </w:r>
      <w:r w:rsidRPr="003E2BD5">
        <w:rPr>
          <w:rFonts w:asciiTheme="minorHAnsi" w:hAnsiTheme="minorHAnsi"/>
          <w:b/>
          <w:i/>
          <w:sz w:val="18"/>
          <w:szCs w:val="20"/>
        </w:rPr>
        <w:t>:</w:t>
      </w:r>
      <w:r w:rsidRPr="00E55E00">
        <w:rPr>
          <w:rFonts w:asciiTheme="minorHAnsi" w:hAnsiTheme="minorHAnsi"/>
          <w:sz w:val="18"/>
          <w:szCs w:val="20"/>
        </w:rPr>
        <w:t xml:space="preserve"> Takeover bid or amalgamation will be accompanied by the same sort of disclosure that would be contained in a prospectus (bid circular)</w:t>
      </w:r>
    </w:p>
    <w:p w:rsidR="00E55E00" w:rsidRPr="00E55E00" w:rsidRDefault="00484ECD" w:rsidP="00FF0B61">
      <w:pPr>
        <w:pStyle w:val="Normal1"/>
        <w:widowControl w:val="0"/>
        <w:numPr>
          <w:ilvl w:val="1"/>
          <w:numId w:val="62"/>
        </w:numPr>
        <w:spacing w:line="240" w:lineRule="auto"/>
        <w:contextualSpacing/>
        <w:rPr>
          <w:rFonts w:asciiTheme="minorHAnsi" w:hAnsiTheme="minorHAnsi"/>
          <w:sz w:val="18"/>
          <w:szCs w:val="20"/>
        </w:rPr>
      </w:pPr>
      <w:r>
        <w:rPr>
          <w:rFonts w:asciiTheme="minorHAnsi" w:hAnsiTheme="minorHAnsi"/>
          <w:sz w:val="18"/>
          <w:szCs w:val="20"/>
        </w:rPr>
        <w:t>R</w:t>
      </w:r>
      <w:r w:rsidR="00E55E00" w:rsidRPr="00E55E00">
        <w:rPr>
          <w:rFonts w:asciiTheme="minorHAnsi" w:hAnsiTheme="minorHAnsi"/>
          <w:sz w:val="18"/>
          <w:szCs w:val="20"/>
        </w:rPr>
        <w:t>egulators do not want to add to the difficulties of an issuer in financial distress, and creditors may have access to other avenues of information through the terms of their debt agreements</w:t>
      </w:r>
    </w:p>
    <w:p w:rsidR="00484ECD" w:rsidRDefault="00484ECD" w:rsidP="00FF0B61">
      <w:pPr>
        <w:spacing w:after="0" w:line="240" w:lineRule="auto"/>
        <w:rPr>
          <w:b/>
          <w:highlight w:val="yellow"/>
          <w:lang w:val="en-CA" w:eastAsia="en-CA"/>
        </w:rPr>
      </w:pPr>
    </w:p>
    <w:p w:rsidR="009A6EF7" w:rsidRDefault="00727A0F" w:rsidP="00FF0B61">
      <w:pPr>
        <w:spacing w:line="240" w:lineRule="auto"/>
        <w:rPr>
          <w:lang w:val="en-CA" w:eastAsia="en-CA"/>
        </w:rPr>
      </w:pPr>
      <w:r w:rsidRPr="009A6EF7">
        <w:rPr>
          <w:b/>
          <w:lang w:val="en-CA" w:eastAsia="en-CA"/>
        </w:rPr>
        <w:t xml:space="preserve">[2] </w:t>
      </w:r>
      <w:r w:rsidR="009A6EF7" w:rsidRPr="009A6EF7">
        <w:rPr>
          <w:b/>
          <w:lang w:val="en-CA" w:eastAsia="en-CA"/>
        </w:rPr>
        <w:t>Take-over Bid and Issuer Bid (</w:t>
      </w:r>
      <w:r w:rsidR="009A6EF7" w:rsidRPr="009A6EF7">
        <w:rPr>
          <w:b/>
          <w:color w:val="7030A0"/>
          <w:lang w:val="en-CA" w:eastAsia="en-CA"/>
        </w:rPr>
        <w:t>NI 45-106</w:t>
      </w:r>
      <w:r w:rsidR="009A6EF7" w:rsidRPr="009A6EF7">
        <w:rPr>
          <w:color w:val="7030A0"/>
          <w:lang w:val="en-CA" w:eastAsia="en-CA"/>
        </w:rPr>
        <w:t xml:space="preserve"> </w:t>
      </w:r>
      <w:r w:rsidR="009A6EF7" w:rsidRPr="009A6EF7">
        <w:rPr>
          <w:b/>
          <w:color w:val="7030A0"/>
          <w:lang w:val="en-CA" w:eastAsia="en-CA"/>
        </w:rPr>
        <w:t>s.2.16</w:t>
      </w:r>
      <w:r w:rsidR="009A6EF7" w:rsidRPr="009A6EF7">
        <w:rPr>
          <w:b/>
          <w:lang w:val="en-CA" w:eastAsia="en-CA"/>
        </w:rPr>
        <w:t xml:space="preserve">): </w:t>
      </w:r>
      <w:r w:rsidR="004F6F3D">
        <w:rPr>
          <w:lang w:val="en-CA" w:eastAsia="en-CA"/>
        </w:rPr>
        <w:t xml:space="preserve">A distribution made “in connection with” (could be interpreted broadly) a take-over bid or an issuer bid is an exempt distribution. </w:t>
      </w:r>
      <w:r w:rsidR="00CF5E9B">
        <w:rPr>
          <w:lang w:val="en-CA" w:eastAsia="en-CA"/>
        </w:rPr>
        <w:t>Bid is already accompanied by a bid circular so prospectus is not required.</w:t>
      </w:r>
    </w:p>
    <w:p w:rsidR="000076E4" w:rsidRDefault="000076E4" w:rsidP="00FF0B61">
      <w:pPr>
        <w:spacing w:line="240" w:lineRule="auto"/>
        <w:rPr>
          <w:lang w:val="en-CA" w:eastAsia="en-CA"/>
        </w:rPr>
      </w:pPr>
      <w:r w:rsidRPr="000076E4">
        <w:rPr>
          <w:b/>
          <w:lang w:val="en-CA" w:eastAsia="en-CA"/>
        </w:rPr>
        <w:t>[3]</w:t>
      </w:r>
      <w:r>
        <w:rPr>
          <w:lang w:val="en-CA" w:eastAsia="en-CA"/>
        </w:rPr>
        <w:t xml:space="preserve"> </w:t>
      </w:r>
      <w:r w:rsidR="002A34BD">
        <w:rPr>
          <w:b/>
          <w:lang w:val="en-CA" w:eastAsia="en-CA"/>
        </w:rPr>
        <w:t>Acting as an UW</w:t>
      </w:r>
      <w:r>
        <w:rPr>
          <w:b/>
          <w:lang w:val="en-CA" w:eastAsia="en-CA"/>
        </w:rPr>
        <w:t xml:space="preserve"> (</w:t>
      </w:r>
      <w:r w:rsidRPr="00CD0CB3">
        <w:rPr>
          <w:b/>
          <w:color w:val="7030A0"/>
          <w:lang w:val="en-CA" w:eastAsia="en-CA"/>
        </w:rPr>
        <w:t>NI 45-</w:t>
      </w:r>
      <w:r w:rsidRPr="00E601BB">
        <w:rPr>
          <w:b/>
          <w:color w:val="7030A0"/>
          <w:lang w:val="en-CA" w:eastAsia="en-CA"/>
        </w:rPr>
        <w:t>106</w:t>
      </w:r>
      <w:r w:rsidRPr="00E601BB">
        <w:rPr>
          <w:color w:val="7030A0"/>
          <w:lang w:val="en-CA" w:eastAsia="en-CA"/>
        </w:rPr>
        <w:t xml:space="preserve"> </w:t>
      </w:r>
      <w:r w:rsidRPr="00E601BB">
        <w:rPr>
          <w:b/>
          <w:color w:val="7030A0"/>
          <w:lang w:val="en-CA" w:eastAsia="en-CA"/>
        </w:rPr>
        <w:t>s.2.33</w:t>
      </w:r>
      <w:r>
        <w:rPr>
          <w:b/>
          <w:lang w:val="en-CA" w:eastAsia="en-CA"/>
        </w:rPr>
        <w:t>):</w:t>
      </w:r>
      <w:r w:rsidR="00311828">
        <w:rPr>
          <w:b/>
          <w:lang w:val="en-CA" w:eastAsia="en-CA"/>
        </w:rPr>
        <w:t xml:space="preserve"> E.g.</w:t>
      </w:r>
      <w:r>
        <w:rPr>
          <w:b/>
          <w:lang w:val="en-CA" w:eastAsia="en-CA"/>
        </w:rPr>
        <w:t xml:space="preserve"> </w:t>
      </w:r>
      <w:r w:rsidR="00311828">
        <w:rPr>
          <w:lang w:val="en-CA" w:eastAsia="en-CA"/>
        </w:rPr>
        <w:t>If doing a bought deal</w:t>
      </w:r>
      <w:r>
        <w:rPr>
          <w:lang w:val="en-CA" w:eastAsia="en-CA"/>
        </w:rPr>
        <w:t>, and selling securities from issuer to UW, that transaction b/w issuer and UW does not require a prospectus to the UW. Main prospectus req’s is from UW to the public.</w:t>
      </w:r>
    </w:p>
    <w:p w:rsidR="00756C16" w:rsidRDefault="002A337F" w:rsidP="00FF0B61">
      <w:pPr>
        <w:pStyle w:val="Heading3"/>
        <w:spacing w:line="240" w:lineRule="auto"/>
        <w:rPr>
          <w:lang w:val="en-CA" w:eastAsia="en-CA"/>
        </w:rPr>
      </w:pPr>
      <w:bookmarkStart w:id="57" w:name="_Toc468980428"/>
      <w:r>
        <w:rPr>
          <w:lang w:val="en-CA" w:eastAsia="en-CA"/>
        </w:rPr>
        <w:t xml:space="preserve">(E) </w:t>
      </w:r>
      <w:r w:rsidR="00756C16">
        <w:rPr>
          <w:lang w:val="en-CA" w:eastAsia="en-CA"/>
        </w:rPr>
        <w:t>Cost/Benefit Analysis: Ensuring Smaller Issuers and Not-for-Profits can access Capital Markets</w:t>
      </w:r>
      <w:bookmarkEnd w:id="57"/>
    </w:p>
    <w:p w:rsidR="003C4BBC" w:rsidRPr="001309AF" w:rsidRDefault="001852E4" w:rsidP="00FF0B61">
      <w:pPr>
        <w:spacing w:after="0" w:line="240" w:lineRule="auto"/>
        <w:rPr>
          <w:b/>
          <w:lang w:val="en-CA" w:eastAsia="en-CA"/>
        </w:rPr>
      </w:pPr>
      <w:r w:rsidRPr="001309AF">
        <w:rPr>
          <w:b/>
          <w:lang w:val="en-CA" w:eastAsia="en-CA"/>
        </w:rPr>
        <w:t xml:space="preserve">[1] </w:t>
      </w:r>
      <w:r w:rsidR="003C4BBC" w:rsidRPr="001309AF">
        <w:rPr>
          <w:b/>
          <w:lang w:val="en-CA" w:eastAsia="en-CA"/>
        </w:rPr>
        <w:t>Offering Memorandum</w:t>
      </w:r>
      <w:r w:rsidR="005234FF" w:rsidRPr="001309AF">
        <w:rPr>
          <w:b/>
          <w:lang w:val="en-CA" w:eastAsia="en-CA"/>
        </w:rPr>
        <w:t xml:space="preserve"> Exemption</w:t>
      </w:r>
      <w:r w:rsidR="003C4BBC" w:rsidRPr="001309AF">
        <w:rPr>
          <w:b/>
          <w:lang w:val="en-CA" w:eastAsia="en-CA"/>
        </w:rPr>
        <w:t xml:space="preserve"> (</w:t>
      </w:r>
      <w:r w:rsidR="003C4BBC" w:rsidRPr="001309AF">
        <w:rPr>
          <w:b/>
          <w:color w:val="7030A0"/>
          <w:lang w:val="en-CA" w:eastAsia="en-CA"/>
        </w:rPr>
        <w:t>NI 45-106</w:t>
      </w:r>
      <w:r w:rsidR="003C4BBC" w:rsidRPr="001309AF">
        <w:rPr>
          <w:color w:val="7030A0"/>
          <w:lang w:val="en-CA" w:eastAsia="en-CA"/>
        </w:rPr>
        <w:t xml:space="preserve"> </w:t>
      </w:r>
      <w:r w:rsidR="00E9070B" w:rsidRPr="001309AF">
        <w:rPr>
          <w:b/>
          <w:color w:val="7030A0"/>
          <w:lang w:val="en-CA" w:eastAsia="en-CA"/>
        </w:rPr>
        <w:t>s.</w:t>
      </w:r>
      <w:r w:rsidR="003C4BBC" w:rsidRPr="001309AF">
        <w:rPr>
          <w:b/>
          <w:color w:val="7030A0"/>
          <w:lang w:val="en-CA" w:eastAsia="en-CA"/>
        </w:rPr>
        <w:t>2.9</w:t>
      </w:r>
      <w:r w:rsidR="003C4BBC" w:rsidRPr="001309AF">
        <w:rPr>
          <w:b/>
          <w:lang w:val="en-CA" w:eastAsia="en-CA"/>
        </w:rPr>
        <w:t>)</w:t>
      </w:r>
    </w:p>
    <w:p w:rsidR="00581D61" w:rsidRDefault="00D268EF" w:rsidP="00FF0B61">
      <w:pPr>
        <w:pStyle w:val="ListParagraph"/>
        <w:numPr>
          <w:ilvl w:val="0"/>
          <w:numId w:val="71"/>
        </w:numPr>
        <w:spacing w:after="0"/>
        <w:rPr>
          <w:lang w:val="en-CA" w:eastAsia="en-CA"/>
        </w:rPr>
      </w:pPr>
      <w:r w:rsidRPr="001309AF">
        <w:rPr>
          <w:lang w:val="en-CA" w:eastAsia="en-CA"/>
        </w:rPr>
        <w:t xml:space="preserve">OM is used as a substitute for prospectus level of disclosure. </w:t>
      </w:r>
      <w:r w:rsidRPr="00A713B3">
        <w:rPr>
          <w:b/>
          <w:lang w:val="en-CA" w:eastAsia="en-CA"/>
        </w:rPr>
        <w:t>Can only be used by issuers</w:t>
      </w:r>
      <w:r w:rsidRPr="001309AF">
        <w:rPr>
          <w:lang w:val="en-CA" w:eastAsia="en-CA"/>
        </w:rPr>
        <w:t xml:space="preserve">. It MUST contain a risk acknowledgement, and it </w:t>
      </w:r>
      <w:r w:rsidRPr="00A713B3">
        <w:rPr>
          <w:b/>
          <w:u w:val="single"/>
          <w:lang w:val="en-CA" w:eastAsia="en-CA"/>
        </w:rPr>
        <w:t>must be signed</w:t>
      </w:r>
      <w:r w:rsidRPr="001309AF">
        <w:rPr>
          <w:lang w:val="en-CA" w:eastAsia="en-CA"/>
        </w:rPr>
        <w:t>. The commission does not receipt it, and a misrep in an OM does attract liability. Need not be an eligible investor. When you distribute through this exemption, you must report within 10 days to the commission.</w:t>
      </w:r>
    </w:p>
    <w:p w:rsidR="00D268EF" w:rsidRPr="001309AF" w:rsidRDefault="00D268EF" w:rsidP="00FF0B61">
      <w:pPr>
        <w:pStyle w:val="ListParagraph"/>
        <w:numPr>
          <w:ilvl w:val="0"/>
          <w:numId w:val="71"/>
        </w:numPr>
        <w:spacing w:after="0"/>
        <w:rPr>
          <w:lang w:val="en-CA" w:eastAsia="en-CA"/>
        </w:rPr>
      </w:pPr>
      <w:r w:rsidRPr="001309AF">
        <w:rPr>
          <w:lang w:val="en-CA" w:eastAsia="en-CA"/>
        </w:rPr>
        <w:t>Allows two days for cancellation.</w:t>
      </w:r>
      <w:r w:rsidR="008D48BD" w:rsidRPr="001309AF">
        <w:rPr>
          <w:lang w:val="en-CA" w:eastAsia="en-CA"/>
        </w:rPr>
        <w:t xml:space="preserve"> </w:t>
      </w:r>
      <w:r w:rsidRPr="000227BD">
        <w:rPr>
          <w:b/>
          <w:lang w:val="en-CA" w:eastAsia="en-CA"/>
        </w:rPr>
        <w:t>Must be a qualifying issuer</w:t>
      </w:r>
      <w:r w:rsidRPr="001309AF">
        <w:rPr>
          <w:lang w:val="en-CA" w:eastAsia="en-CA"/>
        </w:rPr>
        <w:t xml:space="preserve"> that reports files on SEDAR, has never defaulted on these and has filed AIFs recently.</w:t>
      </w:r>
    </w:p>
    <w:p w:rsidR="00666C39" w:rsidRDefault="00666C39" w:rsidP="00FF0B61">
      <w:pPr>
        <w:spacing w:after="0" w:line="240" w:lineRule="auto"/>
        <w:rPr>
          <w:b/>
          <w:lang w:val="en-CA" w:eastAsia="en-CA"/>
        </w:rPr>
      </w:pPr>
    </w:p>
    <w:p w:rsidR="00C208F7" w:rsidRDefault="001852E4" w:rsidP="00FF0B61">
      <w:pPr>
        <w:spacing w:after="0" w:line="240" w:lineRule="auto"/>
        <w:rPr>
          <w:b/>
          <w:lang w:val="en-CA" w:eastAsia="en-CA"/>
        </w:rPr>
      </w:pPr>
      <w:r>
        <w:rPr>
          <w:b/>
          <w:lang w:val="en-CA" w:eastAsia="en-CA"/>
        </w:rPr>
        <w:t xml:space="preserve">[2] </w:t>
      </w:r>
      <w:r w:rsidR="00852B10">
        <w:rPr>
          <w:b/>
          <w:lang w:val="en-CA" w:eastAsia="en-CA"/>
        </w:rPr>
        <w:t>Asset Acquisition (</w:t>
      </w:r>
      <w:r w:rsidR="00E9070B" w:rsidRPr="00CD0CB3">
        <w:rPr>
          <w:b/>
          <w:color w:val="7030A0"/>
          <w:lang w:val="en-CA" w:eastAsia="en-CA"/>
        </w:rPr>
        <w:t>NI 45-106</w:t>
      </w:r>
      <w:r w:rsidR="00E9070B">
        <w:rPr>
          <w:color w:val="7030A0"/>
          <w:lang w:val="en-CA" w:eastAsia="en-CA"/>
        </w:rPr>
        <w:t xml:space="preserve"> </w:t>
      </w:r>
      <w:r w:rsidR="00852B10" w:rsidRPr="00E9070B">
        <w:rPr>
          <w:b/>
          <w:color w:val="7030A0"/>
          <w:lang w:val="en-CA" w:eastAsia="en-CA"/>
        </w:rPr>
        <w:t>s.</w:t>
      </w:r>
      <w:r w:rsidR="000F2CEB" w:rsidRPr="00E9070B">
        <w:rPr>
          <w:b/>
          <w:color w:val="7030A0"/>
          <w:lang w:val="en-CA" w:eastAsia="en-CA"/>
        </w:rPr>
        <w:t>2.12</w:t>
      </w:r>
      <w:r w:rsidR="000F2CEB">
        <w:rPr>
          <w:b/>
          <w:lang w:val="en-CA" w:eastAsia="en-CA"/>
        </w:rPr>
        <w:t>):</w:t>
      </w:r>
    </w:p>
    <w:p w:rsidR="00C208F7" w:rsidRDefault="00C208F7" w:rsidP="00FF0B61">
      <w:pPr>
        <w:pStyle w:val="ListParagraph"/>
        <w:numPr>
          <w:ilvl w:val="0"/>
          <w:numId w:val="70"/>
        </w:numPr>
      </w:pPr>
      <w:r w:rsidRPr="003120AC">
        <w:t xml:space="preserve">A distribution made as consideration for the acquisition of assets owned by the purchaser, if those assets have a fair value of at least $150K. Must report it w/in 10 days in </w:t>
      </w:r>
      <w:r w:rsidRPr="00C208F7">
        <w:rPr>
          <w:b/>
          <w:color w:val="7030A0"/>
        </w:rPr>
        <w:t>Form 45-106F6.</w:t>
      </w:r>
      <w:r w:rsidRPr="00C208F7">
        <w:rPr>
          <w:color w:val="7030A0"/>
        </w:rPr>
        <w:t xml:space="preserve"> </w:t>
      </w:r>
    </w:p>
    <w:p w:rsidR="00586C56" w:rsidRPr="00586C56" w:rsidRDefault="00852B10" w:rsidP="00FF0B61">
      <w:pPr>
        <w:pStyle w:val="ListParagraph"/>
        <w:numPr>
          <w:ilvl w:val="0"/>
          <w:numId w:val="70"/>
        </w:numPr>
        <w:spacing w:after="0"/>
        <w:jc w:val="both"/>
      </w:pPr>
      <w:r w:rsidRPr="00C208F7">
        <w:rPr>
          <w:b/>
          <w:lang w:val="en-CA" w:eastAsia="en-CA"/>
        </w:rPr>
        <w:t xml:space="preserve">E.g. </w:t>
      </w:r>
      <w:r w:rsidRPr="00C208F7">
        <w:rPr>
          <w:lang w:val="en-CA" w:eastAsia="en-CA"/>
        </w:rPr>
        <w:t>Startup needs a new IT system, will pay IT services company in your own shares. Buying an asset from them (but must be less than $150K, thus do not have to give them a prospectus). IT company would have to figure out for themselves if your shares are worth enough.</w:t>
      </w:r>
    </w:p>
    <w:p w:rsidR="00666C39" w:rsidRDefault="00666C39" w:rsidP="00FF0B61">
      <w:pPr>
        <w:spacing w:after="0" w:line="240" w:lineRule="auto"/>
        <w:rPr>
          <w:b/>
          <w:lang w:val="en-CA" w:eastAsia="en-CA"/>
        </w:rPr>
      </w:pPr>
    </w:p>
    <w:p w:rsidR="00586C56" w:rsidRPr="003120AC" w:rsidRDefault="00B40833" w:rsidP="00FF0B61">
      <w:pPr>
        <w:spacing w:after="0" w:line="240" w:lineRule="auto"/>
      </w:pPr>
      <w:r w:rsidRPr="00352226">
        <w:rPr>
          <w:b/>
          <w:lang w:val="en-CA" w:eastAsia="en-CA"/>
        </w:rPr>
        <w:t>[3] Isolated Distribution by Issuer (</w:t>
      </w:r>
      <w:r w:rsidRPr="00352226">
        <w:rPr>
          <w:b/>
          <w:color w:val="7030A0"/>
          <w:lang w:val="en-CA" w:eastAsia="en-CA"/>
        </w:rPr>
        <w:t>NI 45-106</w:t>
      </w:r>
      <w:r w:rsidRPr="00352226">
        <w:rPr>
          <w:color w:val="7030A0"/>
          <w:lang w:val="en-CA" w:eastAsia="en-CA"/>
        </w:rPr>
        <w:t xml:space="preserve"> </w:t>
      </w:r>
      <w:r w:rsidRPr="00352226">
        <w:rPr>
          <w:b/>
          <w:color w:val="7030A0"/>
          <w:lang w:val="en-CA" w:eastAsia="en-CA"/>
        </w:rPr>
        <w:t>s.2.30</w:t>
      </w:r>
      <w:r w:rsidRPr="00352226">
        <w:rPr>
          <w:b/>
          <w:lang w:val="en-CA" w:eastAsia="en-CA"/>
        </w:rPr>
        <w:t>):</w:t>
      </w:r>
      <w:r w:rsidR="00586C56" w:rsidRPr="00352226">
        <w:t xml:space="preserve"> An</w:t>
      </w:r>
      <w:r w:rsidR="00586C56" w:rsidRPr="003120AC">
        <w:t xml:space="preserve"> isolated distribution</w:t>
      </w:r>
      <w:r w:rsidR="00352226">
        <w:t xml:space="preserve"> (e.g. a small issue to a trade creditor that is unable to use another exemption)</w:t>
      </w:r>
      <w:r w:rsidR="00586C56" w:rsidRPr="003120AC">
        <w:t xml:space="preserve"> by an issuer in its own securities is exempt if two conditions met:</w:t>
      </w:r>
    </w:p>
    <w:p w:rsidR="00586C56" w:rsidRDefault="00586C56" w:rsidP="00FF0B61">
      <w:pPr>
        <w:pStyle w:val="ListParagraph"/>
        <w:numPr>
          <w:ilvl w:val="0"/>
          <w:numId w:val="59"/>
        </w:numPr>
      </w:pPr>
      <w:r>
        <w:rPr>
          <w:b/>
        </w:rPr>
        <w:t xml:space="preserve">1) </w:t>
      </w:r>
      <w:r>
        <w:t>D</w:t>
      </w:r>
      <w:r w:rsidRPr="003120AC">
        <w:t xml:space="preserve">istribution not part of </w:t>
      </w:r>
      <w:r>
        <w:t>similar successive transactions</w:t>
      </w:r>
      <w:r w:rsidR="00352226">
        <w:t>;</w:t>
      </w:r>
    </w:p>
    <w:p w:rsidR="00BB2553" w:rsidRDefault="00586C56" w:rsidP="00FF0B61">
      <w:pPr>
        <w:pStyle w:val="ListParagraph"/>
        <w:numPr>
          <w:ilvl w:val="0"/>
          <w:numId w:val="59"/>
        </w:numPr>
        <w:spacing w:after="0"/>
      </w:pPr>
      <w:r w:rsidRPr="00586C56">
        <w:rPr>
          <w:b/>
        </w:rPr>
        <w:t>2)</w:t>
      </w:r>
      <w:r>
        <w:t xml:space="preserve"> D</w:t>
      </w:r>
      <w:r w:rsidRPr="003120AC">
        <w:t>istribution must not be by a person whose usual business is trading in securities.</w:t>
      </w:r>
    </w:p>
    <w:p w:rsidR="00586C56" w:rsidRPr="00BB2553" w:rsidRDefault="00586C56" w:rsidP="00FF0B61">
      <w:pPr>
        <w:spacing w:line="240" w:lineRule="auto"/>
      </w:pPr>
      <w:r w:rsidRPr="003120AC">
        <w:t xml:space="preserve">Must report it w/in 10 days in </w:t>
      </w:r>
      <w:r w:rsidRPr="00BB2553">
        <w:rPr>
          <w:b/>
          <w:color w:val="7030A0"/>
        </w:rPr>
        <w:t>Form 45-106F6.</w:t>
      </w:r>
      <w:r w:rsidRPr="00BB2553">
        <w:rPr>
          <w:color w:val="7030A0"/>
        </w:rPr>
        <w:t xml:space="preserve"> </w:t>
      </w:r>
    </w:p>
    <w:p w:rsidR="00EE3ACA" w:rsidRPr="000A61FA" w:rsidRDefault="000A61FA" w:rsidP="00FF0B61">
      <w:pPr>
        <w:pStyle w:val="Heading3"/>
        <w:spacing w:line="240" w:lineRule="auto"/>
        <w:rPr>
          <w:lang w:val="en-CA" w:eastAsia="en-CA"/>
        </w:rPr>
      </w:pPr>
      <w:bookmarkStart w:id="58" w:name="_Toc468980429"/>
      <w:r w:rsidRPr="000A61FA">
        <w:rPr>
          <w:lang w:val="en-CA" w:eastAsia="en-CA"/>
        </w:rPr>
        <w:t xml:space="preserve">Equity </w:t>
      </w:r>
      <w:r w:rsidR="00EE3ACA" w:rsidRPr="000A61FA">
        <w:rPr>
          <w:lang w:val="en-CA" w:eastAsia="en-CA"/>
        </w:rPr>
        <w:t xml:space="preserve">Crowdfunding Exemption </w:t>
      </w:r>
      <w:r w:rsidRPr="000A61FA">
        <w:rPr>
          <w:lang w:val="en-CA" w:eastAsia="en-CA"/>
        </w:rPr>
        <w:t>(</w:t>
      </w:r>
      <w:r w:rsidRPr="000A61FA">
        <w:rPr>
          <w:color w:val="7030A0"/>
          <w:lang w:val="en-CA" w:eastAsia="en-CA"/>
        </w:rPr>
        <w:t>BCI 45-535</w:t>
      </w:r>
      <w:r w:rsidRPr="000A61FA">
        <w:rPr>
          <w:lang w:val="en-CA" w:eastAsia="en-CA"/>
        </w:rPr>
        <w:t>)</w:t>
      </w:r>
      <w:bookmarkEnd w:id="58"/>
      <w:r w:rsidR="00444EF5">
        <w:rPr>
          <w:lang w:val="en-CA" w:eastAsia="en-CA"/>
        </w:rPr>
        <w:t xml:space="preserve"> </w:t>
      </w:r>
    </w:p>
    <w:p w:rsidR="00095400" w:rsidRDefault="00095400" w:rsidP="00FF0B61">
      <w:pPr>
        <w:pStyle w:val="Normal1"/>
        <w:widowControl w:val="0"/>
        <w:spacing w:line="240" w:lineRule="auto"/>
        <w:contextualSpacing/>
        <w:rPr>
          <w:rFonts w:asciiTheme="minorHAnsi" w:hAnsiTheme="minorHAnsi"/>
          <w:sz w:val="18"/>
          <w:szCs w:val="20"/>
        </w:rPr>
      </w:pPr>
      <w:r>
        <w:rPr>
          <w:rFonts w:asciiTheme="minorHAnsi" w:hAnsiTheme="minorHAnsi"/>
          <w:b/>
          <w:sz w:val="18"/>
          <w:szCs w:val="20"/>
        </w:rPr>
        <w:t xml:space="preserve">Crowdfunding: </w:t>
      </w:r>
      <w:r>
        <w:rPr>
          <w:rFonts w:asciiTheme="minorHAnsi" w:hAnsiTheme="minorHAnsi"/>
          <w:sz w:val="18"/>
          <w:szCs w:val="20"/>
        </w:rPr>
        <w:t>A method of funding a project or venture through small amounts of money raised from a large number of people over the internet via an Internet portal intermediary (e.g. Kickstarter).</w:t>
      </w:r>
      <w:r w:rsidR="00C81DD3">
        <w:rPr>
          <w:rFonts w:asciiTheme="minorHAnsi" w:hAnsiTheme="minorHAnsi"/>
          <w:sz w:val="18"/>
          <w:szCs w:val="20"/>
        </w:rPr>
        <w:t xml:space="preserve"> BCSNc used </w:t>
      </w:r>
      <w:r w:rsidR="00C81DD3" w:rsidRPr="00C81DD3">
        <w:rPr>
          <w:rFonts w:asciiTheme="minorHAnsi" w:hAnsiTheme="minorHAnsi"/>
          <w:b/>
          <w:color w:val="C45911" w:themeColor="accent2" w:themeShade="BF"/>
          <w:sz w:val="18"/>
          <w:szCs w:val="20"/>
        </w:rPr>
        <w:t>BCSA 48 &amp; 76</w:t>
      </w:r>
      <w:r w:rsidR="00C81DD3" w:rsidRPr="00C81DD3">
        <w:rPr>
          <w:rFonts w:asciiTheme="minorHAnsi" w:hAnsiTheme="minorHAnsi"/>
          <w:color w:val="C45911" w:themeColor="accent2" w:themeShade="BF"/>
          <w:sz w:val="18"/>
          <w:szCs w:val="20"/>
        </w:rPr>
        <w:t xml:space="preserve"> </w:t>
      </w:r>
      <w:r w:rsidR="00C81DD3">
        <w:rPr>
          <w:rFonts w:asciiTheme="minorHAnsi" w:hAnsiTheme="minorHAnsi"/>
          <w:sz w:val="18"/>
          <w:szCs w:val="20"/>
        </w:rPr>
        <w:t>to provide discretionary crowdfunding exemptions from the registrati</w:t>
      </w:r>
      <w:r w:rsidR="008B266D">
        <w:rPr>
          <w:rFonts w:asciiTheme="minorHAnsi" w:hAnsiTheme="minorHAnsi"/>
          <w:sz w:val="18"/>
          <w:szCs w:val="20"/>
        </w:rPr>
        <w:t xml:space="preserve">on and prospectus requirements (used these rules to promulgate the instrument as opposed to BCSA 184 (which is usually used)). </w:t>
      </w:r>
    </w:p>
    <w:p w:rsidR="00095400" w:rsidRDefault="00095400" w:rsidP="00FF0B61">
      <w:pPr>
        <w:pStyle w:val="Normal1"/>
        <w:widowControl w:val="0"/>
        <w:spacing w:line="240" w:lineRule="auto"/>
        <w:contextualSpacing/>
        <w:rPr>
          <w:rFonts w:asciiTheme="minorHAnsi" w:hAnsiTheme="minorHAnsi"/>
          <w:sz w:val="18"/>
          <w:szCs w:val="20"/>
        </w:rPr>
      </w:pPr>
    </w:p>
    <w:p w:rsidR="00412B65" w:rsidRDefault="00095400" w:rsidP="00FF0B61">
      <w:pPr>
        <w:pStyle w:val="Normal1"/>
        <w:widowControl w:val="0"/>
        <w:spacing w:line="240" w:lineRule="auto"/>
        <w:contextualSpacing/>
        <w:rPr>
          <w:rFonts w:asciiTheme="minorHAnsi" w:hAnsiTheme="minorHAnsi"/>
          <w:sz w:val="18"/>
          <w:szCs w:val="20"/>
        </w:rPr>
      </w:pPr>
      <w:r>
        <w:rPr>
          <w:rFonts w:asciiTheme="minorHAnsi" w:hAnsiTheme="minorHAnsi"/>
          <w:b/>
          <w:sz w:val="18"/>
          <w:szCs w:val="20"/>
        </w:rPr>
        <w:t xml:space="preserve">Equity Crowdfunding: </w:t>
      </w:r>
      <w:r>
        <w:rPr>
          <w:rFonts w:asciiTheme="minorHAnsi" w:hAnsiTheme="minorHAnsi"/>
          <w:sz w:val="18"/>
          <w:szCs w:val="20"/>
        </w:rPr>
        <w:t>U</w:t>
      </w:r>
      <w:r w:rsidR="00FB600A">
        <w:rPr>
          <w:rFonts w:asciiTheme="minorHAnsi" w:hAnsiTheme="minorHAnsi"/>
          <w:sz w:val="18"/>
          <w:szCs w:val="20"/>
        </w:rPr>
        <w:t>nder an Equity Securities Model</w:t>
      </w:r>
      <w:r>
        <w:rPr>
          <w:rFonts w:asciiTheme="minorHAnsi" w:hAnsiTheme="minorHAnsi"/>
          <w:sz w:val="18"/>
          <w:szCs w:val="20"/>
        </w:rPr>
        <w:t xml:space="preserve"> ppl receive securities for their monetary contributions. </w:t>
      </w:r>
    </w:p>
    <w:p w:rsidR="00A70CA7" w:rsidRPr="00A70CA7" w:rsidRDefault="00A70CA7" w:rsidP="00FF0B61">
      <w:pPr>
        <w:pStyle w:val="Normal1"/>
        <w:widowControl w:val="0"/>
        <w:numPr>
          <w:ilvl w:val="0"/>
          <w:numId w:val="63"/>
        </w:numPr>
        <w:spacing w:line="240" w:lineRule="auto"/>
        <w:contextualSpacing/>
        <w:rPr>
          <w:rFonts w:asciiTheme="minorHAnsi" w:hAnsiTheme="minorHAnsi"/>
          <w:sz w:val="18"/>
          <w:szCs w:val="20"/>
        </w:rPr>
      </w:pPr>
      <w:r>
        <w:rPr>
          <w:rFonts w:asciiTheme="minorHAnsi" w:hAnsiTheme="minorHAnsi"/>
          <w:b/>
          <w:sz w:val="18"/>
          <w:szCs w:val="20"/>
        </w:rPr>
        <w:t>Dealer Registration Exemption (</w:t>
      </w:r>
      <w:r w:rsidRPr="00412B65">
        <w:rPr>
          <w:rFonts w:asciiTheme="minorHAnsi" w:hAnsiTheme="minorHAnsi"/>
          <w:b/>
          <w:color w:val="7030A0"/>
          <w:sz w:val="18"/>
          <w:szCs w:val="20"/>
        </w:rPr>
        <w:t>BCI 45-535</w:t>
      </w:r>
      <w:r>
        <w:rPr>
          <w:rFonts w:asciiTheme="minorHAnsi" w:hAnsiTheme="minorHAnsi"/>
          <w:b/>
          <w:color w:val="7030A0"/>
          <w:sz w:val="18"/>
          <w:szCs w:val="20"/>
        </w:rPr>
        <w:t xml:space="preserve">, s.7): </w:t>
      </w:r>
      <w:r w:rsidRPr="00A70CA7">
        <w:rPr>
          <w:rFonts w:asciiTheme="minorHAnsi" w:hAnsiTheme="minorHAnsi"/>
          <w:color w:val="auto"/>
          <w:sz w:val="18"/>
          <w:szCs w:val="20"/>
        </w:rPr>
        <w:t>Funding portals must either be registered or may rely on this registration exemption. Registered funding portals are subject to registrant regulation</w:t>
      </w:r>
    </w:p>
    <w:p w:rsidR="000A61FA" w:rsidRPr="00403BC8" w:rsidRDefault="00A70CA7" w:rsidP="00FF0B61">
      <w:pPr>
        <w:pStyle w:val="Normal1"/>
        <w:widowControl w:val="0"/>
        <w:numPr>
          <w:ilvl w:val="0"/>
          <w:numId w:val="63"/>
        </w:numPr>
        <w:spacing w:line="240" w:lineRule="auto"/>
        <w:contextualSpacing/>
        <w:rPr>
          <w:rFonts w:asciiTheme="minorHAnsi" w:hAnsiTheme="minorHAnsi"/>
          <w:sz w:val="18"/>
          <w:szCs w:val="20"/>
        </w:rPr>
      </w:pPr>
      <w:r>
        <w:rPr>
          <w:rFonts w:asciiTheme="minorHAnsi" w:hAnsiTheme="minorHAnsi"/>
          <w:b/>
          <w:color w:val="auto"/>
          <w:sz w:val="18"/>
          <w:szCs w:val="20"/>
        </w:rPr>
        <w:lastRenderedPageBreak/>
        <w:t>Exemption from Prospectus</w:t>
      </w:r>
      <w:r w:rsidR="009B4CB7" w:rsidRPr="009B4CB7">
        <w:rPr>
          <w:rFonts w:asciiTheme="minorHAnsi" w:hAnsiTheme="minorHAnsi"/>
          <w:b/>
          <w:color w:val="auto"/>
          <w:sz w:val="18"/>
          <w:szCs w:val="20"/>
        </w:rPr>
        <w:t xml:space="preserve"> </w:t>
      </w:r>
      <w:r w:rsidR="009B4CB7">
        <w:rPr>
          <w:rFonts w:asciiTheme="minorHAnsi" w:hAnsiTheme="minorHAnsi"/>
          <w:b/>
          <w:color w:val="7030A0"/>
          <w:sz w:val="18"/>
          <w:szCs w:val="20"/>
        </w:rPr>
        <w:t>(</w:t>
      </w:r>
      <w:r w:rsidR="00412B65" w:rsidRPr="00412B65">
        <w:rPr>
          <w:rFonts w:asciiTheme="minorHAnsi" w:hAnsiTheme="minorHAnsi"/>
          <w:b/>
          <w:color w:val="7030A0"/>
          <w:sz w:val="18"/>
          <w:szCs w:val="20"/>
        </w:rPr>
        <w:t>BCI 45-535</w:t>
      </w:r>
      <w:r w:rsidR="00AF1110">
        <w:rPr>
          <w:rFonts w:asciiTheme="minorHAnsi" w:hAnsiTheme="minorHAnsi"/>
          <w:b/>
          <w:color w:val="7030A0"/>
          <w:sz w:val="18"/>
          <w:szCs w:val="20"/>
        </w:rPr>
        <w:t>, s.8</w:t>
      </w:r>
      <w:r w:rsidR="009B4CB7">
        <w:rPr>
          <w:rFonts w:asciiTheme="minorHAnsi" w:hAnsiTheme="minorHAnsi"/>
          <w:b/>
          <w:color w:val="7030A0"/>
          <w:sz w:val="18"/>
          <w:szCs w:val="20"/>
        </w:rPr>
        <w:t>)</w:t>
      </w:r>
      <w:r w:rsidR="00412B65">
        <w:rPr>
          <w:rFonts w:asciiTheme="minorHAnsi" w:hAnsiTheme="minorHAnsi"/>
          <w:sz w:val="18"/>
          <w:szCs w:val="20"/>
        </w:rPr>
        <w:t xml:space="preserve">: </w:t>
      </w:r>
      <w:r w:rsidR="000A61FA" w:rsidRPr="000A61FA">
        <w:rPr>
          <w:rFonts w:asciiTheme="minorHAnsi" w:hAnsiTheme="minorHAnsi"/>
          <w:sz w:val="18"/>
          <w:szCs w:val="20"/>
        </w:rPr>
        <w:t>Provides exemption for crowdfunding of capital</w:t>
      </w:r>
      <w:r w:rsidR="00AF1110" w:rsidRPr="00A70CA7">
        <w:rPr>
          <w:rFonts w:asciiTheme="minorHAnsi" w:hAnsiTheme="minorHAnsi"/>
          <w:b/>
          <w:sz w:val="18"/>
          <w:szCs w:val="20"/>
        </w:rPr>
        <w:t>. Req’s:</w:t>
      </w:r>
      <w:r w:rsidR="00AF1110">
        <w:rPr>
          <w:rFonts w:asciiTheme="minorHAnsi" w:hAnsiTheme="minorHAnsi"/>
          <w:sz w:val="18"/>
          <w:szCs w:val="20"/>
        </w:rPr>
        <w:t xml:space="preserve"> </w:t>
      </w:r>
      <w:r w:rsidR="0049655C" w:rsidRPr="00FF4BEF">
        <w:rPr>
          <w:rFonts w:asciiTheme="minorHAnsi" w:hAnsiTheme="minorHAnsi"/>
          <w:b/>
          <w:sz w:val="18"/>
          <w:szCs w:val="20"/>
        </w:rPr>
        <w:t>(</w:t>
      </w:r>
      <w:r w:rsidR="0049655C">
        <w:rPr>
          <w:rFonts w:asciiTheme="minorHAnsi" w:hAnsiTheme="minorHAnsi"/>
          <w:b/>
          <w:sz w:val="18"/>
          <w:szCs w:val="20"/>
        </w:rPr>
        <w:t xml:space="preserve">b) </w:t>
      </w:r>
      <w:r w:rsidR="0049655C">
        <w:rPr>
          <w:rFonts w:asciiTheme="minorHAnsi" w:hAnsiTheme="minorHAnsi"/>
          <w:sz w:val="18"/>
          <w:szCs w:val="20"/>
        </w:rPr>
        <w:t xml:space="preserve">Distribution and </w:t>
      </w:r>
      <w:r w:rsidR="0049655C" w:rsidRPr="00C46307">
        <w:rPr>
          <w:rFonts w:asciiTheme="minorHAnsi" w:hAnsiTheme="minorHAnsi"/>
          <w:sz w:val="18"/>
          <w:szCs w:val="18"/>
        </w:rPr>
        <w:t>payment facilitated through a funding portal</w:t>
      </w:r>
      <w:r w:rsidR="0049655C" w:rsidRPr="00C46307">
        <w:rPr>
          <w:rFonts w:asciiTheme="minorHAnsi" w:hAnsiTheme="minorHAnsi"/>
          <w:b/>
          <w:sz w:val="18"/>
          <w:szCs w:val="18"/>
        </w:rPr>
        <w:t>, (e) aggregate funds raised by any person must not exceed $250,000</w:t>
      </w:r>
      <w:r w:rsidR="0049655C" w:rsidRPr="00C46307">
        <w:rPr>
          <w:rFonts w:asciiTheme="minorHAnsi" w:hAnsiTheme="minorHAnsi"/>
          <w:sz w:val="18"/>
          <w:szCs w:val="18"/>
        </w:rPr>
        <w:t xml:space="preserve">, </w:t>
      </w:r>
      <w:r w:rsidR="0049655C" w:rsidRPr="00C46307">
        <w:rPr>
          <w:rFonts w:asciiTheme="minorHAnsi" w:hAnsiTheme="minorHAnsi"/>
          <w:b/>
          <w:sz w:val="18"/>
          <w:szCs w:val="18"/>
        </w:rPr>
        <w:t xml:space="preserve">(f) </w:t>
      </w:r>
      <w:r w:rsidR="0049655C" w:rsidRPr="00C46307">
        <w:rPr>
          <w:rFonts w:asciiTheme="minorHAnsi" w:hAnsiTheme="minorHAnsi"/>
          <w:sz w:val="18"/>
          <w:szCs w:val="18"/>
        </w:rPr>
        <w:t>the issuer group is restricted to no more than 2 crowdfunding distributions in a calendar year</w:t>
      </w:r>
      <w:r w:rsidR="00C46307" w:rsidRPr="00C46307">
        <w:rPr>
          <w:rFonts w:asciiTheme="minorHAnsi" w:hAnsiTheme="minorHAnsi"/>
          <w:sz w:val="18"/>
          <w:szCs w:val="18"/>
        </w:rPr>
        <w:t xml:space="preserve">; </w:t>
      </w:r>
      <w:r w:rsidR="00C46307" w:rsidRPr="00C46307">
        <w:rPr>
          <w:rFonts w:asciiTheme="minorHAnsi" w:hAnsiTheme="minorHAnsi"/>
          <w:b/>
          <w:sz w:val="18"/>
          <w:szCs w:val="18"/>
        </w:rPr>
        <w:t>(h)</w:t>
      </w:r>
      <w:r w:rsidR="00C46307" w:rsidRPr="00C46307">
        <w:rPr>
          <w:rFonts w:asciiTheme="minorHAnsi" w:hAnsiTheme="minorHAnsi"/>
          <w:sz w:val="18"/>
          <w:szCs w:val="18"/>
        </w:rPr>
        <w:t xml:space="preserve"> The issuer uses an offering document to conduct the distribution and provides the offering document to the funding portal for the purpose of making it available to a purchaser through the funding portal’s website; </w:t>
      </w:r>
      <w:r w:rsidR="00C46307" w:rsidRPr="00C46307">
        <w:rPr>
          <w:rFonts w:asciiTheme="minorHAnsi" w:hAnsiTheme="minorHAnsi"/>
          <w:b/>
          <w:sz w:val="18"/>
          <w:szCs w:val="18"/>
        </w:rPr>
        <w:t>(i)</w:t>
      </w:r>
      <w:r w:rsidR="00C46307" w:rsidRPr="00C46307">
        <w:rPr>
          <w:rFonts w:asciiTheme="minorHAnsi" w:hAnsiTheme="minorHAnsi"/>
          <w:sz w:val="18"/>
          <w:szCs w:val="18"/>
        </w:rPr>
        <w:t xml:space="preserve"> Issuer amends the offering document in the event the offering document is no longer true </w:t>
      </w:r>
      <w:r w:rsidR="00855B6B">
        <w:rPr>
          <w:rFonts w:asciiTheme="minorHAnsi" w:hAnsiTheme="minorHAnsi"/>
          <w:sz w:val="18"/>
          <w:szCs w:val="18"/>
        </w:rPr>
        <w:t xml:space="preserve">… </w:t>
      </w:r>
      <w:r w:rsidR="00C46307" w:rsidRPr="00C46307">
        <w:rPr>
          <w:rFonts w:asciiTheme="minorHAnsi" w:hAnsiTheme="minorHAnsi"/>
          <w:sz w:val="18"/>
          <w:szCs w:val="18"/>
        </w:rPr>
        <w:t xml:space="preserve">; </w:t>
      </w:r>
      <w:r w:rsidR="0049655C" w:rsidRPr="00C46307">
        <w:rPr>
          <w:rFonts w:asciiTheme="minorHAnsi" w:hAnsiTheme="minorHAnsi"/>
          <w:b/>
          <w:sz w:val="18"/>
          <w:szCs w:val="18"/>
        </w:rPr>
        <w:t>(j)</w:t>
      </w:r>
      <w:r w:rsidR="0049655C" w:rsidRPr="00C46307">
        <w:rPr>
          <w:rFonts w:asciiTheme="minorHAnsi" w:hAnsiTheme="minorHAnsi"/>
          <w:sz w:val="18"/>
          <w:szCs w:val="18"/>
        </w:rPr>
        <w:t xml:space="preserve"> the issu</w:t>
      </w:r>
      <w:r w:rsidR="00855B6B">
        <w:rPr>
          <w:rFonts w:asciiTheme="minorHAnsi" w:hAnsiTheme="minorHAnsi"/>
          <w:sz w:val="18"/>
          <w:szCs w:val="18"/>
        </w:rPr>
        <w:t xml:space="preserve">er provides a purchaser with a K’al </w:t>
      </w:r>
      <w:r w:rsidR="0049655C" w:rsidRPr="00C46307">
        <w:rPr>
          <w:rFonts w:asciiTheme="minorHAnsi" w:hAnsiTheme="minorHAnsi"/>
          <w:sz w:val="18"/>
          <w:szCs w:val="18"/>
        </w:rPr>
        <w:t>right to withdraw an offer to purchase an eligible security that may be exercised by the purchaser delivering a notice to</w:t>
      </w:r>
      <w:r w:rsidR="0049655C" w:rsidRPr="00C46307">
        <w:rPr>
          <w:rFonts w:asciiTheme="minorHAnsi" w:hAnsiTheme="minorHAnsi"/>
          <w:sz w:val="18"/>
          <w:szCs w:val="20"/>
        </w:rPr>
        <w:t xml:space="preserve"> the funding portal within 48 hours of (i) the purchaser’s subscription or (ii) the funding portal notifying the purchaser that the offering document has been amended; </w:t>
      </w:r>
      <w:r w:rsidR="0049655C" w:rsidRPr="00C46307">
        <w:rPr>
          <w:rFonts w:asciiTheme="minorHAnsi" w:hAnsiTheme="minorHAnsi"/>
          <w:b/>
          <w:sz w:val="18"/>
          <w:szCs w:val="20"/>
        </w:rPr>
        <w:t xml:space="preserve">(p) No persons invests more than $1500. </w:t>
      </w:r>
    </w:p>
    <w:p w:rsidR="00403BC8" w:rsidRPr="00D315A0" w:rsidRDefault="00403BC8" w:rsidP="00FF0B61">
      <w:pPr>
        <w:pStyle w:val="Normal1"/>
        <w:widowControl w:val="0"/>
        <w:spacing w:line="240" w:lineRule="auto"/>
        <w:ind w:left="720"/>
        <w:contextualSpacing/>
        <w:rPr>
          <w:rFonts w:asciiTheme="minorHAnsi" w:hAnsiTheme="minorHAnsi"/>
          <w:sz w:val="18"/>
          <w:szCs w:val="20"/>
        </w:rPr>
      </w:pPr>
    </w:p>
    <w:p w:rsidR="00D315A0" w:rsidRDefault="00D315A0" w:rsidP="00FF0B61">
      <w:pPr>
        <w:pStyle w:val="Heading3"/>
        <w:spacing w:line="240" w:lineRule="auto"/>
      </w:pPr>
      <w:bookmarkStart w:id="59" w:name="_Toc468980430"/>
      <w:r>
        <w:t>Miscellaneous</w:t>
      </w:r>
      <w:r w:rsidR="000B0AF7">
        <w:t xml:space="preserve"> (Part of Div 2: Transaction Exemptions)</w:t>
      </w:r>
      <w:bookmarkEnd w:id="59"/>
      <w:r w:rsidR="000B0AF7">
        <w:t xml:space="preserve"> </w:t>
      </w:r>
    </w:p>
    <w:p w:rsidR="009852C1" w:rsidRDefault="00D315A0" w:rsidP="00FF0B61">
      <w:pPr>
        <w:spacing w:after="0" w:line="240" w:lineRule="auto"/>
      </w:pPr>
      <w:r w:rsidRPr="00D315A0">
        <w:rPr>
          <w:b/>
          <w:lang w:val="en-CA" w:eastAsia="en-CA"/>
        </w:rPr>
        <w:t xml:space="preserve">[1] </w:t>
      </w:r>
      <w:r w:rsidR="009852C1">
        <w:rPr>
          <w:b/>
          <w:lang w:val="en-CA" w:eastAsia="en-CA"/>
        </w:rPr>
        <w:t>Petroleum, natural gas and mining properties (</w:t>
      </w:r>
      <w:r w:rsidR="009852C1" w:rsidRPr="009852C1">
        <w:rPr>
          <w:b/>
          <w:color w:val="7030A0"/>
          <w:lang w:val="en-CA" w:eastAsia="en-CA"/>
        </w:rPr>
        <w:t>NI 45-106 s.2.13</w:t>
      </w:r>
      <w:r w:rsidR="009852C1">
        <w:rPr>
          <w:b/>
          <w:lang w:val="en-CA" w:eastAsia="en-CA"/>
        </w:rPr>
        <w:t xml:space="preserve">): </w:t>
      </w:r>
      <w:r w:rsidR="00AE595A">
        <w:t>The prospectus requirement does not apply to a distribution by an issuer of a security of its own issue as consideration for the acquisition, directly or indirectly, of petroleum, natural gas or mining properties or any interest in them.</w:t>
      </w:r>
    </w:p>
    <w:p w:rsidR="00AE595A" w:rsidRDefault="00AE595A" w:rsidP="00FF0B61">
      <w:pPr>
        <w:spacing w:after="0" w:line="240" w:lineRule="auto"/>
        <w:rPr>
          <w:b/>
          <w:lang w:val="en-CA" w:eastAsia="en-CA"/>
        </w:rPr>
      </w:pPr>
    </w:p>
    <w:p w:rsidR="00D315A0" w:rsidRPr="00D315A0" w:rsidRDefault="009852C1" w:rsidP="00FF0B61">
      <w:pPr>
        <w:spacing w:after="0" w:line="240" w:lineRule="auto"/>
        <w:rPr>
          <w:lang w:val="en-CA" w:eastAsia="en-CA"/>
        </w:rPr>
      </w:pPr>
      <w:r>
        <w:rPr>
          <w:b/>
          <w:lang w:val="en-CA" w:eastAsia="en-CA"/>
        </w:rPr>
        <w:t xml:space="preserve">[2] </w:t>
      </w:r>
      <w:r w:rsidR="00D315A0" w:rsidRPr="00D315A0">
        <w:rPr>
          <w:b/>
          <w:lang w:val="en-CA" w:eastAsia="en-CA"/>
        </w:rPr>
        <w:t>Securities for Debt (</w:t>
      </w:r>
      <w:r w:rsidR="00D315A0" w:rsidRPr="00D315A0">
        <w:rPr>
          <w:b/>
          <w:color w:val="7030A0"/>
          <w:lang w:val="en-CA" w:eastAsia="en-CA"/>
        </w:rPr>
        <w:t>NI 45-106</w:t>
      </w:r>
      <w:r w:rsidR="00D315A0" w:rsidRPr="00D315A0">
        <w:rPr>
          <w:color w:val="7030A0"/>
          <w:lang w:val="en-CA" w:eastAsia="en-CA"/>
        </w:rPr>
        <w:t xml:space="preserve"> </w:t>
      </w:r>
      <w:r w:rsidR="00D315A0" w:rsidRPr="00D315A0">
        <w:rPr>
          <w:b/>
          <w:color w:val="7030A0"/>
          <w:lang w:val="en-CA" w:eastAsia="en-CA"/>
        </w:rPr>
        <w:t>s.2.14</w:t>
      </w:r>
      <w:r w:rsidR="00D315A0" w:rsidRPr="00D315A0">
        <w:rPr>
          <w:b/>
          <w:lang w:val="en-CA" w:eastAsia="en-CA"/>
        </w:rPr>
        <w:t xml:space="preserve">): </w:t>
      </w:r>
      <w:r w:rsidR="00D315A0" w:rsidRPr="00D315A0">
        <w:rPr>
          <w:lang w:val="en-CA" w:eastAsia="en-CA"/>
        </w:rPr>
        <w:t xml:space="preserve">Here we are talking about </w:t>
      </w:r>
      <w:r w:rsidR="00D315A0">
        <w:rPr>
          <w:lang w:val="en-CA" w:eastAsia="en-CA"/>
        </w:rPr>
        <w:t>RI</w:t>
      </w:r>
      <w:r w:rsidR="00D315A0" w:rsidRPr="00D315A0">
        <w:rPr>
          <w:lang w:val="en-CA" w:eastAsia="en-CA"/>
        </w:rPr>
        <w:t xml:space="preserve"> (whereas before was just an issuer). Have a creditor (you owe money) and you are settling your debt by issuing them securities. </w:t>
      </w:r>
    </w:p>
    <w:p w:rsidR="00D315A0" w:rsidRPr="00D315A0" w:rsidRDefault="00D315A0" w:rsidP="00FF0B61">
      <w:pPr>
        <w:pStyle w:val="ListParagraph"/>
        <w:numPr>
          <w:ilvl w:val="0"/>
          <w:numId w:val="63"/>
        </w:numPr>
        <w:spacing w:after="0"/>
        <w:rPr>
          <w:lang w:val="en-CA" w:eastAsia="en-CA"/>
        </w:rPr>
      </w:pPr>
      <w:r w:rsidRPr="001B3733">
        <w:rPr>
          <w:b/>
          <w:lang w:val="en-CA" w:eastAsia="en-CA"/>
        </w:rPr>
        <w:t>Just for reporting issuer</w:t>
      </w:r>
      <w:r w:rsidR="001B3733">
        <w:rPr>
          <w:lang w:val="en-CA" w:eastAsia="en-CA"/>
        </w:rPr>
        <w:t>:</w:t>
      </w:r>
      <w:r w:rsidR="00F000DF">
        <w:rPr>
          <w:lang w:val="en-CA" w:eastAsia="en-CA"/>
        </w:rPr>
        <w:t xml:space="preserve"> A</w:t>
      </w:r>
      <w:r w:rsidRPr="00D315A0">
        <w:rPr>
          <w:lang w:val="en-CA" w:eastAsia="en-CA"/>
        </w:rPr>
        <w:t>s you don’t want to put a burden on a lender to do piles of due diligence before they will give a company a loan. Creditor can look at disclosure and have an idea if shares are worth anything.</w:t>
      </w:r>
    </w:p>
    <w:p w:rsidR="000B0AF7" w:rsidRDefault="000B0AF7" w:rsidP="00FF0B61">
      <w:pPr>
        <w:spacing w:after="0" w:line="240" w:lineRule="auto"/>
        <w:rPr>
          <w:b/>
          <w:lang w:val="en-CA" w:eastAsia="en-CA"/>
        </w:rPr>
      </w:pPr>
    </w:p>
    <w:p w:rsidR="00D315A0" w:rsidRPr="00D315A0" w:rsidRDefault="009852C1" w:rsidP="00FF0B61">
      <w:pPr>
        <w:spacing w:line="240" w:lineRule="auto"/>
        <w:rPr>
          <w:lang w:val="en-CA" w:eastAsia="en-CA"/>
        </w:rPr>
      </w:pPr>
      <w:r>
        <w:rPr>
          <w:b/>
          <w:lang w:val="en-CA" w:eastAsia="en-CA"/>
        </w:rPr>
        <w:t>[3]</w:t>
      </w:r>
      <w:r w:rsidR="000B0AF7">
        <w:rPr>
          <w:b/>
          <w:lang w:val="en-CA" w:eastAsia="en-CA"/>
        </w:rPr>
        <w:t xml:space="preserve"> </w:t>
      </w:r>
      <w:r w:rsidR="00D315A0" w:rsidRPr="00D315A0">
        <w:rPr>
          <w:b/>
          <w:lang w:val="en-CA" w:eastAsia="en-CA"/>
        </w:rPr>
        <w:t>Issuer Acquisition or redemption (</w:t>
      </w:r>
      <w:r w:rsidR="00D315A0" w:rsidRPr="00D315A0">
        <w:rPr>
          <w:b/>
          <w:color w:val="7030A0"/>
          <w:lang w:val="en-CA" w:eastAsia="en-CA"/>
        </w:rPr>
        <w:t>NI 45-106</w:t>
      </w:r>
      <w:r w:rsidR="00D315A0" w:rsidRPr="00D315A0">
        <w:rPr>
          <w:color w:val="7030A0"/>
          <w:lang w:val="en-CA" w:eastAsia="en-CA"/>
        </w:rPr>
        <w:t xml:space="preserve"> </w:t>
      </w:r>
      <w:r w:rsidR="00D315A0" w:rsidRPr="00D315A0">
        <w:rPr>
          <w:b/>
          <w:color w:val="7030A0"/>
          <w:lang w:val="en-CA" w:eastAsia="en-CA"/>
        </w:rPr>
        <w:t>s.2.15</w:t>
      </w:r>
      <w:r w:rsidR="00D315A0" w:rsidRPr="00D315A0">
        <w:rPr>
          <w:b/>
          <w:lang w:val="en-CA" w:eastAsia="en-CA"/>
        </w:rPr>
        <w:t xml:space="preserve">): </w:t>
      </w:r>
      <w:r w:rsidR="00D315A0" w:rsidRPr="00D315A0">
        <w:rPr>
          <w:lang w:val="en-CA" w:eastAsia="en-CA"/>
        </w:rPr>
        <w:t>Issuer creating more of its own securities to hold itself. Does not have to write a prospectus for itself. They are both the issuer and the purchaser.</w:t>
      </w:r>
    </w:p>
    <w:p w:rsidR="00D315A0" w:rsidRDefault="009852C1" w:rsidP="00FF0B61">
      <w:pPr>
        <w:spacing w:line="240" w:lineRule="auto"/>
        <w:rPr>
          <w:lang w:val="en-CA" w:eastAsia="en-CA"/>
        </w:rPr>
      </w:pPr>
      <w:r>
        <w:rPr>
          <w:b/>
          <w:lang w:val="en-CA" w:eastAsia="en-CA"/>
        </w:rPr>
        <w:t>[4</w:t>
      </w:r>
      <w:r w:rsidR="00D315A0" w:rsidRPr="00D315A0">
        <w:rPr>
          <w:b/>
          <w:lang w:val="en-CA" w:eastAsia="en-CA"/>
        </w:rPr>
        <w:t>] Security-holders outside the local jurisdiction (“province”) (</w:t>
      </w:r>
      <w:r w:rsidR="00D315A0" w:rsidRPr="00D315A0">
        <w:rPr>
          <w:b/>
          <w:color w:val="7030A0"/>
          <w:lang w:val="en-CA" w:eastAsia="en-CA"/>
        </w:rPr>
        <w:t>NI 45-</w:t>
      </w:r>
      <w:r w:rsidR="00D315A0" w:rsidRPr="00F000DF">
        <w:rPr>
          <w:b/>
          <w:color w:val="7030A0"/>
          <w:lang w:val="en-CA" w:eastAsia="en-CA"/>
        </w:rPr>
        <w:t>106</w:t>
      </w:r>
      <w:r w:rsidR="00D315A0" w:rsidRPr="00F000DF">
        <w:rPr>
          <w:color w:val="7030A0"/>
          <w:lang w:val="en-CA" w:eastAsia="en-CA"/>
        </w:rPr>
        <w:t xml:space="preserve"> </w:t>
      </w:r>
      <w:r w:rsidR="00D315A0" w:rsidRPr="00F000DF">
        <w:rPr>
          <w:b/>
          <w:color w:val="7030A0"/>
          <w:lang w:val="en-CA" w:eastAsia="en-CA"/>
        </w:rPr>
        <w:t>s.2.17</w:t>
      </w:r>
      <w:r w:rsidR="00D315A0" w:rsidRPr="00D315A0">
        <w:rPr>
          <w:b/>
          <w:lang w:val="en-CA" w:eastAsia="en-CA"/>
        </w:rPr>
        <w:t xml:space="preserve">): </w:t>
      </w:r>
      <w:r w:rsidR="00D315A0" w:rsidRPr="00D315A0">
        <w:rPr>
          <w:lang w:val="en-CA" w:eastAsia="en-CA"/>
        </w:rPr>
        <w:t xml:space="preserve">Don’t have to file documents in the local jurisdiction (BC) if the transaction is one that the securityholder is outside the jurisdiction and </w:t>
      </w:r>
      <w:r w:rsidR="00F000DF">
        <w:rPr>
          <w:lang w:val="en-CA" w:eastAsia="en-CA"/>
        </w:rPr>
        <w:t>the distribution would be in connection with a take-over bid or issuer bid</w:t>
      </w:r>
      <w:r w:rsidR="00D315A0" w:rsidRPr="00D315A0">
        <w:rPr>
          <w:lang w:val="en-CA" w:eastAsia="en-CA"/>
        </w:rPr>
        <w:t>. There would be other requirements for disclosure for a takeover bid (e.g. US takeover bid provisions). Thus if get one of those don’t need to file a prospectus (equivalent of 2.16 but works for security holders outside BC).</w:t>
      </w:r>
      <w:r w:rsidR="00D315A0">
        <w:rPr>
          <w:lang w:val="en-CA" w:eastAsia="en-CA"/>
        </w:rPr>
        <w:t xml:space="preserve"> </w:t>
      </w:r>
    </w:p>
    <w:p w:rsidR="00F2609D" w:rsidRPr="00FB3F2A" w:rsidRDefault="00E73AC0" w:rsidP="00FF0B61">
      <w:pPr>
        <w:pStyle w:val="Heading2"/>
        <w:spacing w:line="240" w:lineRule="auto"/>
        <w:rPr>
          <w:lang w:val="en-CA" w:eastAsia="en-CA"/>
        </w:rPr>
      </w:pPr>
      <w:bookmarkStart w:id="60" w:name="_Toc468980431"/>
      <w:r w:rsidRPr="00FB3F2A">
        <w:rPr>
          <w:lang w:val="en-CA" w:eastAsia="en-CA"/>
        </w:rPr>
        <w:t xml:space="preserve">Resale of Securities </w:t>
      </w:r>
      <w:r w:rsidR="00F2609D" w:rsidRPr="00FB3F2A">
        <w:rPr>
          <w:lang w:val="en-CA" w:eastAsia="en-CA"/>
        </w:rPr>
        <w:t>Exemption (</w:t>
      </w:r>
      <w:r w:rsidR="00F2609D" w:rsidRPr="00FB3F2A">
        <w:rPr>
          <w:color w:val="7030A0"/>
          <w:lang w:val="en-CA" w:eastAsia="en-CA"/>
        </w:rPr>
        <w:t>NI 45-102</w:t>
      </w:r>
      <w:r w:rsidR="00F2609D" w:rsidRPr="00FB3F2A">
        <w:rPr>
          <w:lang w:val="en-CA" w:eastAsia="en-CA"/>
        </w:rPr>
        <w:t>)</w:t>
      </w:r>
      <w:bookmarkEnd w:id="60"/>
    </w:p>
    <w:p w:rsidR="009242AD" w:rsidRDefault="009242AD" w:rsidP="00FF0B61">
      <w:pPr>
        <w:spacing w:after="0" w:line="240" w:lineRule="auto"/>
        <w:rPr>
          <w:b/>
          <w:lang w:val="en-CA" w:eastAsia="en-CA"/>
        </w:rPr>
      </w:pPr>
      <w:r>
        <w:rPr>
          <w:b/>
          <w:lang w:val="en-CA" w:eastAsia="en-CA"/>
        </w:rPr>
        <w:t xml:space="preserve">3 WAYS TO RE-SELL SECURITY ISSUED UNDER </w:t>
      </w:r>
      <w:r w:rsidRPr="009242AD">
        <w:rPr>
          <w:b/>
          <w:color w:val="7030A0"/>
          <w:lang w:val="en-CA" w:eastAsia="en-CA"/>
        </w:rPr>
        <w:t xml:space="preserve">NI 41-106 </w:t>
      </w:r>
      <w:r>
        <w:rPr>
          <w:b/>
          <w:lang w:val="en-CA" w:eastAsia="en-CA"/>
        </w:rPr>
        <w:t>PROSPECTUS EXEMPTION:</w:t>
      </w:r>
    </w:p>
    <w:p w:rsidR="009242AD" w:rsidRDefault="009242AD" w:rsidP="00FF0B61">
      <w:pPr>
        <w:pStyle w:val="ListParagraph"/>
        <w:numPr>
          <w:ilvl w:val="0"/>
          <w:numId w:val="67"/>
        </w:numPr>
        <w:rPr>
          <w:lang w:val="en-CA" w:eastAsia="en-CA"/>
        </w:rPr>
      </w:pPr>
      <w:r w:rsidRPr="009242AD">
        <w:rPr>
          <w:b/>
          <w:lang w:val="en-CA" w:eastAsia="en-CA"/>
        </w:rPr>
        <w:t xml:space="preserve">[1] </w:t>
      </w:r>
      <w:r w:rsidRPr="009242AD">
        <w:rPr>
          <w:lang w:val="en-CA" w:eastAsia="en-CA"/>
        </w:rPr>
        <w:t>Trade within closed exempt market only, by relying on further exemptions.</w:t>
      </w:r>
    </w:p>
    <w:p w:rsidR="009242AD" w:rsidRDefault="009242AD" w:rsidP="00FF0B61">
      <w:pPr>
        <w:pStyle w:val="ListParagraph"/>
        <w:numPr>
          <w:ilvl w:val="0"/>
          <w:numId w:val="67"/>
        </w:numPr>
        <w:rPr>
          <w:lang w:val="en-CA" w:eastAsia="en-CA"/>
        </w:rPr>
      </w:pPr>
      <w:r>
        <w:rPr>
          <w:b/>
          <w:lang w:val="en-CA" w:eastAsia="en-CA"/>
        </w:rPr>
        <w:t xml:space="preserve">[2] </w:t>
      </w:r>
      <w:r>
        <w:rPr>
          <w:lang w:val="en-CA" w:eastAsia="en-CA"/>
        </w:rPr>
        <w:t>Issuer Files Prospectus to Qualify the already distributed exempt market securities, transforming them into freely trading securities.</w:t>
      </w:r>
    </w:p>
    <w:p w:rsidR="009242AD" w:rsidRDefault="009242AD" w:rsidP="00FF0B61">
      <w:pPr>
        <w:pStyle w:val="ListParagraph"/>
        <w:numPr>
          <w:ilvl w:val="0"/>
          <w:numId w:val="67"/>
        </w:numPr>
        <w:rPr>
          <w:lang w:val="en-CA" w:eastAsia="en-CA"/>
        </w:rPr>
      </w:pPr>
      <w:r>
        <w:rPr>
          <w:b/>
          <w:lang w:val="en-CA" w:eastAsia="en-CA"/>
        </w:rPr>
        <w:t xml:space="preserve">[3] </w:t>
      </w:r>
      <w:r w:rsidRPr="00C83A8A">
        <w:rPr>
          <w:b/>
          <w:lang w:val="en-CA" w:eastAsia="en-CA"/>
        </w:rPr>
        <w:t>Under NI 45-102 Resale Rules, hold exempt market securities until “hold period” expires, then sell</w:t>
      </w:r>
      <w:r w:rsidR="00397755">
        <w:rPr>
          <w:lang w:val="en-CA" w:eastAsia="en-CA"/>
        </w:rPr>
        <w:t>*</w:t>
      </w:r>
    </w:p>
    <w:p w:rsidR="00EC2C4F" w:rsidRPr="00EC2C4F" w:rsidRDefault="00EC2C4F" w:rsidP="00FF0B61">
      <w:pPr>
        <w:pStyle w:val="Heading3"/>
        <w:spacing w:line="240" w:lineRule="auto"/>
        <w:rPr>
          <w:lang w:val="en-CA" w:eastAsia="en-CA"/>
        </w:rPr>
      </w:pPr>
      <w:bookmarkStart w:id="61" w:name="_Toc468980432"/>
      <w:r>
        <w:rPr>
          <w:lang w:val="en-CA" w:eastAsia="en-CA"/>
        </w:rPr>
        <w:t>Under (3) - Resale Rules (</w:t>
      </w:r>
      <w:r w:rsidRPr="00EC2C4F">
        <w:rPr>
          <w:color w:val="7030A0"/>
          <w:lang w:val="en-CA" w:eastAsia="en-CA"/>
        </w:rPr>
        <w:t>NI 45-102</w:t>
      </w:r>
      <w:r>
        <w:rPr>
          <w:lang w:val="en-CA" w:eastAsia="en-CA"/>
        </w:rPr>
        <w:t>)</w:t>
      </w:r>
      <w:bookmarkEnd w:id="61"/>
    </w:p>
    <w:tbl>
      <w:tblPr>
        <w:tblStyle w:val="TableGridLight"/>
        <w:tblW w:w="0" w:type="auto"/>
        <w:tblLook w:val="04A0" w:firstRow="1" w:lastRow="0" w:firstColumn="1" w:lastColumn="0" w:noHBand="0" w:noVBand="1"/>
      </w:tblPr>
      <w:tblGrid>
        <w:gridCol w:w="5094"/>
        <w:gridCol w:w="5094"/>
      </w:tblGrid>
      <w:tr w:rsidR="00EC2C4F" w:rsidTr="00F27917">
        <w:tc>
          <w:tcPr>
            <w:tcW w:w="10188" w:type="dxa"/>
            <w:gridSpan w:val="2"/>
          </w:tcPr>
          <w:p w:rsidR="00CE36CA" w:rsidRDefault="00EC2C4F" w:rsidP="00FF0B61">
            <w:pPr>
              <w:rPr>
                <w:lang w:val="en-CA" w:eastAsia="en-CA"/>
              </w:rPr>
            </w:pPr>
            <w:r>
              <w:rPr>
                <w:b/>
                <w:lang w:val="en-CA" w:eastAsia="en-CA"/>
              </w:rPr>
              <w:t xml:space="preserve">Hold Period: </w:t>
            </w:r>
            <w:r>
              <w:rPr>
                <w:lang w:val="en-CA" w:eastAsia="en-CA"/>
              </w:rPr>
              <w:t xml:space="preserve">Keeps securities distributed under </w:t>
            </w:r>
            <w:r w:rsidRPr="0074681F">
              <w:rPr>
                <w:b/>
                <w:color w:val="7030A0"/>
                <w:lang w:val="en-CA" w:eastAsia="en-CA"/>
              </w:rPr>
              <w:t>NI 45-106</w:t>
            </w:r>
            <w:r w:rsidRPr="0074681F">
              <w:rPr>
                <w:color w:val="7030A0"/>
                <w:lang w:val="en-CA" w:eastAsia="en-CA"/>
              </w:rPr>
              <w:t xml:space="preserve"> </w:t>
            </w:r>
            <w:r>
              <w:rPr>
                <w:lang w:val="en-CA" w:eastAsia="en-CA"/>
              </w:rPr>
              <w:t xml:space="preserve">Prospectus exemption from being freely trades for a time period. </w:t>
            </w:r>
          </w:p>
          <w:p w:rsidR="00EC2C4F" w:rsidRPr="00CE36CA" w:rsidRDefault="00EC2C4F" w:rsidP="00FF0B61">
            <w:pPr>
              <w:pStyle w:val="ListParagraph"/>
              <w:numPr>
                <w:ilvl w:val="0"/>
                <w:numId w:val="68"/>
              </w:numPr>
              <w:rPr>
                <w:b/>
                <w:lang w:val="en-CA" w:eastAsia="en-CA"/>
              </w:rPr>
            </w:pPr>
            <w:r w:rsidRPr="00CE36CA">
              <w:rPr>
                <w:b/>
                <w:lang w:val="en-CA" w:eastAsia="en-CA"/>
              </w:rPr>
              <w:t>2 main categories: 1) Restricted Period; 2) Seasoning Period</w:t>
            </w:r>
          </w:p>
        </w:tc>
      </w:tr>
      <w:tr w:rsidR="006B5FDF" w:rsidTr="00F27917">
        <w:trPr>
          <w:trHeight w:val="557"/>
        </w:trPr>
        <w:tc>
          <w:tcPr>
            <w:tcW w:w="5094" w:type="dxa"/>
          </w:tcPr>
          <w:p w:rsidR="006B5FDF" w:rsidRDefault="006B5FDF" w:rsidP="00FF0B61">
            <w:pPr>
              <w:rPr>
                <w:b/>
                <w:color w:val="7030A0"/>
                <w:lang w:val="en-CA" w:eastAsia="en-CA"/>
              </w:rPr>
            </w:pPr>
            <w:r>
              <w:rPr>
                <w:b/>
                <w:lang w:val="en-CA" w:eastAsia="en-CA"/>
              </w:rPr>
              <w:t xml:space="preserve">Restricted Period: </w:t>
            </w:r>
            <w:r>
              <w:rPr>
                <w:lang w:val="en-CA" w:eastAsia="en-CA"/>
              </w:rPr>
              <w:t xml:space="preserve">Applies to exemptions granted under NI 45-106 that are listed in </w:t>
            </w:r>
            <w:r w:rsidRPr="00C87B0E">
              <w:rPr>
                <w:b/>
                <w:color w:val="7030A0"/>
                <w:lang w:val="en-CA" w:eastAsia="en-CA"/>
              </w:rPr>
              <w:t>NI 45-102, Appendix D.</w:t>
            </w:r>
          </w:p>
          <w:p w:rsidR="002951B9" w:rsidRDefault="002951B9" w:rsidP="00FF0B61">
            <w:pPr>
              <w:rPr>
                <w:b/>
                <w:color w:val="7030A0"/>
                <w:lang w:val="en-CA" w:eastAsia="en-CA"/>
              </w:rPr>
            </w:pPr>
          </w:p>
          <w:p w:rsidR="006B5FDF" w:rsidRDefault="006B5FDF" w:rsidP="00FF0B61">
            <w:pPr>
              <w:rPr>
                <w:lang w:val="en-CA" w:eastAsia="en-CA"/>
              </w:rPr>
            </w:pPr>
            <w:r>
              <w:rPr>
                <w:b/>
                <w:color w:val="7030A0"/>
                <w:lang w:val="en-CA" w:eastAsia="en-CA"/>
              </w:rPr>
              <w:t xml:space="preserve">Appendix D </w:t>
            </w:r>
            <w:r>
              <w:rPr>
                <w:b/>
                <w:lang w:val="en-CA" w:eastAsia="en-CA"/>
              </w:rPr>
              <w:t>covers these NI 45-106 Exemptions (</w:t>
            </w:r>
            <w:r w:rsidRPr="00785BA4">
              <w:rPr>
                <w:b/>
                <w:color w:val="7030A0"/>
                <w:lang w:val="en-CA" w:eastAsia="en-CA"/>
              </w:rPr>
              <w:t>s.2.3</w:t>
            </w:r>
            <w:r>
              <w:rPr>
                <w:b/>
                <w:lang w:val="en-CA" w:eastAsia="en-CA"/>
              </w:rPr>
              <w:t xml:space="preserve">) - “Common Bonds” Related: </w:t>
            </w:r>
            <w:r w:rsidRPr="00EC2254">
              <w:rPr>
                <w:b/>
                <w:lang w:val="en-CA" w:eastAsia="en-CA"/>
              </w:rPr>
              <w:t>Accredited Investors</w:t>
            </w:r>
            <w:r>
              <w:rPr>
                <w:lang w:val="en-CA" w:eastAsia="en-CA"/>
              </w:rPr>
              <w:t xml:space="preserve"> (s.2.3), </w:t>
            </w:r>
            <w:r w:rsidRPr="00EC2254">
              <w:rPr>
                <w:b/>
                <w:lang w:val="en-CA" w:eastAsia="en-CA"/>
              </w:rPr>
              <w:t>Family, friends and biz associates</w:t>
            </w:r>
            <w:r>
              <w:rPr>
                <w:lang w:val="en-CA" w:eastAsia="en-CA"/>
              </w:rPr>
              <w:t xml:space="preserve"> (s.2.5), </w:t>
            </w:r>
            <w:r w:rsidRPr="00EC2254">
              <w:rPr>
                <w:b/>
                <w:lang w:val="en-CA" w:eastAsia="en-CA"/>
              </w:rPr>
              <w:t xml:space="preserve">Affiliates </w:t>
            </w:r>
            <w:r>
              <w:rPr>
                <w:lang w:val="en-CA" w:eastAsia="en-CA"/>
              </w:rPr>
              <w:t>(s.2.8</w:t>
            </w:r>
            <w:r w:rsidRPr="00EC2254">
              <w:rPr>
                <w:b/>
                <w:lang w:val="en-CA" w:eastAsia="en-CA"/>
              </w:rPr>
              <w:t xml:space="preserve">), Offering Memorandum </w:t>
            </w:r>
            <w:r>
              <w:rPr>
                <w:lang w:val="en-CA" w:eastAsia="en-CA"/>
              </w:rPr>
              <w:t xml:space="preserve">(s.2.9), </w:t>
            </w:r>
            <w:r w:rsidRPr="00EC2254">
              <w:rPr>
                <w:b/>
                <w:lang w:val="en-CA" w:eastAsia="en-CA"/>
              </w:rPr>
              <w:t>Minimum Amount Investment</w:t>
            </w:r>
            <w:r>
              <w:rPr>
                <w:lang w:val="en-CA" w:eastAsia="en-CA"/>
              </w:rPr>
              <w:t xml:space="preserve"> (s.2.10), </w:t>
            </w:r>
            <w:r w:rsidRPr="00EC2254">
              <w:rPr>
                <w:b/>
                <w:lang w:val="en-CA" w:eastAsia="en-CA"/>
              </w:rPr>
              <w:t>Asset Acquisition</w:t>
            </w:r>
            <w:r>
              <w:rPr>
                <w:lang w:val="en-CA" w:eastAsia="en-CA"/>
              </w:rPr>
              <w:t xml:space="preserve"> (s.2.12),</w:t>
            </w:r>
            <w:r w:rsidR="000D675A">
              <w:rPr>
                <w:lang w:val="en-CA" w:eastAsia="en-CA"/>
              </w:rPr>
              <w:t xml:space="preserve"> </w:t>
            </w:r>
            <w:r w:rsidR="000D675A">
              <w:rPr>
                <w:b/>
                <w:lang w:val="en-CA" w:eastAsia="en-CA"/>
              </w:rPr>
              <w:t xml:space="preserve">Petroleum </w:t>
            </w:r>
            <w:r w:rsidR="000D675A">
              <w:rPr>
                <w:lang w:val="en-CA" w:eastAsia="en-CA"/>
              </w:rPr>
              <w:t>(2.13);</w:t>
            </w:r>
            <w:r>
              <w:rPr>
                <w:lang w:val="en-CA" w:eastAsia="en-CA"/>
              </w:rPr>
              <w:t xml:space="preserve"> </w:t>
            </w:r>
            <w:r w:rsidRPr="00EC2254">
              <w:rPr>
                <w:b/>
                <w:lang w:val="en-CA" w:eastAsia="en-CA"/>
              </w:rPr>
              <w:t>Additional Investment in Investment Funds</w:t>
            </w:r>
            <w:r>
              <w:rPr>
                <w:lang w:val="en-CA" w:eastAsia="en-CA"/>
              </w:rPr>
              <w:t xml:space="preserve"> (s.2.19), </w:t>
            </w:r>
            <w:r w:rsidRPr="00EC2254">
              <w:rPr>
                <w:b/>
                <w:lang w:val="en-CA" w:eastAsia="en-CA"/>
              </w:rPr>
              <w:t>Isolated Distribution by Issuer</w:t>
            </w:r>
            <w:r>
              <w:rPr>
                <w:lang w:val="en-CA" w:eastAsia="en-CA"/>
              </w:rPr>
              <w:t xml:space="preserve"> (s.2.30)</w:t>
            </w:r>
          </w:p>
          <w:p w:rsidR="006B5FDF" w:rsidRDefault="006B5FDF" w:rsidP="00FF0B61">
            <w:pPr>
              <w:rPr>
                <w:lang w:val="en-CA" w:eastAsia="en-CA"/>
              </w:rPr>
            </w:pPr>
          </w:p>
          <w:p w:rsidR="006B5FDF" w:rsidRDefault="002951B9" w:rsidP="00FF0B61">
            <w:pPr>
              <w:rPr>
                <w:lang w:val="en-CA" w:eastAsia="en-CA"/>
              </w:rPr>
            </w:pPr>
            <w:r>
              <w:rPr>
                <w:noProof/>
                <w:lang w:val="en-CA" w:eastAsia="en-CA"/>
              </w:rPr>
              <mc:AlternateContent>
                <mc:Choice Requires="wps">
                  <w:drawing>
                    <wp:anchor distT="0" distB="0" distL="114300" distR="114300" simplePos="0" relativeHeight="251661312" behindDoc="0" locked="0" layoutInCell="1" allowOverlap="1" wp14:anchorId="7AE40EE0" wp14:editId="1A1BAED9">
                      <wp:simplePos x="0" y="0"/>
                      <wp:positionH relativeFrom="column">
                        <wp:posOffset>1200785</wp:posOffset>
                      </wp:positionH>
                      <wp:positionV relativeFrom="paragraph">
                        <wp:posOffset>5080</wp:posOffset>
                      </wp:positionV>
                      <wp:extent cx="263525" cy="278130"/>
                      <wp:effectExtent l="19050" t="0" r="22225" b="45720"/>
                      <wp:wrapNone/>
                      <wp:docPr id="1" name="Arrow: Down 1"/>
                      <wp:cNvGraphicFramePr/>
                      <a:graphic xmlns:a="http://schemas.openxmlformats.org/drawingml/2006/main">
                        <a:graphicData uri="http://schemas.microsoft.com/office/word/2010/wordprocessingShape">
                          <wps:wsp>
                            <wps:cNvSpPr/>
                            <wps:spPr>
                              <a:xfrm>
                                <a:off x="0" y="0"/>
                                <a:ext cx="263525" cy="278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6F82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4.55pt;margin-top:.4pt;width:20.7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" adj="11367" fillcolor="#5b9bd5 [3204]" strokecolor="#1f4d78 [1604]" strokeweight="1pt"/>
                  </w:pict>
                </mc:Fallback>
              </mc:AlternateContent>
            </w:r>
          </w:p>
          <w:p w:rsidR="006B5FDF" w:rsidRDefault="006B5FDF" w:rsidP="00FF0B61">
            <w:pPr>
              <w:rPr>
                <w:lang w:val="en-CA" w:eastAsia="en-CA"/>
              </w:rPr>
            </w:pPr>
            <w:r>
              <w:rPr>
                <w:lang w:val="en-CA" w:eastAsia="en-CA"/>
              </w:rPr>
              <w:t xml:space="preserve"> </w:t>
            </w:r>
          </w:p>
          <w:p w:rsidR="002951B9" w:rsidRDefault="002951B9" w:rsidP="00FF0B61">
            <w:pPr>
              <w:rPr>
                <w:lang w:val="en-CA" w:eastAsia="en-CA"/>
              </w:rPr>
            </w:pPr>
          </w:p>
          <w:p w:rsidR="006B5FDF" w:rsidRPr="006B5FDF" w:rsidRDefault="006B5FDF" w:rsidP="00FF0B61">
            <w:pPr>
              <w:rPr>
                <w:b/>
                <w:u w:val="single"/>
                <w:lang w:val="en-CA" w:eastAsia="en-CA"/>
              </w:rPr>
            </w:pPr>
            <w:r w:rsidRPr="006B5FDF">
              <w:rPr>
                <w:b/>
                <w:u w:val="single"/>
                <w:lang w:val="en-CA" w:eastAsia="en-CA"/>
              </w:rPr>
              <w:t>7 Conditions to Satisfy Restricted Period (</w:t>
            </w:r>
            <w:r w:rsidRPr="006B5FDF">
              <w:rPr>
                <w:b/>
                <w:color w:val="7030A0"/>
                <w:u w:val="single"/>
                <w:lang w:val="en-CA" w:eastAsia="en-CA"/>
              </w:rPr>
              <w:t>NI 45-102 s.2.5</w:t>
            </w:r>
            <w:r w:rsidRPr="006B5FDF">
              <w:rPr>
                <w:b/>
                <w:u w:val="single"/>
                <w:lang w:val="en-CA" w:eastAsia="en-CA"/>
              </w:rPr>
              <w:t xml:space="preserve">): </w:t>
            </w:r>
          </w:p>
          <w:p w:rsidR="006B5FDF" w:rsidRPr="00D56BD5" w:rsidRDefault="006B5FDF" w:rsidP="00FF0B61">
            <w:pPr>
              <w:autoSpaceDE w:val="0"/>
              <w:autoSpaceDN w:val="0"/>
              <w:adjustRightInd w:val="0"/>
              <w:rPr>
                <w:rFonts w:ascii="Calibri" w:hAnsi="Calibri" w:cs="Calibri"/>
                <w:color w:val="000000"/>
                <w:szCs w:val="20"/>
                <w:lang w:val="en-CA"/>
              </w:rPr>
            </w:pPr>
            <w:r w:rsidRPr="006B5FDF">
              <w:rPr>
                <w:rFonts w:ascii="Calibri" w:hAnsi="Calibri" w:cs="Calibri"/>
                <w:b/>
                <w:color w:val="000000"/>
                <w:szCs w:val="20"/>
                <w:lang w:val="en-CA"/>
              </w:rPr>
              <w:t>1)</w:t>
            </w:r>
            <w:r w:rsidRPr="00D56BD5">
              <w:rPr>
                <w:rFonts w:ascii="Calibri" w:hAnsi="Calibri" w:cs="Calibri"/>
                <w:color w:val="000000"/>
                <w:szCs w:val="20"/>
                <w:lang w:val="en-CA"/>
              </w:rPr>
              <w:t xml:space="preserve"> Issuer must have been </w:t>
            </w:r>
            <w:r w:rsidR="00E93E1A">
              <w:rPr>
                <w:rFonts w:ascii="Calibri" w:hAnsi="Calibri" w:cs="Calibri"/>
                <w:color w:val="000000"/>
                <w:szCs w:val="20"/>
                <w:lang w:val="en-CA"/>
              </w:rPr>
              <w:t>RI</w:t>
            </w:r>
            <w:r w:rsidRPr="00D56BD5">
              <w:rPr>
                <w:rFonts w:ascii="Calibri" w:hAnsi="Calibri" w:cs="Calibri"/>
                <w:color w:val="000000"/>
                <w:szCs w:val="20"/>
                <w:lang w:val="en-CA"/>
              </w:rPr>
              <w:t xml:space="preserve"> in Canadian</w:t>
            </w:r>
            <w:r w:rsidR="00194F18">
              <w:rPr>
                <w:rFonts w:ascii="Calibri" w:hAnsi="Calibri" w:cs="Calibri"/>
                <w:color w:val="000000"/>
                <w:szCs w:val="20"/>
                <w:lang w:val="en-CA"/>
              </w:rPr>
              <w:t xml:space="preserve"> jurisdiction for minimum 4 </w:t>
            </w:r>
            <w:r w:rsidRPr="00D56BD5">
              <w:rPr>
                <w:rFonts w:ascii="Calibri" w:hAnsi="Calibri" w:cs="Calibri"/>
                <w:color w:val="000000"/>
                <w:szCs w:val="20"/>
                <w:lang w:val="en-CA"/>
              </w:rPr>
              <w:t>months prior</w:t>
            </w:r>
            <w:r w:rsidR="00194F18">
              <w:rPr>
                <w:rFonts w:ascii="Calibri" w:hAnsi="Calibri" w:cs="Calibri"/>
                <w:color w:val="000000"/>
                <w:szCs w:val="20"/>
                <w:lang w:val="en-CA"/>
              </w:rPr>
              <w:t xml:space="preserve"> (</w:t>
            </w:r>
            <w:r w:rsidR="00194F18" w:rsidRPr="00BC0CE3">
              <w:rPr>
                <w:lang w:val="en-CA" w:eastAsia="en-CA"/>
              </w:rPr>
              <w:t>must already have periodic disclosure and prospectus</w:t>
            </w:r>
            <w:r w:rsidR="00194F18">
              <w:rPr>
                <w:lang w:val="en-CA" w:eastAsia="en-CA"/>
              </w:rPr>
              <w:t>)</w:t>
            </w:r>
            <w:r w:rsidR="005D1D7D">
              <w:rPr>
                <w:lang w:val="en-CA" w:eastAsia="en-CA"/>
              </w:rPr>
              <w:t>;</w:t>
            </w:r>
          </w:p>
          <w:p w:rsidR="006B5FDF" w:rsidRPr="00D56BD5" w:rsidRDefault="006B5FDF" w:rsidP="00FF0B61">
            <w:pPr>
              <w:autoSpaceDE w:val="0"/>
              <w:autoSpaceDN w:val="0"/>
              <w:adjustRightInd w:val="0"/>
              <w:rPr>
                <w:rFonts w:ascii="Calibri" w:hAnsi="Calibri" w:cs="Calibri"/>
                <w:color w:val="000000"/>
                <w:szCs w:val="20"/>
                <w:lang w:val="en-CA"/>
              </w:rPr>
            </w:pPr>
            <w:r w:rsidRPr="006B5FDF">
              <w:rPr>
                <w:rFonts w:ascii="Calibri" w:hAnsi="Calibri" w:cs="Calibri"/>
                <w:b/>
                <w:color w:val="000000"/>
                <w:szCs w:val="20"/>
                <w:lang w:val="en-CA"/>
              </w:rPr>
              <w:t>2)</w:t>
            </w:r>
            <w:r w:rsidRPr="00D56BD5">
              <w:rPr>
                <w:rFonts w:ascii="Calibri" w:hAnsi="Calibri" w:cs="Calibri"/>
                <w:color w:val="000000"/>
                <w:szCs w:val="20"/>
                <w:lang w:val="en-CA"/>
              </w:rPr>
              <w:t xml:space="preserve"> Minimum 4 months must have passed since original distribution</w:t>
            </w:r>
            <w:r w:rsidR="00DC6E41">
              <w:rPr>
                <w:rFonts w:ascii="Calibri" w:hAnsi="Calibri" w:cs="Calibri"/>
                <w:color w:val="000000"/>
                <w:szCs w:val="20"/>
                <w:lang w:val="en-CA"/>
              </w:rPr>
              <w:t xml:space="preserve"> (</w:t>
            </w:r>
            <w:r w:rsidR="00CA0745">
              <w:rPr>
                <w:lang w:val="en-CA" w:eastAsia="en-CA"/>
              </w:rPr>
              <w:t>prevent “backdoor underwriting”)</w:t>
            </w:r>
          </w:p>
          <w:p w:rsidR="006B5FDF" w:rsidRDefault="006B5FDF" w:rsidP="00FF0B61">
            <w:pPr>
              <w:autoSpaceDE w:val="0"/>
              <w:autoSpaceDN w:val="0"/>
              <w:adjustRightInd w:val="0"/>
              <w:rPr>
                <w:rFonts w:ascii="Calibri" w:hAnsi="Calibri" w:cs="Calibri"/>
                <w:color w:val="000000"/>
                <w:szCs w:val="20"/>
                <w:lang w:val="en-CA"/>
              </w:rPr>
            </w:pPr>
            <w:r w:rsidRPr="006B5FDF">
              <w:rPr>
                <w:rFonts w:ascii="Calibri" w:hAnsi="Calibri" w:cs="Calibri"/>
                <w:b/>
                <w:color w:val="000000"/>
                <w:szCs w:val="20"/>
                <w:lang w:val="en-CA"/>
              </w:rPr>
              <w:t>3)</w:t>
            </w:r>
            <w:r w:rsidRPr="00D56BD5">
              <w:rPr>
                <w:rFonts w:ascii="Calibri" w:hAnsi="Calibri" w:cs="Calibri"/>
                <w:color w:val="000000"/>
                <w:szCs w:val="20"/>
                <w:lang w:val="en-CA"/>
              </w:rPr>
              <w:t xml:space="preserve"> Security Certificate must have legend denoti</w:t>
            </w:r>
            <w:r w:rsidR="00194F18">
              <w:rPr>
                <w:rFonts w:ascii="Calibri" w:hAnsi="Calibri" w:cs="Calibri"/>
                <w:color w:val="000000"/>
                <w:szCs w:val="20"/>
                <w:lang w:val="en-CA"/>
              </w:rPr>
              <w:t xml:space="preserve">ng the original 4-month trading </w:t>
            </w:r>
            <w:r w:rsidRPr="00D56BD5">
              <w:rPr>
                <w:rFonts w:ascii="Calibri" w:hAnsi="Calibri" w:cs="Calibri"/>
                <w:color w:val="000000"/>
                <w:szCs w:val="20"/>
                <w:lang w:val="en-CA"/>
              </w:rPr>
              <w:t>restriction or written notice must be given to original purchaser</w:t>
            </w:r>
            <w:r w:rsidR="005D1D7D">
              <w:rPr>
                <w:rFonts w:ascii="Calibri" w:hAnsi="Calibri" w:cs="Calibri"/>
                <w:color w:val="000000"/>
                <w:szCs w:val="20"/>
                <w:lang w:val="en-CA"/>
              </w:rPr>
              <w:t>;</w:t>
            </w:r>
          </w:p>
          <w:p w:rsidR="006B5FDF" w:rsidRPr="00D56BD5" w:rsidRDefault="006B5FDF" w:rsidP="00FF0B61">
            <w:pPr>
              <w:autoSpaceDE w:val="0"/>
              <w:autoSpaceDN w:val="0"/>
              <w:adjustRightInd w:val="0"/>
              <w:rPr>
                <w:rFonts w:ascii="Calibri" w:hAnsi="Calibri" w:cs="Calibri"/>
                <w:color w:val="000000"/>
                <w:szCs w:val="20"/>
                <w:lang w:val="en-CA"/>
              </w:rPr>
            </w:pPr>
            <w:r w:rsidRPr="006B5FDF">
              <w:rPr>
                <w:rFonts w:ascii="Calibri" w:hAnsi="Calibri" w:cs="Calibri"/>
                <w:b/>
                <w:color w:val="000000"/>
                <w:szCs w:val="20"/>
                <w:lang w:val="en-CA"/>
              </w:rPr>
              <w:t>4)</w:t>
            </w:r>
            <w:r w:rsidRPr="00D56BD5">
              <w:rPr>
                <w:rFonts w:ascii="Calibri" w:hAnsi="Calibri" w:cs="Calibri"/>
                <w:color w:val="000000"/>
                <w:szCs w:val="20"/>
                <w:lang w:val="en-CA"/>
              </w:rPr>
              <w:t xml:space="preserve"> Trade can’t be a control distribution</w:t>
            </w:r>
          </w:p>
          <w:p w:rsidR="006B5FDF" w:rsidRPr="00D56BD5" w:rsidRDefault="006B5FDF" w:rsidP="00FF0B61">
            <w:pPr>
              <w:autoSpaceDE w:val="0"/>
              <w:autoSpaceDN w:val="0"/>
              <w:adjustRightInd w:val="0"/>
              <w:rPr>
                <w:rFonts w:ascii="Calibri" w:hAnsi="Calibri" w:cs="Calibri"/>
                <w:color w:val="000000"/>
                <w:szCs w:val="20"/>
                <w:lang w:val="en-CA"/>
              </w:rPr>
            </w:pPr>
            <w:r w:rsidRPr="006B5FDF">
              <w:rPr>
                <w:rFonts w:ascii="Calibri" w:hAnsi="Calibri" w:cs="Calibri"/>
                <w:b/>
                <w:color w:val="000000"/>
                <w:szCs w:val="20"/>
                <w:lang w:val="en-CA"/>
              </w:rPr>
              <w:t>5)</w:t>
            </w:r>
            <w:r w:rsidRPr="00D56BD5">
              <w:rPr>
                <w:rFonts w:ascii="Calibri" w:hAnsi="Calibri" w:cs="Calibri"/>
                <w:color w:val="000000"/>
                <w:szCs w:val="20"/>
                <w:lang w:val="en-CA"/>
              </w:rPr>
              <w:t xml:space="preserve"> No unusual effort to prepare the market or create demand</w:t>
            </w:r>
          </w:p>
          <w:p w:rsidR="006B5FDF" w:rsidRPr="00D56BD5" w:rsidRDefault="006B5FDF" w:rsidP="00FF0B61">
            <w:pPr>
              <w:autoSpaceDE w:val="0"/>
              <w:autoSpaceDN w:val="0"/>
              <w:adjustRightInd w:val="0"/>
              <w:rPr>
                <w:rFonts w:ascii="Calibri" w:hAnsi="Calibri" w:cs="Calibri"/>
                <w:color w:val="000000"/>
                <w:szCs w:val="20"/>
                <w:lang w:val="en-CA"/>
              </w:rPr>
            </w:pPr>
            <w:r w:rsidRPr="006B5FDF">
              <w:rPr>
                <w:rFonts w:ascii="Calibri" w:hAnsi="Calibri" w:cs="Calibri"/>
                <w:b/>
                <w:color w:val="000000"/>
                <w:szCs w:val="20"/>
                <w:lang w:val="en-CA"/>
              </w:rPr>
              <w:t>6)</w:t>
            </w:r>
            <w:r w:rsidRPr="00D56BD5">
              <w:rPr>
                <w:rFonts w:ascii="Calibri" w:hAnsi="Calibri" w:cs="Calibri"/>
                <w:color w:val="000000"/>
                <w:szCs w:val="20"/>
                <w:lang w:val="en-CA"/>
              </w:rPr>
              <w:t xml:space="preserve"> No extraordinary commissions or consideration can have been paid</w:t>
            </w:r>
          </w:p>
          <w:p w:rsidR="006B5FDF" w:rsidRDefault="006B5FDF" w:rsidP="00FF0B61">
            <w:pPr>
              <w:autoSpaceDE w:val="0"/>
              <w:autoSpaceDN w:val="0"/>
              <w:adjustRightInd w:val="0"/>
              <w:rPr>
                <w:rFonts w:ascii="Calibri" w:hAnsi="Calibri" w:cs="Calibri"/>
                <w:color w:val="000000"/>
                <w:szCs w:val="20"/>
                <w:lang w:val="en-CA"/>
              </w:rPr>
            </w:pPr>
            <w:r w:rsidRPr="006B5FDF">
              <w:rPr>
                <w:rFonts w:ascii="Calibri" w:hAnsi="Calibri" w:cs="Calibri"/>
                <w:b/>
                <w:color w:val="000000"/>
                <w:szCs w:val="20"/>
                <w:lang w:val="en-CA"/>
              </w:rPr>
              <w:lastRenderedPageBreak/>
              <w:t>7)</w:t>
            </w:r>
            <w:r w:rsidRPr="00D56BD5">
              <w:rPr>
                <w:rFonts w:ascii="Calibri" w:hAnsi="Calibri" w:cs="Calibri"/>
                <w:color w:val="000000"/>
                <w:szCs w:val="20"/>
                <w:lang w:val="en-CA"/>
              </w:rPr>
              <w:t xml:space="preserve"> If seller is insider or officer, they can’t have rea</w:t>
            </w:r>
            <w:r>
              <w:rPr>
                <w:rFonts w:ascii="Calibri" w:hAnsi="Calibri" w:cs="Calibri"/>
                <w:color w:val="000000"/>
                <w:szCs w:val="20"/>
                <w:lang w:val="en-CA"/>
              </w:rPr>
              <w:t xml:space="preserve">sonable grounds to believe that </w:t>
            </w:r>
            <w:r w:rsidRPr="00D56BD5">
              <w:rPr>
                <w:rFonts w:ascii="Calibri" w:hAnsi="Calibri" w:cs="Calibri"/>
                <w:color w:val="000000"/>
                <w:szCs w:val="20"/>
                <w:lang w:val="en-CA"/>
              </w:rPr>
              <w:t>issuer is in default of securities legislation</w:t>
            </w:r>
          </w:p>
          <w:p w:rsidR="006B5FDF" w:rsidRPr="00D56BD5" w:rsidRDefault="006B5FDF" w:rsidP="00FF0B61">
            <w:pPr>
              <w:autoSpaceDE w:val="0"/>
              <w:autoSpaceDN w:val="0"/>
              <w:adjustRightInd w:val="0"/>
              <w:rPr>
                <w:rFonts w:ascii="Calibri" w:hAnsi="Calibri" w:cs="Calibri"/>
                <w:color w:val="000000"/>
                <w:szCs w:val="20"/>
                <w:lang w:val="en-CA"/>
              </w:rPr>
            </w:pPr>
          </w:p>
          <w:p w:rsidR="006B5FDF" w:rsidRPr="004C3DA8" w:rsidRDefault="006B5FDF" w:rsidP="00FF0B61">
            <w:pPr>
              <w:autoSpaceDE w:val="0"/>
              <w:autoSpaceDN w:val="0"/>
              <w:adjustRightInd w:val="0"/>
              <w:rPr>
                <w:lang w:val="en-CA" w:eastAsia="en-CA"/>
              </w:rPr>
            </w:pPr>
            <w:r w:rsidRPr="00B00BB2">
              <w:rPr>
                <w:rFonts w:ascii="Calibri" w:hAnsi="Calibri" w:cs="Calibri"/>
                <w:b/>
                <w:szCs w:val="20"/>
                <w:lang w:val="en-CA"/>
              </w:rPr>
              <w:t>Once restricted period observed</w:t>
            </w:r>
            <w:r w:rsidR="00B00BB2">
              <w:rPr>
                <w:rFonts w:ascii="Calibri" w:hAnsi="Calibri" w:cs="Calibri"/>
                <w:b/>
                <w:szCs w:val="20"/>
                <w:lang w:val="en-CA"/>
              </w:rPr>
              <w:t>:</w:t>
            </w:r>
            <w:r w:rsidRPr="006B5FDF">
              <w:rPr>
                <w:rFonts w:ascii="Calibri" w:hAnsi="Calibri" w:cs="Calibri"/>
                <w:szCs w:val="20"/>
                <w:lang w:val="en-CA"/>
              </w:rPr>
              <w:t xml:space="preserve"> securities can be traded freely on public capital markets.</w:t>
            </w:r>
          </w:p>
        </w:tc>
        <w:tc>
          <w:tcPr>
            <w:tcW w:w="5094" w:type="dxa"/>
          </w:tcPr>
          <w:p w:rsidR="006B5FDF" w:rsidRPr="002951B9" w:rsidRDefault="006B5FDF" w:rsidP="00FF0B61">
            <w:pPr>
              <w:autoSpaceDE w:val="0"/>
              <w:autoSpaceDN w:val="0"/>
              <w:adjustRightInd w:val="0"/>
              <w:rPr>
                <w:rFonts w:ascii="Calibri" w:hAnsi="Calibri" w:cs="Calibri"/>
                <w:color w:val="000000"/>
                <w:szCs w:val="20"/>
                <w:lang w:val="en-CA"/>
              </w:rPr>
            </w:pPr>
            <w:r>
              <w:rPr>
                <w:b/>
                <w:lang w:val="en-CA" w:eastAsia="en-CA"/>
              </w:rPr>
              <w:lastRenderedPageBreak/>
              <w:t xml:space="preserve">Seasoning Period: </w:t>
            </w:r>
            <w:r w:rsidR="00E17863" w:rsidRPr="00E17863">
              <w:rPr>
                <w:rFonts w:ascii="Calibri" w:hAnsi="Calibri" w:cs="Calibri"/>
                <w:color w:val="000000"/>
                <w:szCs w:val="20"/>
                <w:lang w:val="en-CA"/>
              </w:rPr>
              <w:t>Appl</w:t>
            </w:r>
            <w:r w:rsidR="002951B9">
              <w:rPr>
                <w:rFonts w:ascii="Calibri" w:hAnsi="Calibri" w:cs="Calibri"/>
                <w:color w:val="000000"/>
                <w:szCs w:val="20"/>
                <w:lang w:val="en-CA"/>
              </w:rPr>
              <w:t xml:space="preserve">ies to exemptions granted under </w:t>
            </w:r>
            <w:r w:rsidR="00E17863" w:rsidRPr="00E17863">
              <w:rPr>
                <w:rFonts w:ascii="Calibri" w:hAnsi="Calibri" w:cs="Calibri"/>
                <w:color w:val="000000"/>
                <w:szCs w:val="20"/>
                <w:lang w:val="en-CA"/>
              </w:rPr>
              <w:t xml:space="preserve">NI 45-106 that are listed in </w:t>
            </w:r>
            <w:r w:rsidR="00E17863" w:rsidRPr="00E17863">
              <w:rPr>
                <w:rFonts w:ascii="Calibri-Bold" w:hAnsi="Calibri-Bold" w:cs="Calibri-Bold"/>
                <w:b/>
                <w:bCs/>
                <w:color w:val="7030A0"/>
                <w:szCs w:val="20"/>
                <w:lang w:val="en-CA"/>
              </w:rPr>
              <w:t>NI 45-102, Appendix E.</w:t>
            </w:r>
          </w:p>
          <w:p w:rsidR="00344C79" w:rsidRDefault="00344C79" w:rsidP="00FF0B61">
            <w:pPr>
              <w:autoSpaceDE w:val="0"/>
              <w:autoSpaceDN w:val="0"/>
              <w:adjustRightInd w:val="0"/>
              <w:rPr>
                <w:b/>
                <w:color w:val="7030A0"/>
                <w:lang w:val="en-CA" w:eastAsia="en-CA"/>
              </w:rPr>
            </w:pPr>
          </w:p>
          <w:p w:rsidR="006B5FDF" w:rsidRDefault="006B5FDF" w:rsidP="00FF0B61">
            <w:pPr>
              <w:autoSpaceDE w:val="0"/>
              <w:autoSpaceDN w:val="0"/>
              <w:adjustRightInd w:val="0"/>
              <w:rPr>
                <w:rFonts w:ascii="Calibri" w:hAnsi="Calibri" w:cs="Calibri"/>
                <w:szCs w:val="20"/>
                <w:lang w:val="en-CA"/>
              </w:rPr>
            </w:pPr>
            <w:r w:rsidRPr="00E17863">
              <w:rPr>
                <w:b/>
                <w:color w:val="7030A0"/>
                <w:lang w:val="en-CA" w:eastAsia="en-CA"/>
              </w:rPr>
              <w:t xml:space="preserve">Appendix E </w:t>
            </w:r>
            <w:r>
              <w:rPr>
                <w:b/>
                <w:lang w:val="en-CA" w:eastAsia="en-CA"/>
              </w:rPr>
              <w:t xml:space="preserve">covers these NI 45-106 Exemptions (s.2.4) - More In relation to the nature of the security: </w:t>
            </w:r>
            <w:r w:rsidRPr="00EC2254">
              <w:rPr>
                <w:rFonts w:ascii="Calibri" w:hAnsi="Calibri" w:cs="Calibri"/>
                <w:b/>
                <w:szCs w:val="20"/>
                <w:lang w:val="en-CA"/>
              </w:rPr>
              <w:t>Rights Offering</w:t>
            </w:r>
            <w:r w:rsidRPr="00D56BD5">
              <w:rPr>
                <w:rFonts w:ascii="Calibri" w:hAnsi="Calibri" w:cs="Calibri"/>
                <w:szCs w:val="20"/>
                <w:lang w:val="en-CA"/>
              </w:rPr>
              <w:t xml:space="preserve"> (s 2.1), </w:t>
            </w:r>
            <w:r w:rsidRPr="00EC2254">
              <w:rPr>
                <w:rFonts w:ascii="Calibri" w:hAnsi="Calibri" w:cs="Calibri"/>
                <w:b/>
                <w:szCs w:val="20"/>
                <w:lang w:val="en-CA"/>
              </w:rPr>
              <w:t>Rei</w:t>
            </w:r>
            <w:r w:rsidR="00BB76DF" w:rsidRPr="00EC2254">
              <w:rPr>
                <w:rFonts w:ascii="Calibri" w:hAnsi="Calibri" w:cs="Calibri"/>
                <w:b/>
                <w:szCs w:val="20"/>
                <w:lang w:val="en-CA"/>
              </w:rPr>
              <w:t>nvestment Plan</w:t>
            </w:r>
            <w:r w:rsidR="00BB76DF">
              <w:rPr>
                <w:rFonts w:ascii="Calibri" w:hAnsi="Calibri" w:cs="Calibri"/>
                <w:szCs w:val="20"/>
                <w:lang w:val="en-CA"/>
              </w:rPr>
              <w:t xml:space="preserve"> (s 2.2), </w:t>
            </w:r>
            <w:r w:rsidR="00BB76DF" w:rsidRPr="00EC2254">
              <w:rPr>
                <w:rFonts w:ascii="Calibri" w:hAnsi="Calibri" w:cs="Calibri"/>
                <w:b/>
                <w:szCs w:val="20"/>
                <w:lang w:val="en-CA"/>
              </w:rPr>
              <w:t xml:space="preserve">Private </w:t>
            </w:r>
            <w:r w:rsidRPr="00EC2254">
              <w:rPr>
                <w:rFonts w:ascii="Calibri" w:hAnsi="Calibri" w:cs="Calibri"/>
                <w:b/>
                <w:szCs w:val="20"/>
                <w:lang w:val="en-CA"/>
              </w:rPr>
              <w:t>Issuer</w:t>
            </w:r>
            <w:r w:rsidRPr="00D56BD5">
              <w:rPr>
                <w:rFonts w:ascii="Calibri" w:hAnsi="Calibri" w:cs="Calibri"/>
                <w:szCs w:val="20"/>
                <w:lang w:val="en-CA"/>
              </w:rPr>
              <w:t xml:space="preserve"> (s 2.4), </w:t>
            </w:r>
            <w:r w:rsidRPr="00EC2254">
              <w:rPr>
                <w:rFonts w:ascii="Calibri" w:hAnsi="Calibri" w:cs="Calibri"/>
                <w:b/>
                <w:szCs w:val="20"/>
                <w:lang w:val="en-CA"/>
              </w:rPr>
              <w:t>Business Co</w:t>
            </w:r>
            <w:r w:rsidR="00BB76DF" w:rsidRPr="00EC2254">
              <w:rPr>
                <w:rFonts w:ascii="Calibri" w:hAnsi="Calibri" w:cs="Calibri"/>
                <w:b/>
                <w:szCs w:val="20"/>
                <w:lang w:val="en-CA"/>
              </w:rPr>
              <w:t>mbination and Reorganization</w:t>
            </w:r>
            <w:r w:rsidR="00BB76DF">
              <w:rPr>
                <w:rFonts w:ascii="Calibri" w:hAnsi="Calibri" w:cs="Calibri"/>
                <w:szCs w:val="20"/>
                <w:lang w:val="en-CA"/>
              </w:rPr>
              <w:t xml:space="preserve"> (s </w:t>
            </w:r>
            <w:r w:rsidRPr="00D56BD5">
              <w:rPr>
                <w:rFonts w:ascii="Calibri" w:hAnsi="Calibri" w:cs="Calibri"/>
                <w:szCs w:val="20"/>
                <w:lang w:val="en-CA"/>
              </w:rPr>
              <w:t xml:space="preserve">2.11), </w:t>
            </w:r>
            <w:r w:rsidRPr="00EC2254">
              <w:rPr>
                <w:rFonts w:ascii="Calibri" w:hAnsi="Calibri" w:cs="Calibri"/>
                <w:b/>
                <w:szCs w:val="20"/>
                <w:lang w:val="en-CA"/>
              </w:rPr>
              <w:t xml:space="preserve">Take-over Bid and </w:t>
            </w:r>
            <w:r w:rsidR="00BB76DF" w:rsidRPr="00EC2254">
              <w:rPr>
                <w:rFonts w:ascii="Calibri" w:hAnsi="Calibri" w:cs="Calibri"/>
                <w:b/>
                <w:szCs w:val="20"/>
                <w:lang w:val="en-CA"/>
              </w:rPr>
              <w:t>Issuer Bid</w:t>
            </w:r>
            <w:r w:rsidR="00BB76DF">
              <w:rPr>
                <w:rFonts w:ascii="Calibri" w:hAnsi="Calibri" w:cs="Calibri"/>
                <w:szCs w:val="20"/>
                <w:lang w:val="en-CA"/>
              </w:rPr>
              <w:t xml:space="preserve"> (s 2.16),</w:t>
            </w:r>
            <w:r w:rsidR="002F2D74">
              <w:rPr>
                <w:rFonts w:ascii="Calibri" w:hAnsi="Calibri" w:cs="Calibri"/>
                <w:szCs w:val="20"/>
                <w:lang w:val="en-CA"/>
              </w:rPr>
              <w:t xml:space="preserve"> </w:t>
            </w:r>
            <w:r w:rsidR="002F2D74">
              <w:rPr>
                <w:rFonts w:ascii="Calibri" w:hAnsi="Calibri" w:cs="Calibri"/>
                <w:b/>
                <w:szCs w:val="20"/>
                <w:lang w:val="en-CA"/>
              </w:rPr>
              <w:t xml:space="preserve">Offer to Acquire to security holder outside local juris </w:t>
            </w:r>
            <w:r w:rsidR="002F2D74">
              <w:rPr>
                <w:rFonts w:ascii="Calibri" w:hAnsi="Calibri" w:cs="Calibri"/>
                <w:szCs w:val="20"/>
                <w:lang w:val="en-CA"/>
              </w:rPr>
              <w:t>(2.17);</w:t>
            </w:r>
            <w:r w:rsidR="00BB76DF">
              <w:rPr>
                <w:rFonts w:ascii="Calibri" w:hAnsi="Calibri" w:cs="Calibri"/>
                <w:szCs w:val="20"/>
                <w:lang w:val="en-CA"/>
              </w:rPr>
              <w:t xml:space="preserve"> </w:t>
            </w:r>
            <w:r w:rsidR="00BB76DF" w:rsidRPr="00EC2254">
              <w:rPr>
                <w:rFonts w:ascii="Calibri" w:hAnsi="Calibri" w:cs="Calibri"/>
                <w:b/>
                <w:szCs w:val="20"/>
                <w:lang w:val="en-CA"/>
              </w:rPr>
              <w:t xml:space="preserve">Investment </w:t>
            </w:r>
            <w:r w:rsidRPr="00EC2254">
              <w:rPr>
                <w:rFonts w:ascii="Calibri" w:hAnsi="Calibri" w:cs="Calibri"/>
                <w:b/>
                <w:szCs w:val="20"/>
                <w:lang w:val="en-CA"/>
              </w:rPr>
              <w:t>Fund Reinvestment</w:t>
            </w:r>
            <w:r w:rsidRPr="00D56BD5">
              <w:rPr>
                <w:rFonts w:ascii="Calibri" w:hAnsi="Calibri" w:cs="Calibri"/>
                <w:szCs w:val="20"/>
                <w:lang w:val="en-CA"/>
              </w:rPr>
              <w:t xml:space="preserve"> (s 2.</w:t>
            </w:r>
            <w:r w:rsidR="00BB76DF">
              <w:rPr>
                <w:rFonts w:ascii="Calibri" w:hAnsi="Calibri" w:cs="Calibri"/>
                <w:szCs w:val="20"/>
                <w:lang w:val="en-CA"/>
              </w:rPr>
              <w:t xml:space="preserve">18), </w:t>
            </w:r>
            <w:r w:rsidR="00BB76DF" w:rsidRPr="00EC2254">
              <w:rPr>
                <w:rFonts w:ascii="Calibri" w:hAnsi="Calibri" w:cs="Calibri"/>
                <w:b/>
                <w:szCs w:val="20"/>
                <w:lang w:val="en-CA"/>
              </w:rPr>
              <w:t>Private Investment Club</w:t>
            </w:r>
            <w:r w:rsidR="00BB76DF">
              <w:rPr>
                <w:rFonts w:ascii="Calibri" w:hAnsi="Calibri" w:cs="Calibri"/>
                <w:szCs w:val="20"/>
                <w:lang w:val="en-CA"/>
              </w:rPr>
              <w:t xml:space="preserve"> (s </w:t>
            </w:r>
            <w:r w:rsidRPr="00D56BD5">
              <w:rPr>
                <w:rFonts w:ascii="Calibri" w:hAnsi="Calibri" w:cs="Calibri"/>
                <w:szCs w:val="20"/>
                <w:lang w:val="en-CA"/>
              </w:rPr>
              <w:t xml:space="preserve">2.20), </w:t>
            </w:r>
            <w:r w:rsidRPr="00EC2254">
              <w:rPr>
                <w:rFonts w:ascii="Calibri" w:hAnsi="Calibri" w:cs="Calibri"/>
                <w:b/>
                <w:szCs w:val="20"/>
                <w:lang w:val="en-CA"/>
              </w:rPr>
              <w:t>Private Investment Fund –</w:t>
            </w:r>
            <w:r w:rsidR="00BB76DF" w:rsidRPr="00EC2254">
              <w:rPr>
                <w:rFonts w:ascii="Calibri" w:hAnsi="Calibri" w:cs="Calibri"/>
                <w:b/>
                <w:szCs w:val="20"/>
                <w:lang w:val="en-CA"/>
              </w:rPr>
              <w:t xml:space="preserve"> Loan &amp; Trust Pools</w:t>
            </w:r>
            <w:r w:rsidR="00BB76DF">
              <w:rPr>
                <w:rFonts w:ascii="Calibri" w:hAnsi="Calibri" w:cs="Calibri"/>
                <w:szCs w:val="20"/>
                <w:lang w:val="en-CA"/>
              </w:rPr>
              <w:t xml:space="preserve"> (s </w:t>
            </w:r>
            <w:r w:rsidR="002951B9">
              <w:rPr>
                <w:rFonts w:ascii="Calibri" w:hAnsi="Calibri" w:cs="Calibri"/>
                <w:szCs w:val="20"/>
                <w:lang w:val="en-CA"/>
              </w:rPr>
              <w:t xml:space="preserve">2.21), </w:t>
            </w:r>
            <w:r w:rsidR="002951B9" w:rsidRPr="00EC2254">
              <w:rPr>
                <w:rFonts w:ascii="Calibri" w:hAnsi="Calibri" w:cs="Calibri"/>
                <w:b/>
                <w:szCs w:val="20"/>
                <w:lang w:val="en-CA"/>
              </w:rPr>
              <w:t>EE, Exe OFR, DIR and Consultant</w:t>
            </w:r>
            <w:r w:rsidR="002951B9">
              <w:rPr>
                <w:rFonts w:ascii="Calibri" w:hAnsi="Calibri" w:cs="Calibri"/>
                <w:szCs w:val="20"/>
                <w:lang w:val="en-CA"/>
              </w:rPr>
              <w:t xml:space="preserve"> </w:t>
            </w:r>
            <w:r w:rsidRPr="00D56BD5">
              <w:rPr>
                <w:rFonts w:ascii="Calibri" w:hAnsi="Calibri" w:cs="Calibri"/>
                <w:szCs w:val="20"/>
                <w:lang w:val="en-CA"/>
              </w:rPr>
              <w:t>(s 2.24)</w:t>
            </w:r>
          </w:p>
          <w:p w:rsidR="002951B9" w:rsidRDefault="002951B9" w:rsidP="00FF0B61">
            <w:pPr>
              <w:autoSpaceDE w:val="0"/>
              <w:autoSpaceDN w:val="0"/>
              <w:adjustRightInd w:val="0"/>
              <w:rPr>
                <w:rFonts w:ascii="Calibri" w:hAnsi="Calibri" w:cs="Calibri"/>
                <w:szCs w:val="20"/>
                <w:lang w:val="en-CA"/>
              </w:rPr>
            </w:pPr>
          </w:p>
          <w:p w:rsidR="006B5FDF" w:rsidRDefault="006B5FDF" w:rsidP="00FF0B61">
            <w:pPr>
              <w:spacing w:before="240"/>
              <w:rPr>
                <w:rFonts w:ascii="Calibri" w:hAnsi="Calibri" w:cs="Calibri"/>
                <w:szCs w:val="20"/>
                <w:lang w:val="en-CA"/>
              </w:rPr>
            </w:pPr>
            <w:r>
              <w:rPr>
                <w:noProof/>
                <w:lang w:val="en-CA" w:eastAsia="en-CA"/>
              </w:rPr>
              <mc:AlternateContent>
                <mc:Choice Requires="wps">
                  <w:drawing>
                    <wp:anchor distT="0" distB="0" distL="114300" distR="114300" simplePos="0" relativeHeight="251663360" behindDoc="0" locked="0" layoutInCell="1" allowOverlap="1" wp14:anchorId="1C708996" wp14:editId="245B00C2">
                      <wp:simplePos x="0" y="0"/>
                      <wp:positionH relativeFrom="column">
                        <wp:posOffset>1340485</wp:posOffset>
                      </wp:positionH>
                      <wp:positionV relativeFrom="paragraph">
                        <wp:posOffset>4445</wp:posOffset>
                      </wp:positionV>
                      <wp:extent cx="263525" cy="278130"/>
                      <wp:effectExtent l="19050" t="0" r="22225" b="45720"/>
                      <wp:wrapNone/>
                      <wp:docPr id="2" name="Arrow: Down 2"/>
                      <wp:cNvGraphicFramePr/>
                      <a:graphic xmlns:a="http://schemas.openxmlformats.org/drawingml/2006/main">
                        <a:graphicData uri="http://schemas.microsoft.com/office/word/2010/wordprocessingShape">
                          <wps:wsp>
                            <wps:cNvSpPr/>
                            <wps:spPr>
                              <a:xfrm>
                                <a:off x="0" y="0"/>
                                <a:ext cx="263525" cy="278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B8B8" id="Arrow: Down 2" o:spid="_x0000_s1026" type="#_x0000_t67" style="position:absolute;margin-left:105.55pt;margin-top:.35pt;width:20.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" adj="11367" fillcolor="#5b9bd5 [3204]" strokecolor="#1f4d78 [1604]" strokeweight="1pt"/>
                  </w:pict>
                </mc:Fallback>
              </mc:AlternateContent>
            </w:r>
          </w:p>
          <w:p w:rsidR="006B5FDF" w:rsidRPr="00785BA4" w:rsidRDefault="006B5FDF" w:rsidP="00FF0B61">
            <w:pPr>
              <w:rPr>
                <w:b/>
                <w:lang w:val="en-CA" w:eastAsia="en-CA"/>
              </w:rPr>
            </w:pPr>
          </w:p>
          <w:p w:rsidR="006B5FDF" w:rsidRPr="006B5FDF" w:rsidRDefault="006B5FDF" w:rsidP="00FF0B61">
            <w:pPr>
              <w:autoSpaceDE w:val="0"/>
              <w:autoSpaceDN w:val="0"/>
              <w:adjustRightInd w:val="0"/>
              <w:rPr>
                <w:rFonts w:cs="Calibri-Bold"/>
                <w:b/>
                <w:bCs/>
                <w:color w:val="7030A0"/>
                <w:szCs w:val="20"/>
                <w:u w:val="single"/>
                <w:lang w:val="en-CA"/>
              </w:rPr>
            </w:pPr>
            <w:r w:rsidRPr="006B5FDF">
              <w:rPr>
                <w:rFonts w:cs="Calibri-Bold"/>
                <w:b/>
                <w:bCs/>
                <w:color w:val="000000"/>
                <w:szCs w:val="20"/>
                <w:u w:val="single"/>
                <w:lang w:val="en-CA"/>
              </w:rPr>
              <w:t xml:space="preserve">5 Conditions to Satisfy Seasoning Period: </w:t>
            </w:r>
            <w:r w:rsidRPr="006B5FDF">
              <w:rPr>
                <w:rFonts w:cs="Calibri-Bold"/>
                <w:b/>
                <w:bCs/>
                <w:color w:val="7030A0"/>
                <w:szCs w:val="20"/>
                <w:u w:val="single"/>
                <w:lang w:val="en-CA"/>
              </w:rPr>
              <w:t>(NI 45-102 s 2.6)</w:t>
            </w:r>
          </w:p>
          <w:p w:rsidR="006B5FDF" w:rsidRPr="00D56BD5" w:rsidRDefault="006B5FDF" w:rsidP="00FF0B61">
            <w:pPr>
              <w:autoSpaceDE w:val="0"/>
              <w:autoSpaceDN w:val="0"/>
              <w:adjustRightInd w:val="0"/>
              <w:rPr>
                <w:rFonts w:cs="Calibri"/>
                <w:color w:val="000000"/>
                <w:szCs w:val="20"/>
                <w:lang w:val="en-CA"/>
              </w:rPr>
            </w:pPr>
            <w:r w:rsidRPr="006B5FDF">
              <w:rPr>
                <w:rFonts w:cs="Calibri"/>
                <w:b/>
                <w:color w:val="000000"/>
                <w:szCs w:val="20"/>
                <w:lang w:val="en-CA"/>
              </w:rPr>
              <w:t>1)</w:t>
            </w:r>
            <w:r w:rsidRPr="00D56BD5">
              <w:rPr>
                <w:rFonts w:cs="Calibri"/>
                <w:color w:val="000000"/>
                <w:szCs w:val="20"/>
                <w:lang w:val="en-CA"/>
              </w:rPr>
              <w:t xml:space="preserve"> Issuer must have been </w:t>
            </w:r>
            <w:r w:rsidR="00E93E1A">
              <w:rPr>
                <w:rFonts w:cs="Calibri"/>
                <w:color w:val="000000"/>
                <w:szCs w:val="20"/>
                <w:lang w:val="en-CA"/>
              </w:rPr>
              <w:t>RI</w:t>
            </w:r>
            <w:r w:rsidR="005D1D7D">
              <w:rPr>
                <w:rFonts w:cs="Calibri"/>
                <w:color w:val="000000"/>
                <w:szCs w:val="20"/>
                <w:lang w:val="en-CA"/>
              </w:rPr>
              <w:t xml:space="preserve"> in Canadian jurisdiction for </w:t>
            </w:r>
            <w:r w:rsidRPr="00D56BD5">
              <w:rPr>
                <w:rFonts w:cs="Calibri"/>
                <w:color w:val="000000"/>
                <w:szCs w:val="20"/>
                <w:lang w:val="en-CA"/>
              </w:rPr>
              <w:t>minimum 4 months prior</w:t>
            </w:r>
          </w:p>
          <w:p w:rsidR="006B5FDF" w:rsidRPr="00D56BD5" w:rsidRDefault="006B5FDF" w:rsidP="00FF0B61">
            <w:pPr>
              <w:autoSpaceDE w:val="0"/>
              <w:autoSpaceDN w:val="0"/>
              <w:adjustRightInd w:val="0"/>
              <w:rPr>
                <w:rFonts w:cs="Calibri"/>
                <w:color w:val="000000"/>
                <w:szCs w:val="20"/>
                <w:lang w:val="en-CA"/>
              </w:rPr>
            </w:pPr>
            <w:r w:rsidRPr="006B5FDF">
              <w:rPr>
                <w:rFonts w:cs="Calibri"/>
                <w:b/>
                <w:color w:val="000000"/>
                <w:szCs w:val="20"/>
                <w:lang w:val="en-CA"/>
              </w:rPr>
              <w:t>2</w:t>
            </w:r>
            <w:r w:rsidRPr="00D56BD5">
              <w:rPr>
                <w:rFonts w:cs="Calibri"/>
                <w:color w:val="000000"/>
                <w:szCs w:val="20"/>
                <w:lang w:val="en-CA"/>
              </w:rPr>
              <w:t>) Trade can’t be a control distribution</w:t>
            </w:r>
          </w:p>
          <w:p w:rsidR="006B5FDF" w:rsidRPr="00D56BD5" w:rsidRDefault="006B5FDF" w:rsidP="00FF0B61">
            <w:pPr>
              <w:autoSpaceDE w:val="0"/>
              <w:autoSpaceDN w:val="0"/>
              <w:adjustRightInd w:val="0"/>
              <w:rPr>
                <w:rFonts w:cs="Calibri"/>
                <w:color w:val="000000"/>
                <w:szCs w:val="20"/>
                <w:lang w:val="en-CA"/>
              </w:rPr>
            </w:pPr>
            <w:r w:rsidRPr="006B5FDF">
              <w:rPr>
                <w:rFonts w:cs="Calibri"/>
                <w:b/>
                <w:color w:val="000000"/>
                <w:szCs w:val="20"/>
                <w:lang w:val="en-CA"/>
              </w:rPr>
              <w:t>3)</w:t>
            </w:r>
            <w:r w:rsidRPr="00D56BD5">
              <w:rPr>
                <w:rFonts w:cs="Calibri"/>
                <w:color w:val="000000"/>
                <w:szCs w:val="20"/>
                <w:lang w:val="en-CA"/>
              </w:rPr>
              <w:t xml:space="preserve"> No unusual effort to prepare the market or create demand</w:t>
            </w:r>
          </w:p>
          <w:p w:rsidR="006B5FDF" w:rsidRPr="00D56BD5" w:rsidRDefault="006B5FDF" w:rsidP="00FF0B61">
            <w:pPr>
              <w:autoSpaceDE w:val="0"/>
              <w:autoSpaceDN w:val="0"/>
              <w:adjustRightInd w:val="0"/>
              <w:rPr>
                <w:rFonts w:cs="Calibri"/>
                <w:color w:val="000000"/>
                <w:szCs w:val="20"/>
                <w:lang w:val="en-CA"/>
              </w:rPr>
            </w:pPr>
            <w:r w:rsidRPr="006B5FDF">
              <w:rPr>
                <w:rFonts w:cs="Calibri"/>
                <w:b/>
                <w:color w:val="000000"/>
                <w:szCs w:val="20"/>
                <w:lang w:val="en-CA"/>
              </w:rPr>
              <w:t>4)</w:t>
            </w:r>
            <w:r w:rsidRPr="00D56BD5">
              <w:rPr>
                <w:rFonts w:cs="Calibri"/>
                <w:color w:val="000000"/>
                <w:szCs w:val="20"/>
                <w:lang w:val="en-CA"/>
              </w:rPr>
              <w:t xml:space="preserve"> No extraordinary commissions or consideration can have been paid</w:t>
            </w:r>
          </w:p>
          <w:p w:rsidR="006B5FDF" w:rsidRPr="00D56BD5" w:rsidRDefault="006B5FDF" w:rsidP="00FF0B61">
            <w:pPr>
              <w:autoSpaceDE w:val="0"/>
              <w:autoSpaceDN w:val="0"/>
              <w:adjustRightInd w:val="0"/>
              <w:rPr>
                <w:rFonts w:cs="Calibri"/>
                <w:color w:val="000000"/>
                <w:szCs w:val="20"/>
                <w:lang w:val="en-CA"/>
              </w:rPr>
            </w:pPr>
            <w:r w:rsidRPr="006B5FDF">
              <w:rPr>
                <w:rFonts w:cs="Calibri"/>
                <w:b/>
                <w:color w:val="000000"/>
                <w:szCs w:val="20"/>
                <w:lang w:val="en-CA"/>
              </w:rPr>
              <w:t>5)</w:t>
            </w:r>
            <w:r w:rsidRPr="00D56BD5">
              <w:rPr>
                <w:rFonts w:cs="Calibri"/>
                <w:color w:val="000000"/>
                <w:szCs w:val="20"/>
                <w:lang w:val="en-CA"/>
              </w:rPr>
              <w:t xml:space="preserve"> If seller is insider or officer, they can’t hav</w:t>
            </w:r>
            <w:r>
              <w:rPr>
                <w:rFonts w:cs="Calibri"/>
                <w:color w:val="000000"/>
                <w:szCs w:val="20"/>
                <w:lang w:val="en-CA"/>
              </w:rPr>
              <w:t xml:space="preserve">e reasonable grounds to believe </w:t>
            </w:r>
            <w:r w:rsidRPr="00D56BD5">
              <w:rPr>
                <w:rFonts w:cs="Calibri"/>
                <w:color w:val="000000"/>
                <w:szCs w:val="20"/>
                <w:lang w:val="en-CA"/>
              </w:rPr>
              <w:t>that issuer is in default of securities legislation</w:t>
            </w:r>
          </w:p>
          <w:p w:rsidR="006B5FDF" w:rsidRDefault="006B5FDF" w:rsidP="00FF0B61">
            <w:pPr>
              <w:rPr>
                <w:rFonts w:cs="Calibri"/>
                <w:color w:val="000000"/>
                <w:szCs w:val="20"/>
                <w:lang w:val="en-CA"/>
              </w:rPr>
            </w:pPr>
          </w:p>
          <w:p w:rsidR="00194F18" w:rsidRPr="00194F18" w:rsidRDefault="00194F18" w:rsidP="00FF0B61">
            <w:pPr>
              <w:rPr>
                <w:lang w:val="en-CA" w:eastAsia="en-CA"/>
              </w:rPr>
            </w:pPr>
            <w:r w:rsidRPr="00194F18">
              <w:rPr>
                <w:b/>
                <w:i/>
                <w:lang w:val="en-CA" w:eastAsia="en-CA"/>
              </w:rPr>
              <w:t xml:space="preserve">What’s Missing (compared to 2.5): </w:t>
            </w:r>
            <w:r w:rsidRPr="00194F18">
              <w:rPr>
                <w:lang w:val="en-CA" w:eastAsia="en-CA"/>
              </w:rPr>
              <w:t xml:space="preserve">Does not include no “backdoor UW”; no legending requirements; don’t have to hold securities for </w:t>
            </w:r>
            <w:r w:rsidRPr="00194F18">
              <w:rPr>
                <w:lang w:val="en-CA" w:eastAsia="en-CA"/>
              </w:rPr>
              <w:lastRenderedPageBreak/>
              <w:t xml:space="preserve">4 months as well </w:t>
            </w:r>
            <w:r w:rsidRPr="0006230F">
              <w:rPr>
                <w:lang w:val="en-CA" w:eastAsia="en-CA"/>
              </w:rPr>
              <w:sym w:font="Wingdings" w:char="F0E0"/>
            </w:r>
            <w:r w:rsidRPr="00194F18">
              <w:rPr>
                <w:lang w:val="en-CA" w:eastAsia="en-CA"/>
              </w:rPr>
              <w:t xml:space="preserve"> Less of a risk of that behaviour under those particular exemptions. </w:t>
            </w:r>
          </w:p>
          <w:p w:rsidR="00194F18" w:rsidRDefault="00194F18" w:rsidP="00FF0B61">
            <w:pPr>
              <w:rPr>
                <w:rFonts w:cs="Calibri"/>
                <w:color w:val="000000"/>
                <w:szCs w:val="20"/>
                <w:lang w:val="en-CA"/>
              </w:rPr>
            </w:pPr>
          </w:p>
          <w:p w:rsidR="006B5FDF" w:rsidRPr="00785BA4" w:rsidRDefault="006B5FDF" w:rsidP="00FF0B61">
            <w:pPr>
              <w:autoSpaceDE w:val="0"/>
              <w:autoSpaceDN w:val="0"/>
              <w:adjustRightInd w:val="0"/>
              <w:rPr>
                <w:b/>
                <w:lang w:val="en-CA" w:eastAsia="en-CA"/>
              </w:rPr>
            </w:pPr>
            <w:r w:rsidRPr="00B00BB2">
              <w:rPr>
                <w:rFonts w:ascii="Calibri" w:hAnsi="Calibri" w:cs="Calibri"/>
                <w:b/>
                <w:szCs w:val="20"/>
                <w:lang w:val="en-CA"/>
              </w:rPr>
              <w:t>Once seasoning period observed</w:t>
            </w:r>
            <w:r w:rsidR="00B00BB2">
              <w:rPr>
                <w:rFonts w:ascii="Calibri" w:hAnsi="Calibri" w:cs="Calibri"/>
                <w:szCs w:val="20"/>
                <w:lang w:val="en-CA"/>
              </w:rPr>
              <w:t xml:space="preserve">: </w:t>
            </w:r>
            <w:r w:rsidRPr="006B5FDF">
              <w:rPr>
                <w:rFonts w:ascii="Calibri" w:hAnsi="Calibri" w:cs="Calibri"/>
                <w:szCs w:val="20"/>
                <w:lang w:val="en-CA"/>
              </w:rPr>
              <w:t>securities can be traded freely on public capital markets.</w:t>
            </w:r>
          </w:p>
        </w:tc>
      </w:tr>
    </w:tbl>
    <w:p w:rsidR="00736A6C" w:rsidRDefault="00736A6C" w:rsidP="00FF0B61">
      <w:pPr>
        <w:autoSpaceDE w:val="0"/>
        <w:autoSpaceDN w:val="0"/>
        <w:adjustRightInd w:val="0"/>
        <w:spacing w:after="0" w:line="240" w:lineRule="auto"/>
        <w:rPr>
          <w:rFonts w:cs="Calibri-Bold"/>
          <w:b/>
          <w:bCs/>
          <w:lang w:val="en-CA"/>
        </w:rPr>
      </w:pPr>
    </w:p>
    <w:p w:rsidR="00736A6C" w:rsidRPr="00736A6C" w:rsidRDefault="00736A6C" w:rsidP="00FF0B61">
      <w:pPr>
        <w:autoSpaceDE w:val="0"/>
        <w:autoSpaceDN w:val="0"/>
        <w:adjustRightInd w:val="0"/>
        <w:spacing w:after="0" w:line="240" w:lineRule="auto"/>
        <w:rPr>
          <w:rFonts w:cs="Calibri-Bold"/>
          <w:b/>
          <w:bCs/>
          <w:u w:val="single"/>
          <w:lang w:val="en-CA"/>
        </w:rPr>
      </w:pPr>
      <w:r w:rsidRPr="00736A6C">
        <w:rPr>
          <w:rFonts w:cs="Calibri-Bold"/>
          <w:b/>
          <w:bCs/>
          <w:u w:val="single"/>
          <w:lang w:val="en-CA"/>
        </w:rPr>
        <w:t>Different resale rules for different exemptions:</w:t>
      </w:r>
    </w:p>
    <w:p w:rsidR="00736A6C" w:rsidRDefault="00736A6C" w:rsidP="00FF0B61">
      <w:pPr>
        <w:pStyle w:val="ListParagraph"/>
        <w:numPr>
          <w:ilvl w:val="0"/>
          <w:numId w:val="59"/>
        </w:numPr>
        <w:autoSpaceDE w:val="0"/>
        <w:autoSpaceDN w:val="0"/>
        <w:adjustRightInd w:val="0"/>
        <w:spacing w:after="0"/>
        <w:rPr>
          <w:rFonts w:cs="Calibri"/>
          <w:lang w:val="en-CA"/>
        </w:rPr>
      </w:pPr>
      <w:r w:rsidRPr="00B01A21">
        <w:rPr>
          <w:rFonts w:cs="Calibri"/>
          <w:b/>
          <w:lang w:val="en-CA"/>
        </w:rPr>
        <w:t>“Rest</w:t>
      </w:r>
      <w:r w:rsidR="00E77C01">
        <w:rPr>
          <w:rFonts w:cs="Calibri"/>
          <w:b/>
          <w:lang w:val="en-CA"/>
        </w:rPr>
        <w:t>ricted Period” exemptions must</w:t>
      </w:r>
      <w:r w:rsidRPr="00B01A21">
        <w:rPr>
          <w:rFonts w:cs="Calibri"/>
          <w:b/>
          <w:lang w:val="en-CA"/>
        </w:rPr>
        <w:t xml:space="preserve"> satisfy two additional conditions: 1)</w:t>
      </w:r>
      <w:r w:rsidR="00CA0745">
        <w:rPr>
          <w:rFonts w:cs="Calibri"/>
          <w:lang w:val="en-CA"/>
        </w:rPr>
        <w:t xml:space="preserve"> A minimum of 4</w:t>
      </w:r>
      <w:r w:rsidRPr="00736A6C">
        <w:rPr>
          <w:rFonts w:cs="Calibri"/>
          <w:lang w:val="en-CA"/>
        </w:rPr>
        <w:t xml:space="preserve"> months must have</w:t>
      </w:r>
      <w:r>
        <w:rPr>
          <w:rFonts w:cs="Calibri"/>
          <w:lang w:val="en-CA"/>
        </w:rPr>
        <w:t xml:space="preserve"> </w:t>
      </w:r>
      <w:r w:rsidRPr="00736A6C">
        <w:rPr>
          <w:rFonts w:cs="Calibri"/>
          <w:lang w:val="en-CA"/>
        </w:rPr>
        <w:t xml:space="preserve">passed since the original distribution and </w:t>
      </w:r>
      <w:r w:rsidRPr="00B01A21">
        <w:rPr>
          <w:rFonts w:cs="Calibri"/>
          <w:b/>
          <w:lang w:val="en-CA"/>
        </w:rPr>
        <w:t xml:space="preserve">2) </w:t>
      </w:r>
      <w:r w:rsidRPr="00736A6C">
        <w:rPr>
          <w:rFonts w:cs="Calibri"/>
          <w:lang w:val="en-CA"/>
        </w:rPr>
        <w:t>the security certificate must include a l</w:t>
      </w:r>
      <w:r w:rsidR="00CA0745">
        <w:rPr>
          <w:rFonts w:cs="Calibri"/>
          <w:lang w:val="en-CA"/>
        </w:rPr>
        <w:t>egend denoting the original 4</w:t>
      </w:r>
      <w:r w:rsidRPr="00736A6C">
        <w:rPr>
          <w:rFonts w:cs="Calibri"/>
          <w:lang w:val="en-CA"/>
        </w:rPr>
        <w:t>-month trading restriction.</w:t>
      </w:r>
    </w:p>
    <w:p w:rsidR="009242AD" w:rsidRPr="005E17AB" w:rsidRDefault="00736A6C" w:rsidP="00FF0B61">
      <w:pPr>
        <w:pStyle w:val="ListParagraph"/>
        <w:numPr>
          <w:ilvl w:val="0"/>
          <w:numId w:val="59"/>
        </w:numPr>
        <w:autoSpaceDE w:val="0"/>
        <w:autoSpaceDN w:val="0"/>
        <w:adjustRightInd w:val="0"/>
        <w:spacing w:after="0"/>
        <w:rPr>
          <w:b/>
          <w:lang w:val="en-CA" w:eastAsia="en-CA"/>
        </w:rPr>
      </w:pPr>
      <w:r w:rsidRPr="00734B7D">
        <w:rPr>
          <w:rFonts w:cs="Calibri"/>
          <w:lang w:val="en-CA"/>
        </w:rPr>
        <w:t>For exemptions subject to “Restricted Period”, indication that Securities Commissions are more cautious about these securities entering public capital markets, so they have created a more onerous process</w:t>
      </w:r>
      <w:r w:rsidR="00734B7D" w:rsidRPr="00734B7D">
        <w:rPr>
          <w:rFonts w:cs="Calibri"/>
          <w:lang w:val="en-CA"/>
        </w:rPr>
        <w:t>.</w:t>
      </w:r>
    </w:p>
    <w:p w:rsidR="00C5655C" w:rsidRDefault="00C5655C" w:rsidP="00FF0B61">
      <w:pPr>
        <w:autoSpaceDE w:val="0"/>
        <w:autoSpaceDN w:val="0"/>
        <w:adjustRightInd w:val="0"/>
        <w:spacing w:after="0" w:line="240" w:lineRule="auto"/>
        <w:rPr>
          <w:b/>
          <w:lang w:val="en-CA" w:eastAsia="en-CA"/>
        </w:rPr>
      </w:pPr>
    </w:p>
    <w:p w:rsidR="00C5655C" w:rsidRDefault="00C5655C" w:rsidP="00FF0B61">
      <w:pPr>
        <w:pStyle w:val="Heading1"/>
        <w:spacing w:after="0"/>
        <w:rPr>
          <w:lang w:val="en-CA" w:eastAsia="en-CA"/>
        </w:rPr>
      </w:pPr>
      <w:bookmarkStart w:id="62" w:name="_Toc468980433"/>
      <w:r w:rsidRPr="006669B4">
        <w:rPr>
          <w:lang w:val="en-CA" w:eastAsia="en-CA"/>
        </w:rPr>
        <w:t>Registrant Regulation</w:t>
      </w:r>
      <w:bookmarkEnd w:id="62"/>
    </w:p>
    <w:p w:rsidR="003B4E9E" w:rsidRPr="00375E93" w:rsidRDefault="001216B8" w:rsidP="00FF0B61">
      <w:pPr>
        <w:spacing w:after="0" w:line="240" w:lineRule="auto"/>
        <w:rPr>
          <w:lang w:val="en-CA" w:eastAsia="en-CA"/>
        </w:rPr>
      </w:pPr>
      <w:r w:rsidRPr="006061B8">
        <w:rPr>
          <w:b/>
          <w:u w:val="single"/>
          <w:lang w:val="en-CA" w:eastAsia="en-CA"/>
        </w:rPr>
        <w:t>Registrants</w:t>
      </w:r>
      <w:r w:rsidRPr="00375E93">
        <w:rPr>
          <w:b/>
          <w:lang w:val="en-CA" w:eastAsia="en-CA"/>
        </w:rPr>
        <w:t>:</w:t>
      </w:r>
      <w:r w:rsidR="003B4E9E" w:rsidRPr="00375E93">
        <w:rPr>
          <w:lang w:val="en-CA" w:eastAsia="en-CA"/>
        </w:rPr>
        <w:t xml:space="preserve"> </w:t>
      </w:r>
      <w:r w:rsidR="00654DA6" w:rsidRPr="00375E93">
        <w:rPr>
          <w:lang w:val="en-CA" w:eastAsia="en-CA"/>
        </w:rPr>
        <w:t xml:space="preserve">Can be individuals or corporations: </w:t>
      </w:r>
    </w:p>
    <w:p w:rsidR="00A8180A" w:rsidRDefault="00EA22F5" w:rsidP="00FF0B61">
      <w:pPr>
        <w:pStyle w:val="ListParagraph"/>
        <w:numPr>
          <w:ilvl w:val="0"/>
          <w:numId w:val="74"/>
        </w:numPr>
        <w:rPr>
          <w:lang w:val="en-CA" w:eastAsia="en-CA"/>
        </w:rPr>
      </w:pPr>
      <w:r>
        <w:rPr>
          <w:b/>
          <w:lang w:val="en-CA" w:eastAsia="en-CA"/>
        </w:rPr>
        <w:t xml:space="preserve">[1] </w:t>
      </w:r>
      <w:r w:rsidR="00C44E04">
        <w:rPr>
          <w:b/>
          <w:lang w:val="en-CA" w:eastAsia="en-CA"/>
        </w:rPr>
        <w:t>“</w:t>
      </w:r>
      <w:r w:rsidR="00A8180A">
        <w:rPr>
          <w:b/>
          <w:lang w:val="en-CA" w:eastAsia="en-CA"/>
        </w:rPr>
        <w:t>D</w:t>
      </w:r>
      <w:r w:rsidR="001216B8" w:rsidRPr="003B4E9E">
        <w:rPr>
          <w:b/>
          <w:lang w:val="en-CA" w:eastAsia="en-CA"/>
        </w:rPr>
        <w:t>ealers</w:t>
      </w:r>
      <w:r w:rsidR="00C44E04">
        <w:rPr>
          <w:b/>
          <w:lang w:val="en-CA" w:eastAsia="en-CA"/>
        </w:rPr>
        <w:t>”:</w:t>
      </w:r>
      <w:r w:rsidR="006061B8">
        <w:rPr>
          <w:lang w:val="en-CA" w:eastAsia="en-CA"/>
        </w:rPr>
        <w:t xml:space="preserve"> A</w:t>
      </w:r>
      <w:r w:rsidR="001216B8">
        <w:rPr>
          <w:lang w:val="en-CA" w:eastAsia="en-CA"/>
        </w:rPr>
        <w:t xml:space="preserve"> person (which includes a corp) </w:t>
      </w:r>
      <w:r w:rsidR="000C0A1A">
        <w:rPr>
          <w:lang w:val="en-CA" w:eastAsia="en-CA"/>
        </w:rPr>
        <w:t>engage in (or hold themselves out as engaging in) the biz of trading in securities and acting as UW’s</w:t>
      </w:r>
      <w:r w:rsidR="00375E93">
        <w:rPr>
          <w:lang w:val="en-CA" w:eastAsia="en-CA"/>
        </w:rPr>
        <w:t xml:space="preserve"> (</w:t>
      </w:r>
      <w:r w:rsidR="00375E93" w:rsidRPr="00375E93">
        <w:rPr>
          <w:b/>
          <w:color w:val="C45911" w:themeColor="accent2" w:themeShade="BF"/>
          <w:lang w:val="en-CA" w:eastAsia="en-CA"/>
        </w:rPr>
        <w:t xml:space="preserve">BCSA </w:t>
      </w:r>
      <w:r w:rsidR="001216B8" w:rsidRPr="00375E93">
        <w:rPr>
          <w:b/>
          <w:color w:val="C45911" w:themeColor="accent2" w:themeShade="BF"/>
          <w:lang w:val="en-CA" w:eastAsia="en-CA"/>
        </w:rPr>
        <w:t>s.1</w:t>
      </w:r>
      <w:r w:rsidR="00447625">
        <w:rPr>
          <w:b/>
          <w:color w:val="C45911" w:themeColor="accent2" w:themeShade="BF"/>
          <w:lang w:val="en-CA" w:eastAsia="en-CA"/>
        </w:rPr>
        <w:t>(1)</w:t>
      </w:r>
      <w:r w:rsidR="001216B8">
        <w:rPr>
          <w:b/>
          <w:lang w:val="en-CA" w:eastAsia="en-CA"/>
        </w:rPr>
        <w:t>)</w:t>
      </w:r>
      <w:r w:rsidR="002450EB">
        <w:rPr>
          <w:b/>
          <w:lang w:val="en-CA" w:eastAsia="en-CA"/>
        </w:rPr>
        <w:t xml:space="preserve"> -</w:t>
      </w:r>
      <w:r w:rsidR="003B4E9E">
        <w:rPr>
          <w:b/>
          <w:lang w:val="en-CA" w:eastAsia="en-CA"/>
        </w:rPr>
        <w:t xml:space="preserve"> </w:t>
      </w:r>
      <w:r w:rsidR="003B4E9E">
        <w:rPr>
          <w:lang w:val="en-CA" w:eastAsia="en-CA"/>
        </w:rPr>
        <w:t xml:space="preserve">a dealer can be investing on its own account or be acting as an agent for other ppl; </w:t>
      </w:r>
    </w:p>
    <w:p w:rsidR="003B4E9E" w:rsidRPr="00A8180A" w:rsidRDefault="00C44E04" w:rsidP="00FF0B61">
      <w:pPr>
        <w:pStyle w:val="ListParagraph"/>
        <w:numPr>
          <w:ilvl w:val="1"/>
          <w:numId w:val="74"/>
        </w:numPr>
        <w:rPr>
          <w:lang w:val="en-CA" w:eastAsia="en-CA"/>
        </w:rPr>
      </w:pPr>
      <w:r>
        <w:rPr>
          <w:b/>
          <w:lang w:val="en-CA" w:eastAsia="en-CA"/>
        </w:rPr>
        <w:t>“</w:t>
      </w:r>
      <w:r w:rsidR="00A8180A" w:rsidRPr="00A8180A">
        <w:rPr>
          <w:b/>
          <w:lang w:val="en-CA" w:eastAsia="en-CA"/>
        </w:rPr>
        <w:t>S</w:t>
      </w:r>
      <w:r w:rsidR="003B4E9E" w:rsidRPr="00A8180A">
        <w:rPr>
          <w:b/>
          <w:lang w:val="en-CA" w:eastAsia="en-CA"/>
        </w:rPr>
        <w:t>ales-person</w:t>
      </w:r>
      <w:r>
        <w:rPr>
          <w:b/>
          <w:lang w:val="en-CA" w:eastAsia="en-CA"/>
        </w:rPr>
        <w:t>”</w:t>
      </w:r>
      <w:r w:rsidR="003B4E9E" w:rsidRPr="00A8180A">
        <w:rPr>
          <w:b/>
          <w:lang w:val="en-CA" w:eastAsia="en-CA"/>
        </w:rPr>
        <w:t xml:space="preserve">: </w:t>
      </w:r>
      <w:r w:rsidR="00D13F41">
        <w:rPr>
          <w:lang w:val="en-CA" w:eastAsia="en-CA"/>
        </w:rPr>
        <w:t>I</w:t>
      </w:r>
      <w:r w:rsidR="003B4E9E" w:rsidRPr="00A8180A">
        <w:rPr>
          <w:lang w:val="en-CA" w:eastAsia="en-CA"/>
        </w:rPr>
        <w:t xml:space="preserve">ndividual employed by a dealer to make trades on a </w:t>
      </w:r>
      <w:r w:rsidR="00683CF4" w:rsidRPr="00A8180A">
        <w:rPr>
          <w:lang w:val="en-CA" w:eastAsia="en-CA"/>
        </w:rPr>
        <w:t>dealer’s</w:t>
      </w:r>
      <w:r w:rsidR="003B4E9E" w:rsidRPr="00A8180A">
        <w:rPr>
          <w:lang w:val="en-CA" w:eastAsia="en-CA"/>
        </w:rPr>
        <w:t xml:space="preserve"> behalf (dealer here = corp entity; sales person </w:t>
      </w:r>
      <w:r w:rsidR="00683CF4">
        <w:rPr>
          <w:lang w:val="en-CA" w:eastAsia="en-CA"/>
        </w:rPr>
        <w:t>= individual working for corp) (</w:t>
      </w:r>
      <w:r w:rsidR="00683CF4" w:rsidRPr="00375E93">
        <w:rPr>
          <w:b/>
          <w:color w:val="C45911" w:themeColor="accent2" w:themeShade="BF"/>
          <w:lang w:val="en-CA" w:eastAsia="en-CA"/>
        </w:rPr>
        <w:t>s.1</w:t>
      </w:r>
      <w:r w:rsidR="00447625">
        <w:rPr>
          <w:b/>
          <w:color w:val="C45911" w:themeColor="accent2" w:themeShade="BF"/>
          <w:lang w:val="en-CA" w:eastAsia="en-CA"/>
        </w:rPr>
        <w:t>(1)</w:t>
      </w:r>
      <w:r w:rsidR="00683CF4">
        <w:rPr>
          <w:b/>
          <w:color w:val="C45911" w:themeColor="accent2" w:themeShade="BF"/>
          <w:lang w:val="en-CA" w:eastAsia="en-CA"/>
        </w:rPr>
        <w:t xml:space="preserve">). </w:t>
      </w:r>
    </w:p>
    <w:p w:rsidR="00C44E04" w:rsidRPr="00C44E04" w:rsidRDefault="00EA22F5" w:rsidP="00FF0B61">
      <w:pPr>
        <w:pStyle w:val="ListParagraph"/>
        <w:numPr>
          <w:ilvl w:val="0"/>
          <w:numId w:val="74"/>
        </w:numPr>
        <w:rPr>
          <w:lang w:val="en-CA" w:eastAsia="en-CA"/>
        </w:rPr>
      </w:pPr>
      <w:r>
        <w:rPr>
          <w:b/>
          <w:lang w:val="en-CA" w:eastAsia="en-CA"/>
        </w:rPr>
        <w:t xml:space="preserve">[2] </w:t>
      </w:r>
      <w:r w:rsidR="00C44E04">
        <w:rPr>
          <w:b/>
          <w:lang w:val="en-CA" w:eastAsia="en-CA"/>
        </w:rPr>
        <w:t>“</w:t>
      </w:r>
      <w:r w:rsidR="00A8180A">
        <w:rPr>
          <w:b/>
          <w:lang w:val="en-CA" w:eastAsia="en-CA"/>
        </w:rPr>
        <w:t>A</w:t>
      </w:r>
      <w:r w:rsidR="003B4E9E">
        <w:rPr>
          <w:b/>
          <w:lang w:val="en-CA" w:eastAsia="en-CA"/>
        </w:rPr>
        <w:t>dvisor</w:t>
      </w:r>
      <w:r w:rsidR="00C44E04">
        <w:rPr>
          <w:b/>
          <w:lang w:val="en-CA" w:eastAsia="en-CA"/>
        </w:rPr>
        <w:t>”</w:t>
      </w:r>
      <w:r w:rsidR="003B4E9E">
        <w:rPr>
          <w:b/>
          <w:lang w:val="en-CA" w:eastAsia="en-CA"/>
        </w:rPr>
        <w:t xml:space="preserve">: </w:t>
      </w:r>
      <w:r w:rsidR="008E2A5B">
        <w:rPr>
          <w:lang w:val="en-CA" w:eastAsia="en-CA"/>
        </w:rPr>
        <w:t>P</w:t>
      </w:r>
      <w:r w:rsidR="00447625">
        <w:rPr>
          <w:lang w:val="en-CA" w:eastAsia="en-CA"/>
        </w:rPr>
        <w:t xml:space="preserve">erson </w:t>
      </w:r>
      <w:r w:rsidR="00DE3E7F">
        <w:rPr>
          <w:lang w:val="en-CA" w:eastAsia="en-CA"/>
        </w:rPr>
        <w:t xml:space="preserve">(incl corp) </w:t>
      </w:r>
      <w:r w:rsidR="00447625">
        <w:rPr>
          <w:lang w:val="en-CA" w:eastAsia="en-CA"/>
        </w:rPr>
        <w:t>engages in (or holds themselves out as engaging in) the</w:t>
      </w:r>
      <w:r w:rsidR="003B4E9E">
        <w:rPr>
          <w:lang w:val="en-CA" w:eastAsia="en-CA"/>
        </w:rPr>
        <w:t xml:space="preserve"> biz of advi</w:t>
      </w:r>
      <w:r w:rsidR="002450EB">
        <w:rPr>
          <w:lang w:val="en-CA" w:eastAsia="en-CA"/>
        </w:rPr>
        <w:t xml:space="preserve">sing </w:t>
      </w:r>
      <w:r w:rsidR="00447625">
        <w:rPr>
          <w:lang w:val="en-CA" w:eastAsia="en-CA"/>
        </w:rPr>
        <w:t>in securities (i.e.</w:t>
      </w:r>
      <w:r w:rsidR="005410F0">
        <w:rPr>
          <w:lang w:val="en-CA" w:eastAsia="en-CA"/>
        </w:rPr>
        <w:t xml:space="preserve"> </w:t>
      </w:r>
      <w:r w:rsidR="003B4E9E">
        <w:rPr>
          <w:lang w:val="en-CA" w:eastAsia="en-CA"/>
        </w:rPr>
        <w:t xml:space="preserve">person gives advice of where to put money) </w:t>
      </w:r>
      <w:r w:rsidR="002450EB">
        <w:rPr>
          <w:lang w:val="en-CA" w:eastAsia="en-CA"/>
        </w:rPr>
        <w:t>(</w:t>
      </w:r>
      <w:r w:rsidR="002450EB" w:rsidRPr="00375E93">
        <w:rPr>
          <w:b/>
          <w:color w:val="C45911" w:themeColor="accent2" w:themeShade="BF"/>
          <w:lang w:val="en-CA" w:eastAsia="en-CA"/>
        </w:rPr>
        <w:t>s.1</w:t>
      </w:r>
      <w:r w:rsidR="005410F0">
        <w:rPr>
          <w:b/>
          <w:color w:val="C45911" w:themeColor="accent2" w:themeShade="BF"/>
          <w:lang w:val="en-CA" w:eastAsia="en-CA"/>
        </w:rPr>
        <w:t>(1)</w:t>
      </w:r>
      <w:r w:rsidR="002450EB">
        <w:rPr>
          <w:b/>
          <w:color w:val="C45911" w:themeColor="accent2" w:themeShade="BF"/>
          <w:lang w:val="en-CA" w:eastAsia="en-CA"/>
        </w:rPr>
        <w:t>)</w:t>
      </w:r>
    </w:p>
    <w:p w:rsidR="003A667F" w:rsidRPr="003A667F" w:rsidRDefault="00EA22F5" w:rsidP="00FF0B61">
      <w:pPr>
        <w:pStyle w:val="ListParagraph"/>
        <w:numPr>
          <w:ilvl w:val="0"/>
          <w:numId w:val="74"/>
        </w:numPr>
        <w:rPr>
          <w:lang w:val="en-CA" w:eastAsia="en-CA"/>
        </w:rPr>
      </w:pPr>
      <w:r w:rsidRPr="00EA22F5">
        <w:rPr>
          <w:rFonts w:eastAsia="Times New Roman" w:cs="Times New Roman"/>
          <w:b/>
          <w:lang w:eastAsia="en-CA"/>
        </w:rPr>
        <w:t>[3]</w:t>
      </w:r>
      <w:r>
        <w:rPr>
          <w:rFonts w:eastAsia="Times New Roman" w:cs="Times New Roman"/>
          <w:lang w:eastAsia="en-CA"/>
        </w:rPr>
        <w:t xml:space="preserve"> </w:t>
      </w:r>
      <w:r w:rsidR="00C44E04" w:rsidRPr="00C44E04">
        <w:rPr>
          <w:rFonts w:eastAsia="Times New Roman" w:cs="Times New Roman"/>
          <w:lang w:eastAsia="en-CA"/>
        </w:rPr>
        <w:t>"</w:t>
      </w:r>
      <w:r w:rsidR="00C44E04" w:rsidRPr="00DA08A9">
        <w:rPr>
          <w:rFonts w:eastAsia="Times New Roman" w:cs="Times New Roman"/>
          <w:b/>
          <w:lang w:eastAsia="en-CA"/>
        </w:rPr>
        <w:t>Investment fund managers</w:t>
      </w:r>
      <w:r w:rsidR="00C44E04">
        <w:rPr>
          <w:rFonts w:eastAsia="Times New Roman" w:cs="Times New Roman"/>
          <w:lang w:eastAsia="en-CA"/>
        </w:rPr>
        <w:t>":</w:t>
      </w:r>
      <w:r w:rsidR="005410F0">
        <w:rPr>
          <w:rFonts w:eastAsia="Times New Roman" w:cs="Times New Roman"/>
          <w:lang w:eastAsia="en-CA"/>
        </w:rPr>
        <w:t xml:space="preserve"> P</w:t>
      </w:r>
      <w:r w:rsidR="00745398">
        <w:rPr>
          <w:rFonts w:eastAsia="Times New Roman" w:cs="Times New Roman"/>
          <w:lang w:eastAsia="en-CA"/>
        </w:rPr>
        <w:t>er</w:t>
      </w:r>
      <w:r w:rsidR="00C44E04" w:rsidRPr="00C44E04">
        <w:rPr>
          <w:rFonts w:eastAsia="Times New Roman" w:cs="Times New Roman"/>
          <w:lang w:eastAsia="en-CA"/>
        </w:rPr>
        <w:t>s</w:t>
      </w:r>
      <w:r w:rsidR="00745398">
        <w:rPr>
          <w:rFonts w:eastAsia="Times New Roman" w:cs="Times New Roman"/>
          <w:lang w:eastAsia="en-CA"/>
        </w:rPr>
        <w:t>on</w:t>
      </w:r>
      <w:r w:rsidR="00C44E04" w:rsidRPr="00C44E04">
        <w:rPr>
          <w:rFonts w:eastAsia="Times New Roman" w:cs="Times New Roman"/>
          <w:lang w:eastAsia="en-CA"/>
        </w:rPr>
        <w:t xml:space="preserve"> who direct</w:t>
      </w:r>
      <w:r w:rsidR="00745398">
        <w:rPr>
          <w:rFonts w:eastAsia="Times New Roman" w:cs="Times New Roman"/>
          <w:lang w:eastAsia="en-CA"/>
        </w:rPr>
        <w:t>s</w:t>
      </w:r>
      <w:r w:rsidR="00C44E04" w:rsidRPr="00C44E04">
        <w:rPr>
          <w:rFonts w:eastAsia="Times New Roman" w:cs="Times New Roman"/>
          <w:lang w:eastAsia="en-CA"/>
        </w:rPr>
        <w:t xml:space="preserve"> business, operations or affairs investment funds (</w:t>
      </w:r>
      <w:r w:rsidR="00470DC4" w:rsidRPr="00470DC4">
        <w:rPr>
          <w:rFonts w:eastAsia="Times New Roman" w:cs="Times New Roman"/>
          <w:b/>
          <w:color w:val="C45911" w:themeColor="accent2" w:themeShade="BF"/>
          <w:lang w:eastAsia="en-CA"/>
        </w:rPr>
        <w:t>s.1</w:t>
      </w:r>
      <w:r w:rsidR="00791A93">
        <w:rPr>
          <w:rFonts w:eastAsia="Times New Roman" w:cs="Times New Roman"/>
          <w:b/>
          <w:color w:val="C45911" w:themeColor="accent2" w:themeShade="BF"/>
          <w:lang w:eastAsia="en-CA"/>
        </w:rPr>
        <w:t>(1)</w:t>
      </w:r>
      <w:r w:rsidR="003A667F">
        <w:rPr>
          <w:rFonts w:eastAsia="Times New Roman" w:cs="Times New Roman"/>
          <w:b/>
          <w:color w:val="C45911" w:themeColor="accent2" w:themeShade="BF"/>
          <w:lang w:eastAsia="en-CA"/>
        </w:rPr>
        <w:t>)</w:t>
      </w:r>
    </w:p>
    <w:p w:rsidR="00C44E04" w:rsidRPr="00C44E04" w:rsidRDefault="00EA22F5" w:rsidP="00FF0B61">
      <w:pPr>
        <w:pStyle w:val="ListParagraph"/>
        <w:numPr>
          <w:ilvl w:val="1"/>
          <w:numId w:val="74"/>
        </w:numPr>
        <w:rPr>
          <w:lang w:val="en-CA" w:eastAsia="en-CA"/>
        </w:rPr>
      </w:pPr>
      <w:r>
        <w:rPr>
          <w:rFonts w:eastAsia="Times New Roman" w:cs="Times New Roman"/>
          <w:b/>
          <w:lang w:eastAsia="en-CA"/>
        </w:rPr>
        <w:t>“</w:t>
      </w:r>
      <w:r w:rsidR="003A667F" w:rsidRPr="003A667F">
        <w:rPr>
          <w:rFonts w:eastAsia="Times New Roman" w:cs="Times New Roman"/>
          <w:b/>
          <w:lang w:eastAsia="en-CA"/>
        </w:rPr>
        <w:t>I</w:t>
      </w:r>
      <w:r w:rsidR="00C44E04" w:rsidRPr="003A667F">
        <w:rPr>
          <w:rFonts w:eastAsia="Times New Roman" w:cs="Times New Roman"/>
          <w:b/>
          <w:lang w:eastAsia="en-CA"/>
        </w:rPr>
        <w:t>nvestment fund</w:t>
      </w:r>
      <w:r>
        <w:rPr>
          <w:rFonts w:eastAsia="Times New Roman" w:cs="Times New Roman"/>
          <w:b/>
          <w:lang w:eastAsia="en-CA"/>
        </w:rPr>
        <w:t>”</w:t>
      </w:r>
      <w:r>
        <w:rPr>
          <w:rFonts w:eastAsia="Times New Roman" w:cs="Times New Roman"/>
          <w:lang w:eastAsia="en-CA"/>
        </w:rPr>
        <w:t xml:space="preserve">: </w:t>
      </w:r>
      <w:r w:rsidR="00C44E04" w:rsidRPr="00C44E04">
        <w:rPr>
          <w:rFonts w:eastAsia="Times New Roman" w:cs="Times New Roman"/>
          <w:lang w:eastAsia="en-CA"/>
        </w:rPr>
        <w:t>a mutual fund or a n</w:t>
      </w:r>
      <w:r w:rsidR="00745398">
        <w:rPr>
          <w:rFonts w:eastAsia="Times New Roman" w:cs="Times New Roman"/>
          <w:lang w:eastAsia="en-CA"/>
        </w:rPr>
        <w:t>o</w:t>
      </w:r>
      <w:r>
        <w:rPr>
          <w:rFonts w:eastAsia="Times New Roman" w:cs="Times New Roman"/>
          <w:lang w:eastAsia="en-CA"/>
        </w:rPr>
        <w:t>n-redeemable investment fund</w:t>
      </w:r>
      <w:r w:rsidR="003A667F">
        <w:rPr>
          <w:rFonts w:eastAsia="Times New Roman" w:cs="Times New Roman"/>
          <w:lang w:eastAsia="en-CA"/>
        </w:rPr>
        <w:t xml:space="preserve"> </w:t>
      </w:r>
      <w:r w:rsidR="003A667F" w:rsidRPr="00C44E04">
        <w:rPr>
          <w:rFonts w:eastAsia="Times New Roman" w:cs="Times New Roman"/>
          <w:lang w:eastAsia="en-CA"/>
        </w:rPr>
        <w:t>(</w:t>
      </w:r>
      <w:r w:rsidR="003A667F" w:rsidRPr="00470DC4">
        <w:rPr>
          <w:rFonts w:eastAsia="Times New Roman" w:cs="Times New Roman"/>
          <w:b/>
          <w:color w:val="C45911" w:themeColor="accent2" w:themeShade="BF"/>
          <w:lang w:eastAsia="en-CA"/>
        </w:rPr>
        <w:t>s.1</w:t>
      </w:r>
      <w:r w:rsidR="00791A93">
        <w:rPr>
          <w:rFonts w:eastAsia="Times New Roman" w:cs="Times New Roman"/>
          <w:b/>
          <w:color w:val="C45911" w:themeColor="accent2" w:themeShade="BF"/>
          <w:lang w:eastAsia="en-CA"/>
        </w:rPr>
        <w:t>(1)</w:t>
      </w:r>
      <w:r w:rsidR="003A667F">
        <w:rPr>
          <w:rFonts w:eastAsia="Times New Roman" w:cs="Times New Roman"/>
          <w:b/>
          <w:color w:val="C45911" w:themeColor="accent2" w:themeShade="BF"/>
          <w:lang w:eastAsia="en-CA"/>
        </w:rPr>
        <w:t>)</w:t>
      </w:r>
    </w:p>
    <w:p w:rsidR="003B4E9E" w:rsidRPr="00375E93" w:rsidRDefault="003B4E9E" w:rsidP="00FF0B61">
      <w:pPr>
        <w:spacing w:line="240" w:lineRule="auto"/>
        <w:rPr>
          <w:lang w:val="en-CA" w:eastAsia="en-CA"/>
        </w:rPr>
      </w:pPr>
      <w:r w:rsidRPr="00375E93">
        <w:rPr>
          <w:lang w:val="en-CA" w:eastAsia="en-CA"/>
        </w:rPr>
        <w:t xml:space="preserve">Firms and individuals must be registered (e.g. advisor firm and individuals must be registered). Cannot be registered advisor or dealer w/o a corporate entity you are connected with. </w:t>
      </w:r>
    </w:p>
    <w:p w:rsidR="00B61563" w:rsidRDefault="006669B4" w:rsidP="00FF0B61">
      <w:pPr>
        <w:spacing w:after="0" w:line="240" w:lineRule="auto"/>
        <w:rPr>
          <w:lang w:val="en-CA" w:eastAsia="en-CA"/>
        </w:rPr>
      </w:pPr>
      <w:r w:rsidRPr="006669B4">
        <w:rPr>
          <w:b/>
          <w:u w:val="single"/>
          <w:lang w:val="en-CA" w:eastAsia="en-CA"/>
        </w:rPr>
        <w:t>Objective of Registration Req’s:</w:t>
      </w:r>
      <w:r>
        <w:rPr>
          <w:lang w:val="en-CA" w:eastAsia="en-CA"/>
        </w:rPr>
        <w:t xml:space="preserve"> Intended to protect investors from unfair, improper or fraudulent practices and enhance capital markets integrity and efficiency. </w:t>
      </w:r>
    </w:p>
    <w:p w:rsidR="00670C50" w:rsidRDefault="00670C50" w:rsidP="00FF0B61">
      <w:pPr>
        <w:spacing w:after="0" w:line="240" w:lineRule="auto"/>
        <w:rPr>
          <w:lang w:val="en-CA" w:eastAsia="en-CA"/>
        </w:rPr>
      </w:pPr>
    </w:p>
    <w:p w:rsidR="006669B4" w:rsidRDefault="006669B4" w:rsidP="00FF0B61">
      <w:pPr>
        <w:pStyle w:val="Heading2"/>
        <w:spacing w:line="240" w:lineRule="auto"/>
        <w:rPr>
          <w:lang w:val="en-CA" w:eastAsia="en-CA"/>
        </w:rPr>
      </w:pPr>
      <w:bookmarkStart w:id="63" w:name="_Toc468980434"/>
      <w:r w:rsidRPr="007372C2">
        <w:rPr>
          <w:lang w:val="en-CA" w:eastAsia="en-CA"/>
        </w:rPr>
        <w:t>Registration Requirements</w:t>
      </w:r>
      <w:bookmarkEnd w:id="63"/>
      <w:r>
        <w:rPr>
          <w:lang w:val="en-CA" w:eastAsia="en-CA"/>
        </w:rPr>
        <w:t xml:space="preserve"> </w:t>
      </w:r>
    </w:p>
    <w:p w:rsidR="00DF4E70" w:rsidRPr="00DF4E70" w:rsidRDefault="00DF4E70" w:rsidP="00FF0B61">
      <w:pPr>
        <w:pStyle w:val="Normal1"/>
        <w:widowControl w:val="0"/>
        <w:spacing w:line="240" w:lineRule="auto"/>
        <w:ind w:firstLine="20"/>
        <w:rPr>
          <w:rFonts w:asciiTheme="minorHAnsi" w:hAnsiTheme="minorHAnsi"/>
          <w:sz w:val="18"/>
          <w:szCs w:val="20"/>
        </w:rPr>
      </w:pPr>
      <w:r w:rsidRPr="00DF4E70">
        <w:rPr>
          <w:rFonts w:asciiTheme="minorHAnsi" w:hAnsiTheme="minorHAnsi"/>
          <w:b/>
          <w:color w:val="C45911" w:themeColor="accent2" w:themeShade="BF"/>
          <w:sz w:val="18"/>
          <w:szCs w:val="20"/>
        </w:rPr>
        <w:t>BCSA 34</w:t>
      </w:r>
      <w:r w:rsidRPr="00DF4E70">
        <w:rPr>
          <w:rFonts w:asciiTheme="minorHAnsi" w:hAnsiTheme="minorHAnsi"/>
          <w:color w:val="C45911" w:themeColor="accent2" w:themeShade="BF"/>
          <w:sz w:val="18"/>
          <w:szCs w:val="20"/>
        </w:rPr>
        <w:t xml:space="preserve"> </w:t>
      </w:r>
      <w:r w:rsidR="006E3AE8">
        <w:rPr>
          <w:rFonts w:asciiTheme="minorHAnsi" w:hAnsiTheme="minorHAnsi"/>
          <w:sz w:val="18"/>
          <w:szCs w:val="20"/>
        </w:rPr>
        <w:t>- Persons</w:t>
      </w:r>
      <w:r w:rsidRPr="00DF4E70">
        <w:rPr>
          <w:rFonts w:asciiTheme="minorHAnsi" w:hAnsiTheme="minorHAnsi"/>
          <w:sz w:val="18"/>
          <w:szCs w:val="20"/>
        </w:rPr>
        <w:t xml:space="preserve"> must be registered </w:t>
      </w:r>
      <w:r w:rsidR="00EC46AD" w:rsidRPr="00EC46AD">
        <w:rPr>
          <w:rFonts w:asciiTheme="minorHAnsi" w:hAnsiTheme="minorHAnsi"/>
          <w:sz w:val="18"/>
          <w:szCs w:val="20"/>
        </w:rPr>
        <w:t>under the applicable securities legislation</w:t>
      </w:r>
      <w:r w:rsidR="006E3AE8">
        <w:rPr>
          <w:rFonts w:asciiTheme="minorHAnsi" w:hAnsiTheme="minorHAnsi"/>
          <w:sz w:val="18"/>
          <w:szCs w:val="20"/>
        </w:rPr>
        <w:t xml:space="preserve">, if they: </w:t>
      </w:r>
      <w:r w:rsidRPr="00DF4E70">
        <w:rPr>
          <w:rFonts w:asciiTheme="minorHAnsi" w:hAnsiTheme="minorHAnsi"/>
          <w:b/>
          <w:sz w:val="18"/>
          <w:szCs w:val="20"/>
        </w:rPr>
        <w:t xml:space="preserve">(a) </w:t>
      </w:r>
      <w:r w:rsidRPr="00267E0B">
        <w:rPr>
          <w:rFonts w:asciiTheme="minorHAnsi" w:hAnsiTheme="minorHAnsi"/>
          <w:b/>
          <w:sz w:val="18"/>
          <w:szCs w:val="20"/>
        </w:rPr>
        <w:t>trade</w:t>
      </w:r>
      <w:r w:rsidRPr="00DF4E70">
        <w:rPr>
          <w:rFonts w:asciiTheme="minorHAnsi" w:hAnsiTheme="minorHAnsi"/>
          <w:sz w:val="18"/>
          <w:szCs w:val="20"/>
        </w:rPr>
        <w:t xml:space="preserve"> in a security or exchange contract</w:t>
      </w:r>
      <w:r w:rsidR="0055627D">
        <w:rPr>
          <w:rFonts w:asciiTheme="minorHAnsi" w:hAnsiTheme="minorHAnsi"/>
          <w:sz w:val="18"/>
          <w:szCs w:val="20"/>
        </w:rPr>
        <w:t xml:space="preserve">; </w:t>
      </w:r>
      <w:r w:rsidRPr="00DF4E70">
        <w:rPr>
          <w:rFonts w:asciiTheme="minorHAnsi" w:hAnsiTheme="minorHAnsi"/>
          <w:b/>
          <w:sz w:val="18"/>
          <w:szCs w:val="20"/>
        </w:rPr>
        <w:t xml:space="preserve">(b) </w:t>
      </w:r>
      <w:r w:rsidRPr="00267E0B">
        <w:rPr>
          <w:rFonts w:asciiTheme="minorHAnsi" w:hAnsiTheme="minorHAnsi"/>
          <w:b/>
          <w:sz w:val="18"/>
          <w:szCs w:val="20"/>
        </w:rPr>
        <w:t>act as an adviser</w:t>
      </w:r>
      <w:r w:rsidR="0055627D">
        <w:rPr>
          <w:rFonts w:asciiTheme="minorHAnsi" w:hAnsiTheme="minorHAnsi"/>
          <w:sz w:val="18"/>
          <w:szCs w:val="20"/>
        </w:rPr>
        <w:t xml:space="preserve">; </w:t>
      </w:r>
      <w:r w:rsidRPr="00DF4E70">
        <w:rPr>
          <w:rFonts w:asciiTheme="minorHAnsi" w:hAnsiTheme="minorHAnsi"/>
          <w:b/>
          <w:sz w:val="18"/>
          <w:szCs w:val="20"/>
        </w:rPr>
        <w:t xml:space="preserve">(c) </w:t>
      </w:r>
      <w:r w:rsidRPr="00267E0B">
        <w:rPr>
          <w:rFonts w:asciiTheme="minorHAnsi" w:hAnsiTheme="minorHAnsi"/>
          <w:b/>
          <w:sz w:val="18"/>
          <w:szCs w:val="20"/>
        </w:rPr>
        <w:t>act as an investment fund manager</w:t>
      </w:r>
      <w:r w:rsidR="0055627D">
        <w:rPr>
          <w:rFonts w:asciiTheme="minorHAnsi" w:hAnsiTheme="minorHAnsi"/>
          <w:sz w:val="18"/>
          <w:szCs w:val="20"/>
        </w:rPr>
        <w:t xml:space="preserve">, or; </w:t>
      </w:r>
      <w:r w:rsidRPr="00DF4E70">
        <w:rPr>
          <w:rFonts w:asciiTheme="minorHAnsi" w:hAnsiTheme="minorHAnsi"/>
          <w:b/>
          <w:sz w:val="18"/>
          <w:szCs w:val="20"/>
        </w:rPr>
        <w:t xml:space="preserve">(d) </w:t>
      </w:r>
      <w:r w:rsidR="00F52628">
        <w:rPr>
          <w:rFonts w:asciiTheme="minorHAnsi" w:hAnsiTheme="minorHAnsi"/>
          <w:b/>
          <w:sz w:val="18"/>
          <w:szCs w:val="20"/>
        </w:rPr>
        <w:t>act as an UW</w:t>
      </w:r>
      <w:r w:rsidR="006E3AE8">
        <w:rPr>
          <w:rFonts w:asciiTheme="minorHAnsi" w:hAnsiTheme="minorHAnsi"/>
          <w:sz w:val="18"/>
          <w:szCs w:val="20"/>
        </w:rPr>
        <w:t xml:space="preserve"> (i.e. investment banker)</w:t>
      </w:r>
    </w:p>
    <w:p w:rsidR="00267E0B" w:rsidRDefault="00267E0B" w:rsidP="00FF0B61">
      <w:pPr>
        <w:pStyle w:val="ListParagraph"/>
        <w:numPr>
          <w:ilvl w:val="0"/>
          <w:numId w:val="76"/>
        </w:numPr>
        <w:rPr>
          <w:lang w:val="en-CA" w:eastAsia="en-CA"/>
        </w:rPr>
      </w:pPr>
      <w:r w:rsidRPr="00F000F4">
        <w:rPr>
          <w:lang w:val="en-CA" w:eastAsia="en-CA"/>
        </w:rPr>
        <w:t>If meet the req’s the commission</w:t>
      </w:r>
      <w:r w:rsidR="00584E94">
        <w:rPr>
          <w:lang w:val="en-CA" w:eastAsia="en-CA"/>
        </w:rPr>
        <w:t xml:space="preserve"> cannot refuse to register you (</w:t>
      </w:r>
      <w:r w:rsidR="00584E94" w:rsidRPr="00584E94">
        <w:rPr>
          <w:b/>
          <w:color w:val="C45911" w:themeColor="accent2" w:themeShade="BF"/>
          <w:lang w:val="en-CA" w:eastAsia="en-CA"/>
        </w:rPr>
        <w:t>BCSA 35</w:t>
      </w:r>
      <w:r w:rsidR="00584E94">
        <w:rPr>
          <w:lang w:val="en-CA" w:eastAsia="en-CA"/>
        </w:rPr>
        <w:t>)</w:t>
      </w:r>
    </w:p>
    <w:p w:rsidR="001D32AC" w:rsidRPr="00F000F4" w:rsidRDefault="001D32AC" w:rsidP="00FF0B61">
      <w:pPr>
        <w:pStyle w:val="ListParagraph"/>
        <w:numPr>
          <w:ilvl w:val="0"/>
          <w:numId w:val="76"/>
        </w:numPr>
        <w:rPr>
          <w:lang w:val="en-CA" w:eastAsia="en-CA"/>
        </w:rPr>
      </w:pPr>
      <w:r>
        <w:rPr>
          <w:lang w:val="en-CA" w:eastAsia="en-CA"/>
        </w:rPr>
        <w:t xml:space="preserve">Must not do (a-d) unless registered. </w:t>
      </w:r>
    </w:p>
    <w:p w:rsidR="00DF4E70" w:rsidRDefault="00824C9A" w:rsidP="00FF0B61">
      <w:pPr>
        <w:pStyle w:val="Heading3"/>
        <w:spacing w:line="240" w:lineRule="auto"/>
        <w:rPr>
          <w:lang w:val="en-CA" w:eastAsia="en-CA"/>
        </w:rPr>
      </w:pPr>
      <w:r>
        <w:rPr>
          <w:lang w:val="en-CA" w:eastAsia="en-CA"/>
        </w:rPr>
        <w:t xml:space="preserve"> </w:t>
      </w:r>
      <w:bookmarkStart w:id="64" w:name="_Toc468980435"/>
      <w:r w:rsidR="00AA45BC">
        <w:rPr>
          <w:lang w:val="en-CA" w:eastAsia="en-CA"/>
        </w:rPr>
        <w:t>Dealers and Advisers</w:t>
      </w:r>
      <w:bookmarkEnd w:id="64"/>
      <w:r w:rsidR="00AA45BC">
        <w:rPr>
          <w:lang w:val="en-CA" w:eastAsia="en-CA"/>
        </w:rPr>
        <w:t xml:space="preserve"> </w:t>
      </w:r>
    </w:p>
    <w:p w:rsidR="00771DE9" w:rsidRDefault="00771DE9" w:rsidP="00FF0B61">
      <w:pPr>
        <w:spacing w:after="0" w:line="240" w:lineRule="auto"/>
        <w:jc w:val="both"/>
      </w:pPr>
      <w:r w:rsidRPr="00771DE9">
        <w:rPr>
          <w:rFonts w:cs="Times New Roman"/>
          <w:b/>
          <w:szCs w:val="28"/>
        </w:rPr>
        <w:t>EXEMPTION FROM REGISTRATION</w:t>
      </w:r>
      <w:r w:rsidRPr="00771DE9">
        <w:rPr>
          <w:rFonts w:cs="Times New Roman"/>
          <w:szCs w:val="28"/>
        </w:rPr>
        <w:t>:</w:t>
      </w:r>
      <w:r w:rsidRPr="00771DE9">
        <w:rPr>
          <w:rFonts w:cs="Times New Roman"/>
          <w:b/>
          <w:color w:val="7030A0"/>
          <w:szCs w:val="28"/>
        </w:rPr>
        <w:t xml:space="preserve"> </w:t>
      </w:r>
      <w:r w:rsidRPr="00771DE9">
        <w:t xml:space="preserve">a person or company is exempt from registration if the person or company </w:t>
      </w:r>
      <w:r w:rsidRPr="00771DE9">
        <w:rPr>
          <w:b/>
        </w:rPr>
        <w:t xml:space="preserve">(a) </w:t>
      </w:r>
      <w:r w:rsidRPr="00771DE9">
        <w:t xml:space="preserve">is </w:t>
      </w:r>
      <w:r w:rsidRPr="007631B7">
        <w:rPr>
          <w:u w:val="single"/>
        </w:rPr>
        <w:t>not engaged</w:t>
      </w:r>
      <w:r w:rsidRPr="00771DE9">
        <w:t xml:space="preserve"> in the business of trading in</w:t>
      </w:r>
      <w:r w:rsidR="007631B7">
        <w:t xml:space="preserve"> securities or exchange K</w:t>
      </w:r>
      <w:r w:rsidRPr="00771DE9">
        <w:t xml:space="preserve">s as a principal or agent, and </w:t>
      </w:r>
      <w:r w:rsidRPr="00771DE9">
        <w:rPr>
          <w:b/>
        </w:rPr>
        <w:t xml:space="preserve">(b) </w:t>
      </w:r>
      <w:r w:rsidRPr="00553D5D">
        <w:rPr>
          <w:u w:val="single"/>
        </w:rPr>
        <w:t>does not hold himself, herself or it</w:t>
      </w:r>
      <w:r w:rsidRPr="00771DE9">
        <w:t xml:space="preserve"> (</w:t>
      </w:r>
      <w:r w:rsidRPr="00771DE9">
        <w:rPr>
          <w:rFonts w:cs="Times New Roman"/>
          <w:b/>
          <w:color w:val="7030A0"/>
          <w:szCs w:val="28"/>
        </w:rPr>
        <w:t>NI 31-103 s.</w:t>
      </w:r>
      <w:r w:rsidRPr="00771DE9">
        <w:rPr>
          <w:b/>
          <w:color w:val="7030A0"/>
        </w:rPr>
        <w:t>8.4(1)</w:t>
      </w:r>
      <w:r w:rsidRPr="00771DE9">
        <w:t>)</w:t>
      </w:r>
    </w:p>
    <w:p w:rsidR="00771DE9" w:rsidRDefault="00771DE9" w:rsidP="00FF0B61">
      <w:pPr>
        <w:spacing w:after="0" w:line="240" w:lineRule="auto"/>
        <w:rPr>
          <w:b/>
          <w:lang w:val="en-CA" w:eastAsia="en-CA"/>
        </w:rPr>
      </w:pPr>
    </w:p>
    <w:p w:rsidR="00AA45BC" w:rsidRPr="00752EED" w:rsidRDefault="00752EED" w:rsidP="00FF0B61">
      <w:pPr>
        <w:spacing w:after="0" w:line="240" w:lineRule="auto"/>
        <w:rPr>
          <w:lang w:val="en-CA" w:eastAsia="en-CA"/>
        </w:rPr>
      </w:pPr>
      <w:r w:rsidRPr="00752EED">
        <w:rPr>
          <w:b/>
          <w:lang w:val="en-CA" w:eastAsia="en-CA"/>
        </w:rPr>
        <w:t xml:space="preserve">BUSINESS TRIGGER: </w:t>
      </w:r>
      <w:r w:rsidR="00824C9A" w:rsidRPr="00752EED">
        <w:rPr>
          <w:lang w:val="en-CA" w:eastAsia="en-CA"/>
        </w:rPr>
        <w:t xml:space="preserve">The </w:t>
      </w:r>
      <w:r w:rsidR="00824C9A" w:rsidRPr="00752EED">
        <w:rPr>
          <w:u w:val="single"/>
          <w:lang w:val="en-CA" w:eastAsia="en-CA"/>
        </w:rPr>
        <w:t>req</w:t>
      </w:r>
      <w:r w:rsidR="00F616A6" w:rsidRPr="00752EED">
        <w:rPr>
          <w:u w:val="single"/>
          <w:lang w:val="en-CA" w:eastAsia="en-CA"/>
        </w:rPr>
        <w:t>’t</w:t>
      </w:r>
      <w:r w:rsidR="00824C9A" w:rsidRPr="00752EED">
        <w:rPr>
          <w:u w:val="single"/>
          <w:lang w:val="en-CA" w:eastAsia="en-CA"/>
        </w:rPr>
        <w:t xml:space="preserve"> to register</w:t>
      </w:r>
      <w:r w:rsidR="00824C9A" w:rsidRPr="00752EED">
        <w:rPr>
          <w:lang w:val="en-CA" w:eastAsia="en-CA"/>
        </w:rPr>
        <w:t xml:space="preserve"> w/ the Commissions </w:t>
      </w:r>
      <w:r w:rsidR="00824C9A" w:rsidRPr="00752EED">
        <w:rPr>
          <w:b/>
          <w:lang w:val="en-CA" w:eastAsia="en-CA"/>
        </w:rPr>
        <w:t>as a dealer or advisor</w:t>
      </w:r>
      <w:r w:rsidR="00824C9A" w:rsidRPr="00752EED">
        <w:rPr>
          <w:lang w:val="en-CA" w:eastAsia="en-CA"/>
        </w:rPr>
        <w:t xml:space="preserve"> is triggered if the </w:t>
      </w:r>
      <w:r w:rsidR="00824C9A" w:rsidRPr="00752EED">
        <w:rPr>
          <w:u w:val="single"/>
          <w:lang w:val="en-CA" w:eastAsia="en-CA"/>
        </w:rPr>
        <w:t>person or company</w:t>
      </w:r>
      <w:r w:rsidR="00824C9A" w:rsidRPr="00752EED">
        <w:rPr>
          <w:lang w:val="en-CA" w:eastAsia="en-CA"/>
        </w:rPr>
        <w:t xml:space="preserve"> holds themselves out as </w:t>
      </w:r>
      <w:r w:rsidR="00824C9A" w:rsidRPr="00752EED">
        <w:rPr>
          <w:b/>
          <w:i/>
          <w:lang w:val="en-CA" w:eastAsia="en-CA"/>
        </w:rPr>
        <w:t>engaging in the business of trading or advising</w:t>
      </w:r>
      <w:r w:rsidR="00824C9A" w:rsidRPr="00752EED">
        <w:rPr>
          <w:lang w:val="en-CA" w:eastAsia="en-CA"/>
        </w:rPr>
        <w:t xml:space="preserve"> in securities (</w:t>
      </w:r>
      <w:r w:rsidR="00824C9A" w:rsidRPr="00752EED">
        <w:rPr>
          <w:b/>
          <w:color w:val="C45911" w:themeColor="accent2" w:themeShade="BF"/>
          <w:lang w:val="en-CA" w:eastAsia="en-CA"/>
        </w:rPr>
        <w:t>BCSA s.1(1)</w:t>
      </w:r>
      <w:r w:rsidR="00824C9A" w:rsidRPr="00752EED">
        <w:rPr>
          <w:lang w:val="en-CA" w:eastAsia="en-CA"/>
        </w:rPr>
        <w:t>)</w:t>
      </w:r>
    </w:p>
    <w:p w:rsidR="006C64D4" w:rsidRDefault="00B92C81" w:rsidP="00FF0B61">
      <w:pPr>
        <w:pStyle w:val="ListParagraph"/>
        <w:numPr>
          <w:ilvl w:val="0"/>
          <w:numId w:val="76"/>
        </w:numPr>
        <w:rPr>
          <w:b/>
          <w:lang w:val="en-CA" w:eastAsia="en-CA"/>
        </w:rPr>
      </w:pPr>
      <w:r w:rsidRPr="00752EED">
        <w:rPr>
          <w:b/>
          <w:lang w:val="en-CA" w:eastAsia="en-CA"/>
        </w:rPr>
        <w:t>FACTORS -</w:t>
      </w:r>
      <w:r w:rsidR="00F436DB" w:rsidRPr="00752EED">
        <w:rPr>
          <w:b/>
          <w:lang w:val="en-CA" w:eastAsia="en-CA"/>
        </w:rPr>
        <w:t xml:space="preserve"> </w:t>
      </w:r>
      <w:r w:rsidRPr="00752EED">
        <w:rPr>
          <w:lang w:val="en-CA" w:eastAsia="en-CA"/>
        </w:rPr>
        <w:t>One</w:t>
      </w:r>
      <w:r>
        <w:rPr>
          <w:lang w:val="en-CA" w:eastAsia="en-CA"/>
        </w:rPr>
        <w:t xml:space="preserve"> factor alone may not be determinate</w:t>
      </w:r>
      <w:r w:rsidR="006F3AC9">
        <w:rPr>
          <w:lang w:val="en-CA" w:eastAsia="en-CA"/>
        </w:rPr>
        <w:t xml:space="preserve"> (</w:t>
      </w:r>
      <w:r w:rsidR="006F3AC9" w:rsidRPr="006F3AC9">
        <w:rPr>
          <w:b/>
          <w:i/>
          <w:color w:val="1006E0"/>
          <w:lang w:val="en-CA" w:eastAsia="en-CA"/>
        </w:rPr>
        <w:t>Re Empire Consulting</w:t>
      </w:r>
      <w:r w:rsidR="006F3AC9">
        <w:rPr>
          <w:b/>
          <w:lang w:val="en-CA" w:eastAsia="en-CA"/>
        </w:rPr>
        <w:t>)</w:t>
      </w:r>
      <w:r w:rsidR="00043DE9">
        <w:rPr>
          <w:lang w:val="en-CA" w:eastAsia="en-CA"/>
        </w:rPr>
        <w:t xml:space="preserve"> (look @ quantity + quality of services provided)</w:t>
      </w:r>
      <w:r>
        <w:rPr>
          <w:lang w:val="en-CA" w:eastAsia="en-CA"/>
        </w:rPr>
        <w:t xml:space="preserve">: </w:t>
      </w:r>
    </w:p>
    <w:p w:rsidR="00F436DB" w:rsidRPr="00F436DB" w:rsidRDefault="00F436DB" w:rsidP="00FF0B61">
      <w:pPr>
        <w:pStyle w:val="ListParagraph"/>
        <w:numPr>
          <w:ilvl w:val="1"/>
          <w:numId w:val="76"/>
        </w:numPr>
        <w:rPr>
          <w:b/>
          <w:lang w:val="en-CA" w:eastAsia="en-CA"/>
        </w:rPr>
      </w:pPr>
      <w:r w:rsidRPr="00EB6272">
        <w:rPr>
          <w:b/>
          <w:lang w:val="en-CA" w:eastAsia="en-CA"/>
        </w:rPr>
        <w:t>Engaging in activities similar to a registrant</w:t>
      </w:r>
      <w:r w:rsidR="005B0712">
        <w:rPr>
          <w:lang w:val="en-CA" w:eastAsia="en-CA"/>
        </w:rPr>
        <w:t xml:space="preserve"> (</w:t>
      </w:r>
      <w:r w:rsidR="005B0712" w:rsidRPr="007B3793">
        <w:rPr>
          <w:b/>
          <w:lang w:val="en-CA" w:eastAsia="en-CA"/>
        </w:rPr>
        <w:t xml:space="preserve">e.g. </w:t>
      </w:r>
      <w:r w:rsidR="005B0712">
        <w:rPr>
          <w:lang w:val="en-CA" w:eastAsia="en-CA"/>
        </w:rPr>
        <w:t>promoting securities or stating in any way that the individual or firm will buy or sell securities –</w:t>
      </w:r>
      <w:r w:rsidR="00E9285C">
        <w:rPr>
          <w:lang w:val="en-CA" w:eastAsia="en-CA"/>
        </w:rPr>
        <w:t xml:space="preserve"> </w:t>
      </w:r>
      <w:r w:rsidR="005B0712" w:rsidRPr="005B0712">
        <w:rPr>
          <w:b/>
          <w:color w:val="7030A0"/>
          <w:lang w:val="en-CA" w:eastAsia="en-CA"/>
        </w:rPr>
        <w:t>CP 31-103</w:t>
      </w:r>
      <w:r w:rsidR="00EB5E7E">
        <w:rPr>
          <w:b/>
          <w:color w:val="7030A0"/>
          <w:lang w:val="en-CA" w:eastAsia="en-CA"/>
        </w:rPr>
        <w:t xml:space="preserve"> s.1.3</w:t>
      </w:r>
      <w:r w:rsidR="005B0712">
        <w:rPr>
          <w:b/>
          <w:lang w:val="en-CA" w:eastAsia="en-CA"/>
        </w:rPr>
        <w:t>)</w:t>
      </w:r>
      <w:r>
        <w:rPr>
          <w:lang w:val="en-CA" w:eastAsia="en-CA"/>
        </w:rPr>
        <w:t>;</w:t>
      </w:r>
    </w:p>
    <w:p w:rsidR="00F436DB" w:rsidRPr="00F436DB" w:rsidRDefault="00F436DB" w:rsidP="00FF0B61">
      <w:pPr>
        <w:pStyle w:val="ListParagraph"/>
        <w:numPr>
          <w:ilvl w:val="1"/>
          <w:numId w:val="76"/>
        </w:numPr>
        <w:rPr>
          <w:b/>
          <w:lang w:val="en-CA" w:eastAsia="en-CA"/>
        </w:rPr>
      </w:pPr>
      <w:r w:rsidRPr="00EB6272">
        <w:rPr>
          <w:b/>
          <w:lang w:val="en-CA" w:eastAsia="en-CA"/>
        </w:rPr>
        <w:t>Intermediating trades or acting as a market maker</w:t>
      </w:r>
      <w:r w:rsidR="007B3793">
        <w:rPr>
          <w:lang w:val="en-CA" w:eastAsia="en-CA"/>
        </w:rPr>
        <w:t xml:space="preserve"> (</w:t>
      </w:r>
      <w:r w:rsidR="007B3793">
        <w:rPr>
          <w:b/>
          <w:lang w:val="en-CA" w:eastAsia="en-CA"/>
        </w:rPr>
        <w:t xml:space="preserve">e.g. </w:t>
      </w:r>
      <w:r w:rsidR="007B3793">
        <w:t>typically takes the form of the biz commonly referred to as a broker. Making a market in securities is also generally considered to be trading for a</w:t>
      </w:r>
      <w:r w:rsidR="00EB5E7E">
        <w:t xml:space="preserve"> biz</w:t>
      </w:r>
      <w:r w:rsidR="007B3793">
        <w:t xml:space="preserve"> purpose</w:t>
      </w:r>
      <w:r w:rsidR="00E9285C">
        <w:t xml:space="preserve"> - </w:t>
      </w:r>
      <w:r w:rsidR="00A12CDF" w:rsidRPr="005B0712">
        <w:rPr>
          <w:b/>
          <w:color w:val="7030A0"/>
          <w:lang w:val="en-CA" w:eastAsia="en-CA"/>
        </w:rPr>
        <w:t>CP 31-103</w:t>
      </w:r>
      <w:r w:rsidR="00A12CDF">
        <w:rPr>
          <w:b/>
          <w:color w:val="7030A0"/>
          <w:lang w:val="en-CA" w:eastAsia="en-CA"/>
        </w:rPr>
        <w:t xml:space="preserve"> s.1.3</w:t>
      </w:r>
      <w:r w:rsidR="007B3793">
        <w:t>)</w:t>
      </w:r>
      <w:r>
        <w:rPr>
          <w:lang w:val="en-CA" w:eastAsia="en-CA"/>
        </w:rPr>
        <w:t>;</w:t>
      </w:r>
    </w:p>
    <w:p w:rsidR="00F436DB" w:rsidRPr="00F436DB" w:rsidRDefault="00F436DB" w:rsidP="00FF0B61">
      <w:pPr>
        <w:pStyle w:val="ListParagraph"/>
        <w:numPr>
          <w:ilvl w:val="1"/>
          <w:numId w:val="76"/>
        </w:numPr>
        <w:rPr>
          <w:b/>
          <w:lang w:val="en-CA" w:eastAsia="en-CA"/>
        </w:rPr>
      </w:pPr>
      <w:r w:rsidRPr="00EB6272">
        <w:rPr>
          <w:b/>
          <w:lang w:val="en-CA" w:eastAsia="en-CA"/>
        </w:rPr>
        <w:t xml:space="preserve">Directly or indirectly carrying on the activity </w:t>
      </w:r>
      <w:r w:rsidRPr="001E21B9">
        <w:rPr>
          <w:b/>
          <w:u w:val="single"/>
          <w:lang w:val="en-CA" w:eastAsia="en-CA"/>
        </w:rPr>
        <w:t>with repetition, regularity or continuity</w:t>
      </w:r>
      <w:r w:rsidR="001E21B9">
        <w:rPr>
          <w:lang w:val="en-CA" w:eastAsia="en-CA"/>
        </w:rPr>
        <w:t xml:space="preserve"> (</w:t>
      </w:r>
      <w:r w:rsidR="001E21B9">
        <w:rPr>
          <w:b/>
          <w:lang w:val="en-CA" w:eastAsia="en-CA"/>
        </w:rPr>
        <w:t xml:space="preserve">e.g. </w:t>
      </w:r>
      <w:r w:rsidR="001E21B9" w:rsidRPr="001E21B9">
        <w:rPr>
          <w:lang w:val="en-CA" w:eastAsia="en-CA"/>
        </w:rPr>
        <w:t xml:space="preserve">The activity does not have to be their sole or even primary endeavour. </w:t>
      </w:r>
      <w:r w:rsidR="00E022DD">
        <w:rPr>
          <w:lang w:val="en-CA" w:eastAsia="en-CA"/>
        </w:rPr>
        <w:t>R</w:t>
      </w:r>
      <w:r w:rsidR="001E21B9" w:rsidRPr="001E21B9">
        <w:rPr>
          <w:lang w:val="en-CA" w:eastAsia="en-CA"/>
        </w:rPr>
        <w:t>egularly trading or advising in any way that produces, or is intended to produce, profits</w:t>
      </w:r>
      <w:r w:rsidR="00E022DD">
        <w:rPr>
          <w:lang w:val="en-CA" w:eastAsia="en-CA"/>
        </w:rPr>
        <w:t xml:space="preserve"> is considered</w:t>
      </w:r>
      <w:r w:rsidR="001E21B9" w:rsidRPr="001E21B9">
        <w:rPr>
          <w:lang w:val="en-CA" w:eastAsia="en-CA"/>
        </w:rPr>
        <w:t xml:space="preserve"> to be for a </w:t>
      </w:r>
      <w:r w:rsidR="001E21B9">
        <w:rPr>
          <w:lang w:val="en-CA" w:eastAsia="en-CA"/>
        </w:rPr>
        <w:t xml:space="preserve">biz purpose </w:t>
      </w:r>
      <w:r w:rsidR="001E21B9">
        <w:t xml:space="preserve">- </w:t>
      </w:r>
      <w:r w:rsidR="001E21B9" w:rsidRPr="005B0712">
        <w:rPr>
          <w:b/>
          <w:color w:val="7030A0"/>
          <w:lang w:val="en-CA" w:eastAsia="en-CA"/>
        </w:rPr>
        <w:t>CP 31-103</w:t>
      </w:r>
      <w:r w:rsidR="001E21B9">
        <w:rPr>
          <w:b/>
          <w:color w:val="7030A0"/>
          <w:lang w:val="en-CA" w:eastAsia="en-CA"/>
        </w:rPr>
        <w:t xml:space="preserve"> s.1.3)</w:t>
      </w:r>
      <w:r>
        <w:rPr>
          <w:lang w:val="en-CA" w:eastAsia="en-CA"/>
        </w:rPr>
        <w:t>;</w:t>
      </w:r>
    </w:p>
    <w:p w:rsidR="00F436DB" w:rsidRPr="00F436DB" w:rsidRDefault="00F436DB" w:rsidP="00FF0B61">
      <w:pPr>
        <w:pStyle w:val="ListParagraph"/>
        <w:numPr>
          <w:ilvl w:val="1"/>
          <w:numId w:val="76"/>
        </w:numPr>
        <w:rPr>
          <w:b/>
          <w:lang w:val="en-CA" w:eastAsia="en-CA"/>
        </w:rPr>
      </w:pPr>
      <w:r w:rsidRPr="00EB6272">
        <w:rPr>
          <w:b/>
          <w:lang w:val="en-CA" w:eastAsia="en-CA"/>
        </w:rPr>
        <w:t>Being, or expecting to be, remunerated or compensated</w:t>
      </w:r>
      <w:r>
        <w:rPr>
          <w:lang w:val="en-CA" w:eastAsia="en-CA"/>
        </w:rPr>
        <w:t>; and</w:t>
      </w:r>
    </w:p>
    <w:p w:rsidR="00F436DB" w:rsidRDefault="00F436DB" w:rsidP="00FF0B61">
      <w:pPr>
        <w:pStyle w:val="ListParagraph"/>
        <w:numPr>
          <w:ilvl w:val="1"/>
          <w:numId w:val="76"/>
        </w:numPr>
        <w:rPr>
          <w:b/>
          <w:lang w:val="en-CA" w:eastAsia="en-CA"/>
        </w:rPr>
      </w:pPr>
      <w:r w:rsidRPr="00EB6272">
        <w:rPr>
          <w:b/>
          <w:lang w:val="en-CA" w:eastAsia="en-CA"/>
        </w:rPr>
        <w:t>Directly or indirectly soliciting</w:t>
      </w:r>
      <w:r w:rsidR="00C05776">
        <w:rPr>
          <w:b/>
          <w:lang w:val="en-CA" w:eastAsia="en-CA"/>
        </w:rPr>
        <w:t xml:space="preserve"> (e.g. </w:t>
      </w:r>
      <w:r w:rsidR="00C05776" w:rsidRPr="00C05776">
        <w:rPr>
          <w:lang w:val="en-CA" w:eastAsia="en-CA"/>
        </w:rPr>
        <w:t>Contacting anyone to solicit securities transactions or to offer advice may reflect a business purpose</w:t>
      </w:r>
      <w:r w:rsidR="00C05776">
        <w:rPr>
          <w:b/>
          <w:lang w:val="en-CA" w:eastAsia="en-CA"/>
        </w:rPr>
        <w:t xml:space="preserve"> - </w:t>
      </w:r>
      <w:r w:rsidR="00C05776" w:rsidRPr="005B0712">
        <w:rPr>
          <w:b/>
          <w:color w:val="7030A0"/>
          <w:lang w:val="en-CA" w:eastAsia="en-CA"/>
        </w:rPr>
        <w:t>CP 31-103</w:t>
      </w:r>
      <w:r w:rsidR="00C05776">
        <w:rPr>
          <w:b/>
          <w:color w:val="7030A0"/>
          <w:lang w:val="en-CA" w:eastAsia="en-CA"/>
        </w:rPr>
        <w:t xml:space="preserve"> s.1.3</w:t>
      </w:r>
      <w:r w:rsidR="00C05776" w:rsidRPr="00C05776">
        <w:rPr>
          <w:b/>
          <w:lang w:val="en-CA" w:eastAsia="en-CA"/>
        </w:rPr>
        <w:t>).</w:t>
      </w:r>
    </w:p>
    <w:p w:rsidR="006F3AC9" w:rsidRPr="006F3AC9" w:rsidRDefault="00BE5FFB" w:rsidP="00FF0B61">
      <w:pPr>
        <w:pStyle w:val="ListParagraph"/>
        <w:numPr>
          <w:ilvl w:val="0"/>
          <w:numId w:val="76"/>
        </w:numPr>
        <w:rPr>
          <w:b/>
          <w:lang w:val="en-CA" w:eastAsia="en-CA"/>
        </w:rPr>
      </w:pPr>
      <w:r>
        <w:rPr>
          <w:b/>
          <w:lang w:val="en-CA" w:eastAsia="en-CA"/>
        </w:rPr>
        <w:t>Generally</w:t>
      </w:r>
      <w:r w:rsidR="0056125D">
        <w:rPr>
          <w:b/>
          <w:lang w:val="en-CA" w:eastAsia="en-CA"/>
        </w:rPr>
        <w:t xml:space="preserve">: </w:t>
      </w:r>
      <w:r w:rsidR="0056125D">
        <w:rPr>
          <w:lang w:val="en-CA" w:eastAsia="en-CA"/>
        </w:rPr>
        <w:t>One-time trading</w:t>
      </w:r>
      <w:r>
        <w:rPr>
          <w:lang w:val="en-CA" w:eastAsia="en-CA"/>
        </w:rPr>
        <w:t xml:space="preserve"> or advising activities are not considered to be in </w:t>
      </w:r>
      <w:r w:rsidR="00FA126E">
        <w:rPr>
          <w:lang w:val="en-CA" w:eastAsia="en-CA"/>
        </w:rPr>
        <w:t>the biz of trading or advising (i.e. lawyers)</w:t>
      </w:r>
    </w:p>
    <w:p w:rsidR="006F3AC9" w:rsidRDefault="006F3AC9" w:rsidP="00FF0B61">
      <w:pPr>
        <w:pStyle w:val="ListParagraph"/>
        <w:numPr>
          <w:ilvl w:val="0"/>
          <w:numId w:val="76"/>
        </w:numPr>
        <w:rPr>
          <w:b/>
          <w:lang w:val="en-CA" w:eastAsia="en-CA"/>
        </w:rPr>
      </w:pPr>
      <w:r w:rsidRPr="006F3AC9">
        <w:rPr>
          <w:b/>
          <w:lang w:val="en-CA" w:eastAsia="en-CA"/>
        </w:rPr>
        <w:t>Advice must have an effect on markets or investors:</w:t>
      </w:r>
      <w:r w:rsidRPr="006F3AC9">
        <w:rPr>
          <w:lang w:val="en-CA" w:eastAsia="en-CA"/>
        </w:rPr>
        <w:t xml:space="preserve"> </w:t>
      </w:r>
      <w:r w:rsidRPr="00D17A3A">
        <w:rPr>
          <w:b/>
          <w:lang w:val="en-CA" w:eastAsia="en-CA"/>
        </w:rPr>
        <w:t>1)</w:t>
      </w:r>
      <w:r w:rsidRPr="006F3AC9">
        <w:rPr>
          <w:lang w:val="en-CA" w:eastAsia="en-CA"/>
        </w:rPr>
        <w:t xml:space="preserve"> Reciting Facts is not advising, but talking about merits is, </w:t>
      </w:r>
      <w:r w:rsidRPr="00D17A3A">
        <w:rPr>
          <w:b/>
          <w:lang w:val="en-CA" w:eastAsia="en-CA"/>
        </w:rPr>
        <w:t>2)</w:t>
      </w:r>
      <w:r w:rsidRPr="006F3AC9">
        <w:rPr>
          <w:lang w:val="en-CA" w:eastAsia="en-CA"/>
        </w:rPr>
        <w:t xml:space="preserve"> Business purpose may not be found if the trading or advising activities are incidental to a primary business</w:t>
      </w:r>
      <w:r>
        <w:rPr>
          <w:b/>
          <w:lang w:val="en-CA" w:eastAsia="en-CA"/>
        </w:rPr>
        <w:t xml:space="preserve"> (</w:t>
      </w:r>
      <w:r w:rsidR="00D17A3A">
        <w:rPr>
          <w:b/>
          <w:i/>
          <w:color w:val="1006E0"/>
          <w:lang w:val="en-CA" w:eastAsia="en-CA"/>
        </w:rPr>
        <w:t>Re Morrison</w:t>
      </w:r>
      <w:r>
        <w:rPr>
          <w:b/>
          <w:lang w:val="en-CA" w:eastAsia="en-CA"/>
        </w:rPr>
        <w:t>)</w:t>
      </w:r>
    </w:p>
    <w:p w:rsidR="006F3AC9" w:rsidRDefault="006F3AC9" w:rsidP="00FF0B61">
      <w:pPr>
        <w:pStyle w:val="ListParagraph"/>
        <w:numPr>
          <w:ilvl w:val="0"/>
          <w:numId w:val="76"/>
        </w:numPr>
        <w:rPr>
          <w:b/>
          <w:lang w:val="en-CA" w:eastAsia="en-CA"/>
        </w:rPr>
      </w:pPr>
      <w:r w:rsidRPr="006F3AC9">
        <w:rPr>
          <w:b/>
          <w:lang w:val="en-CA" w:eastAsia="en-CA"/>
        </w:rPr>
        <w:t>Disclaimer has no effect on whether</w:t>
      </w:r>
      <w:r>
        <w:rPr>
          <w:b/>
          <w:lang w:val="en-CA" w:eastAsia="en-CA"/>
        </w:rPr>
        <w:t xml:space="preserve"> a business trigger is effected (</w:t>
      </w:r>
      <w:r w:rsidRPr="006F3AC9">
        <w:rPr>
          <w:b/>
          <w:i/>
          <w:color w:val="1006E0"/>
          <w:lang w:val="en-CA" w:eastAsia="en-CA"/>
        </w:rPr>
        <w:t>Re First Federal Capital</w:t>
      </w:r>
      <w:r>
        <w:rPr>
          <w:b/>
          <w:lang w:val="en-CA" w:eastAsia="en-CA"/>
        </w:rPr>
        <w:t>)</w:t>
      </w:r>
    </w:p>
    <w:p w:rsidR="00B904A1" w:rsidRPr="00AA45BC" w:rsidRDefault="00B904A1" w:rsidP="00FF0B61">
      <w:pPr>
        <w:pStyle w:val="Heading3"/>
        <w:spacing w:line="240" w:lineRule="auto"/>
        <w:rPr>
          <w:lang w:val="en-CA" w:eastAsia="en-CA"/>
        </w:rPr>
      </w:pPr>
      <w:bookmarkStart w:id="65" w:name="_Toc468980436"/>
      <w:r>
        <w:rPr>
          <w:lang w:val="en-CA" w:eastAsia="en-CA"/>
        </w:rPr>
        <w:t>Investment Fund Managers (</w:t>
      </w:r>
      <w:r w:rsidRPr="00DF77F3">
        <w:rPr>
          <w:color w:val="7030A0"/>
          <w:lang w:val="en-CA" w:eastAsia="en-CA"/>
        </w:rPr>
        <w:t>NI 31-103 s.7.3</w:t>
      </w:r>
      <w:r>
        <w:rPr>
          <w:lang w:val="en-CA" w:eastAsia="en-CA"/>
        </w:rPr>
        <w:t>)</w:t>
      </w:r>
      <w:bookmarkEnd w:id="65"/>
    </w:p>
    <w:p w:rsidR="00B904A1" w:rsidRDefault="00B904A1" w:rsidP="00FF0B61">
      <w:pPr>
        <w:spacing w:after="0" w:line="240" w:lineRule="auto"/>
        <w:rPr>
          <w:lang w:val="en-CA" w:eastAsia="en-CA"/>
        </w:rPr>
      </w:pPr>
      <w:r>
        <w:rPr>
          <w:b/>
          <w:lang w:val="en-CA" w:eastAsia="en-CA"/>
        </w:rPr>
        <w:t xml:space="preserve">Overview: </w:t>
      </w:r>
      <w:r>
        <w:rPr>
          <w:lang w:val="en-CA" w:eastAsia="en-CA"/>
        </w:rPr>
        <w:t>There is no “in the business” registration trigger for investment fund managers. If a person or company directs – or has the power to direct – the business, operation or affairs of an investment fund, it will be subject to registration (</w:t>
      </w:r>
      <w:r w:rsidRPr="0091051E">
        <w:rPr>
          <w:b/>
          <w:color w:val="C45911" w:themeColor="accent2" w:themeShade="BF"/>
          <w:lang w:val="en-CA" w:eastAsia="en-CA"/>
        </w:rPr>
        <w:t>BCSA 1</w:t>
      </w:r>
      <w:r>
        <w:rPr>
          <w:lang w:val="en-CA" w:eastAsia="en-CA"/>
        </w:rPr>
        <w:t>).</w:t>
      </w:r>
    </w:p>
    <w:p w:rsidR="00B904A1" w:rsidRDefault="00B904A1" w:rsidP="00FF0B61">
      <w:pPr>
        <w:pStyle w:val="ListParagraph"/>
        <w:numPr>
          <w:ilvl w:val="0"/>
          <w:numId w:val="81"/>
        </w:numPr>
        <w:rPr>
          <w:lang w:val="en-CA" w:eastAsia="en-CA"/>
        </w:rPr>
      </w:pPr>
      <w:r>
        <w:rPr>
          <w:b/>
          <w:lang w:val="en-CA" w:eastAsia="en-CA"/>
        </w:rPr>
        <w:t>“</w:t>
      </w:r>
      <w:r w:rsidRPr="00AB59A2">
        <w:rPr>
          <w:b/>
          <w:lang w:val="en-CA" w:eastAsia="en-CA"/>
        </w:rPr>
        <w:t>Investment fund</w:t>
      </w:r>
      <w:r>
        <w:rPr>
          <w:lang w:val="en-CA" w:eastAsia="en-CA"/>
        </w:rPr>
        <w:t>”</w:t>
      </w:r>
      <w:r w:rsidRPr="00AB59A2">
        <w:rPr>
          <w:lang w:val="en-CA" w:eastAsia="en-CA"/>
        </w:rPr>
        <w:t>: “a mutual fund or a non-redeemable investment fund”</w:t>
      </w:r>
      <w:r>
        <w:rPr>
          <w:lang w:val="en-CA" w:eastAsia="en-CA"/>
        </w:rPr>
        <w:t xml:space="preserve">. </w:t>
      </w:r>
    </w:p>
    <w:p w:rsidR="00B904A1" w:rsidRPr="00AB59A2" w:rsidRDefault="00B904A1" w:rsidP="00FF0B61">
      <w:pPr>
        <w:pStyle w:val="ListParagraph"/>
        <w:numPr>
          <w:ilvl w:val="0"/>
          <w:numId w:val="81"/>
        </w:numPr>
        <w:rPr>
          <w:lang w:val="en-CA" w:eastAsia="en-CA"/>
        </w:rPr>
      </w:pPr>
      <w:r>
        <w:rPr>
          <w:b/>
          <w:lang w:val="en-CA" w:eastAsia="en-CA"/>
        </w:rPr>
        <w:t xml:space="preserve">Functions of investment fund managers: </w:t>
      </w:r>
      <w:r>
        <w:rPr>
          <w:lang w:val="en-CA" w:eastAsia="en-CA"/>
        </w:rPr>
        <w:t xml:space="preserve">establishing a distribution channel for the fund; marketing the fund; overseeing the fund’s compliance and risk management programs; overseeing day-to-day administration, etc. </w:t>
      </w:r>
    </w:p>
    <w:p w:rsidR="001A14FE" w:rsidRPr="001A14FE" w:rsidRDefault="001A14FE" w:rsidP="00FF0B61">
      <w:pPr>
        <w:pStyle w:val="Heading2"/>
        <w:spacing w:line="240" w:lineRule="auto"/>
        <w:rPr>
          <w:lang w:val="en-CA" w:eastAsia="en-CA"/>
        </w:rPr>
      </w:pPr>
      <w:bookmarkStart w:id="66" w:name="_Toc468980437"/>
      <w:r>
        <w:rPr>
          <w:lang w:val="en-CA" w:eastAsia="en-CA"/>
        </w:rPr>
        <w:lastRenderedPageBreak/>
        <w:t>Firm Categories</w:t>
      </w:r>
      <w:r w:rsidR="00AA081E">
        <w:rPr>
          <w:lang w:val="en-CA" w:eastAsia="en-CA"/>
        </w:rPr>
        <w:t xml:space="preserve"> For Registration</w:t>
      </w:r>
      <w:bookmarkEnd w:id="66"/>
      <w:r w:rsidR="00AA081E">
        <w:rPr>
          <w:lang w:val="en-CA" w:eastAsia="en-CA"/>
        </w:rPr>
        <w:t xml:space="preserve"> </w:t>
      </w:r>
    </w:p>
    <w:p w:rsidR="006C64D4" w:rsidRPr="00752DD6" w:rsidRDefault="00752DD6" w:rsidP="00FF0B61">
      <w:pPr>
        <w:spacing w:after="0" w:line="240" w:lineRule="auto"/>
        <w:rPr>
          <w:b/>
          <w:u w:val="single"/>
          <w:lang w:val="en-CA" w:eastAsia="en-CA"/>
        </w:rPr>
      </w:pPr>
      <w:r w:rsidRPr="00752DD6">
        <w:rPr>
          <w:b/>
          <w:u w:val="single"/>
          <w:lang w:val="en-CA" w:eastAsia="en-CA"/>
        </w:rPr>
        <w:t>Dealers - Firm Registration</w:t>
      </w:r>
      <w:r w:rsidR="00C037E5">
        <w:rPr>
          <w:b/>
          <w:u w:val="single"/>
          <w:lang w:val="en-CA" w:eastAsia="en-CA"/>
        </w:rPr>
        <w:t xml:space="preserve"> (</w:t>
      </w:r>
      <w:r w:rsidR="00C037E5" w:rsidRPr="00C037E5">
        <w:rPr>
          <w:b/>
          <w:color w:val="7030A0"/>
          <w:u w:val="single"/>
          <w:lang w:val="en-CA" w:eastAsia="en-CA"/>
        </w:rPr>
        <w:t>NI 31-103 s.7.1</w:t>
      </w:r>
      <w:r w:rsidR="00C037E5">
        <w:rPr>
          <w:b/>
          <w:u w:val="single"/>
          <w:lang w:val="en-CA" w:eastAsia="en-CA"/>
        </w:rPr>
        <w:t>)</w:t>
      </w:r>
      <w:r w:rsidRPr="00752DD6">
        <w:rPr>
          <w:b/>
          <w:u w:val="single"/>
          <w:lang w:val="en-CA" w:eastAsia="en-CA"/>
        </w:rPr>
        <w:t xml:space="preserve">: </w:t>
      </w:r>
    </w:p>
    <w:p w:rsidR="00F2017E" w:rsidRPr="00CB7205" w:rsidRDefault="00F2017E" w:rsidP="00FF0B61">
      <w:pPr>
        <w:pStyle w:val="ListParagraph"/>
        <w:numPr>
          <w:ilvl w:val="0"/>
          <w:numId w:val="74"/>
        </w:numPr>
        <w:spacing w:after="120"/>
        <w:jc w:val="both"/>
        <w:rPr>
          <w:rFonts w:cs="Times New Roman"/>
          <w:szCs w:val="28"/>
        </w:rPr>
      </w:pPr>
      <w:r w:rsidRPr="00CB7205">
        <w:rPr>
          <w:rFonts w:cs="Times New Roman"/>
          <w:b/>
          <w:szCs w:val="28"/>
        </w:rPr>
        <w:t>1)</w:t>
      </w:r>
      <w:r w:rsidRPr="00CB7205">
        <w:rPr>
          <w:rFonts w:cs="Times New Roman"/>
          <w:szCs w:val="28"/>
        </w:rPr>
        <w:t xml:space="preserve"> </w:t>
      </w:r>
      <w:r w:rsidRPr="00CB7205">
        <w:rPr>
          <w:rFonts w:cs="Times New Roman"/>
          <w:b/>
          <w:szCs w:val="28"/>
        </w:rPr>
        <w:t xml:space="preserve">Investment </w:t>
      </w:r>
      <w:r w:rsidR="003E2B35" w:rsidRPr="00CB7205">
        <w:rPr>
          <w:rFonts w:cs="Times New Roman"/>
          <w:b/>
          <w:szCs w:val="28"/>
        </w:rPr>
        <w:t>Dealer</w:t>
      </w:r>
      <w:r w:rsidR="003E2B35" w:rsidRPr="00CB7205">
        <w:rPr>
          <w:rFonts w:cs="Times New Roman"/>
          <w:szCs w:val="28"/>
        </w:rPr>
        <w:t xml:space="preserve"> – </w:t>
      </w:r>
      <w:r w:rsidR="00FA0BAD">
        <w:rPr>
          <w:rFonts w:cs="Times New Roman"/>
          <w:szCs w:val="28"/>
        </w:rPr>
        <w:t>F</w:t>
      </w:r>
      <w:r w:rsidR="003E2B35" w:rsidRPr="00CB7205">
        <w:rPr>
          <w:rFonts w:cs="Times New Roman"/>
          <w:szCs w:val="28"/>
        </w:rPr>
        <w:t>ull service category, may act as dealers or UW’</w:t>
      </w:r>
      <w:r w:rsidR="00835A45" w:rsidRPr="00CB7205">
        <w:rPr>
          <w:rFonts w:cs="Times New Roman"/>
          <w:szCs w:val="28"/>
        </w:rPr>
        <w:t xml:space="preserve">s in respect of </w:t>
      </w:r>
      <w:r w:rsidR="00835A45" w:rsidRPr="00CD38EC">
        <w:rPr>
          <w:rFonts w:cs="Times New Roman"/>
          <w:szCs w:val="28"/>
          <w:u w:val="single"/>
        </w:rPr>
        <w:t>any security</w:t>
      </w:r>
      <w:r w:rsidR="00835A45" w:rsidRPr="00CB7205">
        <w:rPr>
          <w:rFonts w:cs="Times New Roman"/>
          <w:szCs w:val="28"/>
        </w:rPr>
        <w:t xml:space="preserve"> (</w:t>
      </w:r>
      <w:r w:rsidR="00835A45" w:rsidRPr="00CB7205">
        <w:rPr>
          <w:rFonts w:cs="Times New Roman"/>
          <w:b/>
          <w:color w:val="7030A0"/>
          <w:szCs w:val="28"/>
        </w:rPr>
        <w:t>s.7.1(</w:t>
      </w:r>
      <w:r w:rsidR="00B90396" w:rsidRPr="00CB7205">
        <w:rPr>
          <w:rFonts w:cs="Times New Roman"/>
          <w:b/>
          <w:color w:val="7030A0"/>
          <w:szCs w:val="28"/>
        </w:rPr>
        <w:t>2</w:t>
      </w:r>
      <w:r w:rsidR="00835A45" w:rsidRPr="00CB7205">
        <w:rPr>
          <w:rFonts w:cs="Times New Roman"/>
          <w:b/>
          <w:color w:val="7030A0"/>
          <w:szCs w:val="28"/>
        </w:rPr>
        <w:t>)</w:t>
      </w:r>
      <w:r w:rsidR="00B90396" w:rsidRPr="00CB7205">
        <w:rPr>
          <w:rFonts w:cs="Times New Roman"/>
          <w:b/>
          <w:color w:val="7030A0"/>
          <w:szCs w:val="28"/>
        </w:rPr>
        <w:t>(a)</w:t>
      </w:r>
      <w:r w:rsidR="00835A45" w:rsidRPr="00CB7205">
        <w:rPr>
          <w:rFonts w:cs="Times New Roman"/>
          <w:szCs w:val="28"/>
        </w:rPr>
        <w:t xml:space="preserve">); </w:t>
      </w:r>
      <w:r w:rsidR="003E2B35" w:rsidRPr="00CB7205">
        <w:rPr>
          <w:rFonts w:cs="Times New Roman"/>
          <w:szCs w:val="28"/>
        </w:rPr>
        <w:t>Investment dealers must be members of IIROC</w:t>
      </w:r>
      <w:r w:rsidR="00835A45" w:rsidRPr="00CB7205">
        <w:rPr>
          <w:rFonts w:cs="Times New Roman"/>
          <w:szCs w:val="28"/>
        </w:rPr>
        <w:t xml:space="preserve"> (</w:t>
      </w:r>
      <w:r w:rsidR="00835A45" w:rsidRPr="00CB7205">
        <w:rPr>
          <w:rFonts w:cs="Times New Roman"/>
          <w:b/>
          <w:color w:val="7030A0"/>
          <w:szCs w:val="28"/>
        </w:rPr>
        <w:t>s.9.1</w:t>
      </w:r>
      <w:r w:rsidR="00835A45" w:rsidRPr="00CB7205">
        <w:rPr>
          <w:rFonts w:cs="Times New Roman"/>
          <w:szCs w:val="28"/>
        </w:rPr>
        <w:t>)</w:t>
      </w:r>
      <w:r w:rsidR="003E2B35" w:rsidRPr="00CB7205">
        <w:rPr>
          <w:rFonts w:cs="Times New Roman"/>
          <w:szCs w:val="28"/>
        </w:rPr>
        <w:t xml:space="preserve">. </w:t>
      </w:r>
      <w:r w:rsidRPr="00CB7205">
        <w:rPr>
          <w:rFonts w:cs="Times New Roman"/>
          <w:szCs w:val="28"/>
        </w:rPr>
        <w:t xml:space="preserve">  </w:t>
      </w:r>
    </w:p>
    <w:p w:rsidR="00F2017E" w:rsidRPr="00CB7205" w:rsidRDefault="00F2017E" w:rsidP="00FF0B61">
      <w:pPr>
        <w:pStyle w:val="ListParagraph"/>
        <w:numPr>
          <w:ilvl w:val="0"/>
          <w:numId w:val="74"/>
        </w:numPr>
        <w:spacing w:before="120" w:after="120"/>
        <w:jc w:val="both"/>
        <w:rPr>
          <w:rFonts w:cs="Times New Roman"/>
          <w:szCs w:val="28"/>
        </w:rPr>
      </w:pPr>
      <w:r w:rsidRPr="00CB7205">
        <w:rPr>
          <w:rFonts w:cs="Times New Roman"/>
          <w:b/>
          <w:szCs w:val="28"/>
        </w:rPr>
        <w:t>2)</w:t>
      </w:r>
      <w:r w:rsidRPr="00CB7205">
        <w:rPr>
          <w:rFonts w:cs="Times New Roman"/>
          <w:szCs w:val="28"/>
        </w:rPr>
        <w:t xml:space="preserve"> </w:t>
      </w:r>
      <w:r w:rsidRPr="00CB7205">
        <w:rPr>
          <w:rFonts w:cs="Times New Roman"/>
          <w:b/>
          <w:szCs w:val="28"/>
        </w:rPr>
        <w:t>Mutual Fund Dealers</w:t>
      </w:r>
      <w:r w:rsidRPr="00CB7205">
        <w:rPr>
          <w:rFonts w:cs="Times New Roman"/>
          <w:szCs w:val="28"/>
        </w:rPr>
        <w:t xml:space="preserve"> – </w:t>
      </w:r>
      <w:r w:rsidR="00835A45" w:rsidRPr="00CB7205">
        <w:rPr>
          <w:rFonts w:cs="Times New Roman"/>
          <w:szCs w:val="28"/>
        </w:rPr>
        <w:t>May act as dealers regarding securities issued by a mutual fund, labour-sponsored investment funds, or labour-sponsored venture capital corporation (</w:t>
      </w:r>
      <w:r w:rsidR="00835A45" w:rsidRPr="00CB7205">
        <w:rPr>
          <w:rFonts w:cs="Times New Roman"/>
          <w:b/>
          <w:color w:val="7030A0"/>
          <w:szCs w:val="28"/>
        </w:rPr>
        <w:t>s.</w:t>
      </w:r>
      <w:r w:rsidR="00B90396" w:rsidRPr="00CB7205">
        <w:rPr>
          <w:rFonts w:cs="Times New Roman"/>
          <w:b/>
          <w:color w:val="7030A0"/>
          <w:szCs w:val="28"/>
        </w:rPr>
        <w:t>7.1(2)(b</w:t>
      </w:r>
      <w:r w:rsidR="00835A45" w:rsidRPr="00CB7205">
        <w:rPr>
          <w:rFonts w:cs="Times New Roman"/>
          <w:b/>
          <w:color w:val="7030A0"/>
          <w:szCs w:val="28"/>
        </w:rPr>
        <w:t>)</w:t>
      </w:r>
      <w:r w:rsidR="00835A45" w:rsidRPr="00CB7205">
        <w:rPr>
          <w:rFonts w:cs="Times New Roman"/>
          <w:szCs w:val="28"/>
        </w:rPr>
        <w:t>): except in Quebec, must be a part of MFDA (</w:t>
      </w:r>
      <w:r w:rsidR="00835A45" w:rsidRPr="00CB7205">
        <w:rPr>
          <w:rFonts w:cs="Times New Roman"/>
          <w:b/>
          <w:color w:val="7030A0"/>
          <w:szCs w:val="28"/>
        </w:rPr>
        <w:t>s.9.2</w:t>
      </w:r>
      <w:r w:rsidR="00835A45" w:rsidRPr="00CB7205">
        <w:rPr>
          <w:rFonts w:cs="Times New Roman"/>
          <w:szCs w:val="28"/>
        </w:rPr>
        <w:t>);</w:t>
      </w:r>
    </w:p>
    <w:p w:rsidR="00F2017E" w:rsidRPr="00CB7205" w:rsidRDefault="00F2017E" w:rsidP="00FF0B61">
      <w:pPr>
        <w:pStyle w:val="ListParagraph"/>
        <w:numPr>
          <w:ilvl w:val="0"/>
          <w:numId w:val="74"/>
        </w:numPr>
        <w:spacing w:before="120" w:after="120"/>
        <w:jc w:val="both"/>
        <w:rPr>
          <w:rFonts w:cs="Times New Roman"/>
          <w:szCs w:val="28"/>
        </w:rPr>
      </w:pPr>
      <w:r w:rsidRPr="00CB7205">
        <w:rPr>
          <w:rFonts w:cs="Times New Roman"/>
          <w:b/>
          <w:szCs w:val="28"/>
        </w:rPr>
        <w:t>3)</w:t>
      </w:r>
      <w:r w:rsidRPr="00CB7205">
        <w:rPr>
          <w:rFonts w:cs="Times New Roman"/>
          <w:szCs w:val="28"/>
        </w:rPr>
        <w:t xml:space="preserve"> </w:t>
      </w:r>
      <w:r w:rsidRPr="00CB7205">
        <w:rPr>
          <w:rFonts w:cs="Times New Roman"/>
          <w:b/>
          <w:szCs w:val="28"/>
        </w:rPr>
        <w:t>Scholarship Plan Dealers</w:t>
      </w:r>
      <w:r w:rsidRPr="00CB7205">
        <w:rPr>
          <w:rFonts w:cs="Times New Roman"/>
          <w:szCs w:val="28"/>
        </w:rPr>
        <w:t xml:space="preserve"> – </w:t>
      </w:r>
      <w:r w:rsidR="00167866">
        <w:rPr>
          <w:rFonts w:cs="Times New Roman"/>
          <w:szCs w:val="28"/>
        </w:rPr>
        <w:t>M</w:t>
      </w:r>
      <w:r w:rsidR="00B90396" w:rsidRPr="00CB7205">
        <w:rPr>
          <w:rFonts w:cs="Times New Roman"/>
          <w:szCs w:val="28"/>
        </w:rPr>
        <w:t>ay act as dealers only in respect of securities issued by a scholarship plan, education plan, or educational trust (</w:t>
      </w:r>
      <w:r w:rsidR="00B90396" w:rsidRPr="00CB7205">
        <w:rPr>
          <w:rFonts w:cs="Times New Roman"/>
          <w:b/>
          <w:color w:val="7030A0"/>
          <w:szCs w:val="28"/>
        </w:rPr>
        <w:t>7.1(2)(c)</w:t>
      </w:r>
      <w:r w:rsidR="00B90396" w:rsidRPr="00CB7205">
        <w:rPr>
          <w:rFonts w:cs="Times New Roman"/>
          <w:szCs w:val="28"/>
        </w:rPr>
        <w:t>)</w:t>
      </w:r>
    </w:p>
    <w:p w:rsidR="00F2017E" w:rsidRPr="00CB7205" w:rsidRDefault="00F2017E" w:rsidP="00FF0B61">
      <w:pPr>
        <w:pStyle w:val="ListParagraph"/>
        <w:numPr>
          <w:ilvl w:val="0"/>
          <w:numId w:val="74"/>
        </w:numPr>
        <w:spacing w:before="120" w:after="120"/>
        <w:jc w:val="both"/>
        <w:rPr>
          <w:rFonts w:cs="Times New Roman"/>
          <w:szCs w:val="28"/>
        </w:rPr>
      </w:pPr>
      <w:r w:rsidRPr="00CB7205">
        <w:rPr>
          <w:rFonts w:cs="Times New Roman"/>
          <w:b/>
          <w:szCs w:val="28"/>
        </w:rPr>
        <w:t>4)</w:t>
      </w:r>
      <w:r w:rsidRPr="00CB7205">
        <w:rPr>
          <w:rFonts w:cs="Times New Roman"/>
          <w:szCs w:val="28"/>
        </w:rPr>
        <w:t xml:space="preserve"> </w:t>
      </w:r>
      <w:r w:rsidRPr="00CB7205">
        <w:rPr>
          <w:rFonts w:cs="Times New Roman"/>
          <w:b/>
          <w:szCs w:val="28"/>
        </w:rPr>
        <w:t>Exempt Market Dealer</w:t>
      </w:r>
      <w:r w:rsidRPr="00CB7205">
        <w:rPr>
          <w:rFonts w:cs="Times New Roman"/>
          <w:szCs w:val="28"/>
        </w:rPr>
        <w:t xml:space="preserve"> – allowed to trade only in exempt mrkt securities</w:t>
      </w:r>
      <w:r w:rsidR="00625422">
        <w:rPr>
          <w:rFonts w:cs="Times New Roman"/>
          <w:szCs w:val="28"/>
        </w:rPr>
        <w:t xml:space="preserve"> (still have to register, just are dealing with securities in the exempt market)</w:t>
      </w:r>
      <w:r w:rsidR="00A8524E" w:rsidRPr="00CB7205">
        <w:rPr>
          <w:rFonts w:cs="Times New Roman"/>
          <w:szCs w:val="28"/>
        </w:rPr>
        <w:t xml:space="preserve"> (</w:t>
      </w:r>
      <w:r w:rsidR="00A8524E" w:rsidRPr="00CB7205">
        <w:rPr>
          <w:rFonts w:cs="Times New Roman"/>
          <w:b/>
          <w:color w:val="7030A0"/>
          <w:szCs w:val="28"/>
        </w:rPr>
        <w:t>7.1(2)(d)</w:t>
      </w:r>
      <w:r w:rsidR="00A8524E" w:rsidRPr="00CB7205">
        <w:rPr>
          <w:rFonts w:cs="Times New Roman"/>
          <w:szCs w:val="28"/>
        </w:rPr>
        <w:t>)</w:t>
      </w:r>
    </w:p>
    <w:p w:rsidR="00F2017E" w:rsidRPr="00CB7205" w:rsidRDefault="00F2017E" w:rsidP="00FF0B61">
      <w:pPr>
        <w:pStyle w:val="ListParagraph"/>
        <w:numPr>
          <w:ilvl w:val="0"/>
          <w:numId w:val="74"/>
        </w:numPr>
        <w:spacing w:before="120" w:after="120"/>
        <w:jc w:val="both"/>
        <w:rPr>
          <w:rFonts w:cs="Times New Roman"/>
          <w:szCs w:val="28"/>
        </w:rPr>
      </w:pPr>
      <w:r w:rsidRPr="00CB7205">
        <w:rPr>
          <w:rFonts w:cs="Times New Roman"/>
          <w:b/>
          <w:szCs w:val="28"/>
        </w:rPr>
        <w:t>5)</w:t>
      </w:r>
      <w:r w:rsidRPr="00CB7205">
        <w:rPr>
          <w:rFonts w:cs="Times New Roman"/>
          <w:szCs w:val="28"/>
        </w:rPr>
        <w:t xml:space="preserve"> </w:t>
      </w:r>
      <w:r w:rsidRPr="00CB7205">
        <w:rPr>
          <w:rFonts w:cs="Times New Roman"/>
          <w:b/>
          <w:szCs w:val="28"/>
        </w:rPr>
        <w:t>Restricted Dealer</w:t>
      </w:r>
      <w:r w:rsidRPr="00CB7205">
        <w:rPr>
          <w:rFonts w:cs="Times New Roman"/>
          <w:szCs w:val="28"/>
        </w:rPr>
        <w:t xml:space="preserve"> – Dealer whom restri</w:t>
      </w:r>
      <w:r w:rsidR="00CB7205" w:rsidRPr="00CB7205">
        <w:rPr>
          <w:rFonts w:cs="Times New Roman"/>
          <w:szCs w:val="28"/>
        </w:rPr>
        <w:t>ctions have been placed on them (</w:t>
      </w:r>
      <w:r w:rsidR="00CB7205" w:rsidRPr="00CB7205">
        <w:rPr>
          <w:rFonts w:cs="Times New Roman"/>
          <w:b/>
          <w:color w:val="7030A0"/>
          <w:szCs w:val="28"/>
        </w:rPr>
        <w:t>7.1(2)(e)</w:t>
      </w:r>
      <w:r w:rsidR="00CB7205" w:rsidRPr="00CB7205">
        <w:rPr>
          <w:rFonts w:cs="Times New Roman"/>
          <w:szCs w:val="28"/>
        </w:rPr>
        <w:t>)</w:t>
      </w:r>
    </w:p>
    <w:p w:rsidR="00F2017E" w:rsidRPr="0087632F" w:rsidRDefault="00F2017E" w:rsidP="00FF0B61">
      <w:pPr>
        <w:pStyle w:val="ListParagraph"/>
        <w:numPr>
          <w:ilvl w:val="1"/>
          <w:numId w:val="74"/>
        </w:numPr>
        <w:spacing w:before="120" w:after="120"/>
        <w:jc w:val="both"/>
        <w:rPr>
          <w:rFonts w:cs="Times New Roman"/>
          <w:szCs w:val="28"/>
        </w:rPr>
      </w:pPr>
      <w:r w:rsidRPr="0087632F">
        <w:rPr>
          <w:rFonts w:cs="Times New Roman"/>
          <w:szCs w:val="28"/>
        </w:rPr>
        <w:t xml:space="preserve">As long as register in most full-service category (bigger) don’t have to register in the others (smaller) but that does not work vice-versa. </w:t>
      </w:r>
    </w:p>
    <w:p w:rsidR="00752DD6" w:rsidRPr="00B904A1" w:rsidRDefault="00752DD6" w:rsidP="00FF0B61">
      <w:pPr>
        <w:spacing w:after="0" w:line="240" w:lineRule="auto"/>
        <w:rPr>
          <w:b/>
          <w:lang w:val="en-CA" w:eastAsia="en-CA"/>
        </w:rPr>
      </w:pPr>
      <w:r w:rsidRPr="00752DD6">
        <w:rPr>
          <w:b/>
          <w:u w:val="single"/>
          <w:lang w:val="en-CA" w:eastAsia="en-CA"/>
        </w:rPr>
        <w:t xml:space="preserve">Advisor - Firm Registration: </w:t>
      </w:r>
      <w:r w:rsidR="00B904A1">
        <w:rPr>
          <w:b/>
          <w:lang w:val="en-CA" w:eastAsia="en-CA"/>
        </w:rPr>
        <w:t xml:space="preserve">2 Categories </w:t>
      </w:r>
    </w:p>
    <w:p w:rsidR="007372C2" w:rsidRPr="007372C2" w:rsidRDefault="007372C2" w:rsidP="00FF0B61">
      <w:pPr>
        <w:pStyle w:val="ListParagraph"/>
        <w:numPr>
          <w:ilvl w:val="0"/>
          <w:numId w:val="77"/>
        </w:numPr>
        <w:rPr>
          <w:b/>
          <w:lang w:val="en-CA" w:eastAsia="en-CA"/>
        </w:rPr>
      </w:pPr>
      <w:r>
        <w:rPr>
          <w:b/>
          <w:lang w:val="en-CA" w:eastAsia="en-CA"/>
        </w:rPr>
        <w:t>1</w:t>
      </w:r>
      <w:r w:rsidR="0062755C">
        <w:rPr>
          <w:b/>
          <w:lang w:val="en-CA" w:eastAsia="en-CA"/>
        </w:rPr>
        <w:t>)</w:t>
      </w:r>
      <w:r>
        <w:rPr>
          <w:b/>
          <w:lang w:val="en-CA" w:eastAsia="en-CA"/>
        </w:rPr>
        <w:t xml:space="preserve"> Portfolio Managers – </w:t>
      </w:r>
      <w:r w:rsidR="00C54C66">
        <w:rPr>
          <w:lang w:val="en-CA" w:eastAsia="en-CA"/>
        </w:rPr>
        <w:t>M</w:t>
      </w:r>
      <w:r>
        <w:rPr>
          <w:lang w:val="en-CA" w:eastAsia="en-CA"/>
        </w:rPr>
        <w:t>ay act and advise in respect of any security (</w:t>
      </w:r>
      <w:r w:rsidRPr="007372C2">
        <w:rPr>
          <w:b/>
          <w:color w:val="7030A0"/>
          <w:lang w:val="en-CA" w:eastAsia="en-CA"/>
        </w:rPr>
        <w:t>NI 31-103 s.7.2(2)(a)</w:t>
      </w:r>
      <w:r>
        <w:rPr>
          <w:lang w:val="en-CA" w:eastAsia="en-CA"/>
        </w:rPr>
        <w:t>)</w:t>
      </w:r>
    </w:p>
    <w:p w:rsidR="00824C9A" w:rsidRPr="001851DB" w:rsidRDefault="0062755C" w:rsidP="00FF0B61">
      <w:pPr>
        <w:pStyle w:val="ListParagraph"/>
        <w:numPr>
          <w:ilvl w:val="0"/>
          <w:numId w:val="77"/>
        </w:numPr>
        <w:rPr>
          <w:lang w:val="en-CA" w:eastAsia="en-CA"/>
        </w:rPr>
      </w:pPr>
      <w:r>
        <w:rPr>
          <w:b/>
          <w:lang w:val="en-CA" w:eastAsia="en-CA"/>
        </w:rPr>
        <w:t xml:space="preserve">2) </w:t>
      </w:r>
      <w:r w:rsidR="007372C2" w:rsidRPr="007372C2">
        <w:rPr>
          <w:b/>
          <w:lang w:val="en-CA" w:eastAsia="en-CA"/>
        </w:rPr>
        <w:t xml:space="preserve">Restricted Portfolio Managers - </w:t>
      </w:r>
      <w:r w:rsidR="00C54C66" w:rsidRPr="00C54C66">
        <w:rPr>
          <w:rFonts w:cs="Times New Roman"/>
        </w:rPr>
        <w:t xml:space="preserve">May act as advisors regarding any security in accordance to terms of registration </w:t>
      </w:r>
      <w:r w:rsidR="00B072C2" w:rsidRPr="00B072C2">
        <w:rPr>
          <w:rFonts w:cs="Times New Roman"/>
        </w:rPr>
        <w:t>(</w:t>
      </w:r>
      <w:r w:rsidR="00C54C66" w:rsidRPr="00B072C2">
        <w:rPr>
          <w:rFonts w:cs="Times New Roman"/>
          <w:b/>
          <w:color w:val="7030A0"/>
        </w:rPr>
        <w:t>7.2(2)(b))</w:t>
      </w:r>
      <w:r w:rsidR="00C54C66" w:rsidRPr="00B072C2">
        <w:rPr>
          <w:rFonts w:cs="Times New Roman"/>
          <w:i/>
          <w:color w:val="7030A0"/>
        </w:rPr>
        <w:t xml:space="preserve"> </w:t>
      </w:r>
      <w:r w:rsidR="00C54C66" w:rsidRPr="00C54C66">
        <w:rPr>
          <w:rFonts w:cs="Times New Roman"/>
        </w:rPr>
        <w:t>(</w:t>
      </w:r>
      <w:r w:rsidR="00B072C2" w:rsidRPr="00CC376C">
        <w:rPr>
          <w:rFonts w:cs="Times New Roman"/>
          <w:b/>
        </w:rPr>
        <w:t>e.g.</w:t>
      </w:r>
      <w:r w:rsidR="00B072C2">
        <w:rPr>
          <w:rFonts w:cs="Times New Roman"/>
        </w:rPr>
        <w:t xml:space="preserve"> restricted to a specific type of security, such as oil and gas securities or real estate and mortgage securities</w:t>
      </w:r>
      <w:r w:rsidR="00C54C66" w:rsidRPr="00C54C66">
        <w:rPr>
          <w:rFonts w:cs="Times New Roman"/>
        </w:rPr>
        <w:t>)</w:t>
      </w:r>
    </w:p>
    <w:p w:rsidR="004924EF" w:rsidRPr="004924EF" w:rsidRDefault="004924EF" w:rsidP="00FF0B61">
      <w:pPr>
        <w:pStyle w:val="Heading2"/>
        <w:spacing w:line="240" w:lineRule="auto"/>
      </w:pPr>
      <w:bookmarkStart w:id="67" w:name="_Toc468980438"/>
      <w:r w:rsidRPr="004924EF">
        <w:t>Individual Categories of Registration</w:t>
      </w:r>
      <w:r w:rsidR="00FC6763">
        <w:t xml:space="preserve"> (</w:t>
      </w:r>
      <w:r w:rsidR="00FC6763" w:rsidRPr="00FC6763">
        <w:rPr>
          <w:color w:val="7030A0"/>
        </w:rPr>
        <w:t>NI 31-103 s.2.1</w:t>
      </w:r>
      <w:r w:rsidR="00FC6763">
        <w:t>)</w:t>
      </w:r>
      <w:bookmarkEnd w:id="67"/>
      <w:r w:rsidRPr="004924EF">
        <w:t xml:space="preserve"> </w:t>
      </w:r>
    </w:p>
    <w:p w:rsidR="00D3087E" w:rsidRDefault="0082445D" w:rsidP="00FF0B61">
      <w:pPr>
        <w:spacing w:after="0" w:line="240" w:lineRule="auto"/>
        <w:jc w:val="both"/>
        <w:rPr>
          <w:rFonts w:cs="Times New Roman"/>
          <w:szCs w:val="28"/>
        </w:rPr>
      </w:pPr>
      <w:r w:rsidRPr="0082445D">
        <w:rPr>
          <w:rFonts w:cs="Times New Roman"/>
          <w:szCs w:val="28"/>
        </w:rPr>
        <w:t xml:space="preserve">An individual who acts on behalf of a registered firm must </w:t>
      </w:r>
      <w:r w:rsidRPr="00030E00">
        <w:rPr>
          <w:rFonts w:cs="Times New Roman"/>
          <w:b/>
          <w:szCs w:val="28"/>
        </w:rPr>
        <w:t xml:space="preserve">register in </w:t>
      </w:r>
      <w:r w:rsidR="006733B6" w:rsidRPr="00030E00">
        <w:rPr>
          <w:rFonts w:cs="Times New Roman"/>
          <w:b/>
          <w:szCs w:val="28"/>
        </w:rPr>
        <w:t>1+ ind categories</w:t>
      </w:r>
      <w:r w:rsidR="006733B6">
        <w:rPr>
          <w:rFonts w:cs="Times New Roman"/>
          <w:szCs w:val="28"/>
        </w:rPr>
        <w:t xml:space="preserve">. An ind </w:t>
      </w:r>
      <w:r w:rsidR="00AF7A11">
        <w:rPr>
          <w:rFonts w:cs="Times New Roman"/>
          <w:szCs w:val="28"/>
        </w:rPr>
        <w:t>may n</w:t>
      </w:r>
      <w:r w:rsidRPr="0082445D">
        <w:rPr>
          <w:rFonts w:cs="Times New Roman"/>
          <w:szCs w:val="28"/>
        </w:rPr>
        <w:t>ee</w:t>
      </w:r>
      <w:r w:rsidR="006733B6">
        <w:rPr>
          <w:rFonts w:cs="Times New Roman"/>
          <w:szCs w:val="28"/>
        </w:rPr>
        <w:t>d to register in both firm</w:t>
      </w:r>
      <w:r w:rsidRPr="0082445D">
        <w:rPr>
          <w:rFonts w:cs="Times New Roman"/>
          <w:szCs w:val="28"/>
        </w:rPr>
        <w:t xml:space="preserve"> and individual categories</w:t>
      </w:r>
      <w:r w:rsidR="00DD4D7B">
        <w:rPr>
          <w:rFonts w:cs="Times New Roman"/>
          <w:szCs w:val="28"/>
        </w:rPr>
        <w:t xml:space="preserve"> (</w:t>
      </w:r>
      <w:r w:rsidR="00DD4D7B" w:rsidRPr="005F7277">
        <w:rPr>
          <w:rFonts w:cs="Times New Roman"/>
          <w:b/>
          <w:szCs w:val="28"/>
        </w:rPr>
        <w:t>e.g</w:t>
      </w:r>
      <w:r w:rsidR="00DD4D7B">
        <w:rPr>
          <w:rFonts w:cs="Times New Roman"/>
          <w:szCs w:val="28"/>
        </w:rPr>
        <w:t>. sole proprietor reg</w:t>
      </w:r>
      <w:r w:rsidR="00302D18">
        <w:rPr>
          <w:rFonts w:cs="Times New Roman"/>
          <w:szCs w:val="28"/>
        </w:rPr>
        <w:t>ister</w:t>
      </w:r>
      <w:r w:rsidR="00DD4D7B">
        <w:rPr>
          <w:rFonts w:cs="Times New Roman"/>
          <w:szCs w:val="28"/>
        </w:rPr>
        <w:t xml:space="preserve"> as a portfolio manager (firm category) </w:t>
      </w:r>
      <w:r w:rsidR="00EA113A">
        <w:rPr>
          <w:rFonts w:cs="Times New Roman"/>
          <w:szCs w:val="28"/>
        </w:rPr>
        <w:t xml:space="preserve">and </w:t>
      </w:r>
      <w:r w:rsidR="00DD4D7B">
        <w:rPr>
          <w:rFonts w:cs="Times New Roman"/>
          <w:szCs w:val="28"/>
        </w:rPr>
        <w:t xml:space="preserve">as an advising representative (individual category). </w:t>
      </w:r>
    </w:p>
    <w:p w:rsidR="00CD36AF" w:rsidRPr="00CD36AF" w:rsidRDefault="00CD36AF" w:rsidP="00FF0B61">
      <w:pPr>
        <w:pStyle w:val="ListParagraph"/>
        <w:numPr>
          <w:ilvl w:val="0"/>
          <w:numId w:val="163"/>
        </w:numPr>
        <w:spacing w:after="120"/>
        <w:jc w:val="both"/>
        <w:rPr>
          <w:rFonts w:cs="Times New Roman"/>
          <w:szCs w:val="28"/>
        </w:rPr>
      </w:pPr>
      <w:r>
        <w:rPr>
          <w:rFonts w:cs="Times New Roman"/>
          <w:szCs w:val="28"/>
        </w:rPr>
        <w:t xml:space="preserve">Cannot act for more than 1 firm at a time. </w:t>
      </w:r>
    </w:p>
    <w:p w:rsidR="006F5657" w:rsidRDefault="00FB00B5" w:rsidP="00FF0B61">
      <w:pPr>
        <w:spacing w:after="0" w:line="240" w:lineRule="auto"/>
        <w:jc w:val="both"/>
        <w:rPr>
          <w:rFonts w:cs="Times New Roman"/>
          <w:szCs w:val="28"/>
        </w:rPr>
      </w:pPr>
      <w:r w:rsidRPr="00FB00B5">
        <w:rPr>
          <w:rFonts w:cs="Times New Roman"/>
          <w:b/>
          <w:szCs w:val="28"/>
        </w:rPr>
        <w:t>(i)</w:t>
      </w:r>
      <w:r>
        <w:rPr>
          <w:rFonts w:cs="Times New Roman"/>
          <w:b/>
          <w:szCs w:val="28"/>
          <w:u w:val="single"/>
        </w:rPr>
        <w:t xml:space="preserve"> </w:t>
      </w:r>
      <w:r w:rsidR="00D3087E">
        <w:rPr>
          <w:rFonts w:cs="Times New Roman"/>
          <w:b/>
          <w:szCs w:val="28"/>
          <w:u w:val="single"/>
        </w:rPr>
        <w:t>Dealing Representative</w:t>
      </w:r>
      <w:r w:rsidR="00062E02">
        <w:rPr>
          <w:rFonts w:cs="Times New Roman"/>
          <w:b/>
          <w:szCs w:val="28"/>
          <w:u w:val="single"/>
        </w:rPr>
        <w:t xml:space="preserve"> (for firms in dealer category)</w:t>
      </w:r>
      <w:r w:rsidR="00D3087E">
        <w:rPr>
          <w:rFonts w:cs="Times New Roman"/>
          <w:b/>
          <w:szCs w:val="28"/>
          <w:u w:val="single"/>
        </w:rPr>
        <w:t xml:space="preserve">: </w:t>
      </w:r>
      <w:r w:rsidR="00D3087E">
        <w:rPr>
          <w:rFonts w:cs="Times New Roman"/>
          <w:szCs w:val="28"/>
        </w:rPr>
        <w:t>May act as a dealer or UW in respect of a security that the individual’s sponsoring firm is permitted to trade or underwrite (</w:t>
      </w:r>
      <w:r w:rsidR="00D3087E" w:rsidRPr="00D3087E">
        <w:rPr>
          <w:rFonts w:cs="Times New Roman"/>
          <w:b/>
          <w:color w:val="7030A0"/>
          <w:szCs w:val="28"/>
        </w:rPr>
        <w:t>NI 31-103 s.2.1(2)</w:t>
      </w:r>
      <w:r w:rsidR="000D0330">
        <w:rPr>
          <w:rFonts w:cs="Times New Roman"/>
          <w:b/>
          <w:color w:val="7030A0"/>
          <w:szCs w:val="28"/>
        </w:rPr>
        <w:t>(a)</w:t>
      </w:r>
      <w:r w:rsidR="00D3087E">
        <w:rPr>
          <w:rFonts w:cs="Times New Roman"/>
          <w:szCs w:val="28"/>
        </w:rPr>
        <w:t>)</w:t>
      </w:r>
      <w:r w:rsidR="00B12F69">
        <w:rPr>
          <w:rFonts w:cs="Times New Roman"/>
          <w:szCs w:val="28"/>
        </w:rPr>
        <w:t xml:space="preserve"> (</w:t>
      </w:r>
      <w:r w:rsidR="00B12F69" w:rsidRPr="007C0DDD">
        <w:rPr>
          <w:rFonts w:cs="Times New Roman"/>
          <w:b/>
          <w:szCs w:val="28"/>
        </w:rPr>
        <w:t>NB:</w:t>
      </w:r>
      <w:r w:rsidR="00B12F69">
        <w:rPr>
          <w:rFonts w:cs="Times New Roman"/>
          <w:szCs w:val="28"/>
        </w:rPr>
        <w:t xml:space="preserve"> Can be a dealer rep for exempt mrkt dealer as well)</w:t>
      </w:r>
    </w:p>
    <w:p w:rsidR="00D3087E" w:rsidRPr="00D3087E" w:rsidRDefault="00D3087E" w:rsidP="00FF0B61">
      <w:pPr>
        <w:pStyle w:val="ListParagraph"/>
        <w:numPr>
          <w:ilvl w:val="0"/>
          <w:numId w:val="82"/>
        </w:numPr>
        <w:spacing w:after="0"/>
        <w:rPr>
          <w:rFonts w:cs="Times New Roman"/>
          <w:lang w:eastAsia="en-CA"/>
        </w:rPr>
      </w:pPr>
      <w:r w:rsidRPr="00D3087E">
        <w:rPr>
          <w:rFonts w:cs="Times New Roman"/>
          <w:b/>
          <w:lang w:eastAsia="en-CA"/>
        </w:rPr>
        <w:t>To be a dealing representative for an Investment Dealer</w:t>
      </w:r>
      <w:r>
        <w:rPr>
          <w:rFonts w:cs="Times New Roman"/>
          <w:lang w:eastAsia="en-CA"/>
        </w:rPr>
        <w:t>:</w:t>
      </w:r>
      <w:r w:rsidRPr="00D3087E">
        <w:rPr>
          <w:rFonts w:cs="Times New Roman"/>
          <w:lang w:eastAsia="en-CA"/>
        </w:rPr>
        <w:t xml:space="preserve"> must be an approved person under IIROC rules (</w:t>
      </w:r>
      <w:r w:rsidRPr="00D3087E">
        <w:rPr>
          <w:rFonts w:cs="Times New Roman"/>
          <w:b/>
          <w:color w:val="7030A0"/>
          <w:lang w:eastAsia="en-CA"/>
        </w:rPr>
        <w:t>NI 31-103 s. 3.15(1)</w:t>
      </w:r>
      <w:r>
        <w:rPr>
          <w:rFonts w:cs="Times New Roman"/>
          <w:b/>
          <w:color w:val="7030A0"/>
          <w:lang w:eastAsia="en-CA"/>
        </w:rPr>
        <w:t>.</w:t>
      </w:r>
    </w:p>
    <w:p w:rsidR="00D3087E" w:rsidRPr="00D3087E" w:rsidRDefault="00D3087E" w:rsidP="00FF0B61">
      <w:pPr>
        <w:pStyle w:val="ListParagraph"/>
        <w:numPr>
          <w:ilvl w:val="1"/>
          <w:numId w:val="82"/>
        </w:numPr>
        <w:spacing w:after="0"/>
        <w:rPr>
          <w:rFonts w:cs="Times New Roman"/>
          <w:lang w:eastAsia="en-CA"/>
        </w:rPr>
      </w:pPr>
      <w:r>
        <w:rPr>
          <w:rFonts w:cs="Times New Roman"/>
          <w:lang w:eastAsia="en-CA"/>
        </w:rPr>
        <w:t>A</w:t>
      </w:r>
      <w:r w:rsidRPr="00D3087E">
        <w:rPr>
          <w:rFonts w:cs="Times New Roman"/>
          <w:lang w:eastAsia="en-CA"/>
        </w:rPr>
        <w:t xml:space="preserve"> partner, </w:t>
      </w:r>
      <w:r>
        <w:rPr>
          <w:rFonts w:cs="Times New Roman"/>
          <w:lang w:eastAsia="en-CA"/>
        </w:rPr>
        <w:t>DIR, OFR, EE</w:t>
      </w:r>
      <w:r w:rsidRPr="00D3087E">
        <w:rPr>
          <w:rFonts w:cs="Times New Roman"/>
          <w:lang w:eastAsia="en-CA"/>
        </w:rPr>
        <w:t>, or agent of an approved member firm who is approved by IIROC o</w:t>
      </w:r>
      <w:r>
        <w:rPr>
          <w:rFonts w:cs="Times New Roman"/>
          <w:lang w:eastAsia="en-CA"/>
        </w:rPr>
        <w:t xml:space="preserve">r another Canadian SRO </w:t>
      </w:r>
      <w:r w:rsidRPr="00D3087E">
        <w:rPr>
          <w:rFonts w:cs="Times New Roman"/>
          <w:lang w:eastAsia="en-CA"/>
        </w:rPr>
        <w:t>(</w:t>
      </w:r>
      <w:r w:rsidRPr="00E70F24">
        <w:rPr>
          <w:rFonts w:cs="Times New Roman"/>
          <w:b/>
          <w:color w:val="7030A0"/>
          <w:lang w:eastAsia="en-CA"/>
        </w:rPr>
        <w:t>Dealer Member Rules</w:t>
      </w:r>
      <w:r w:rsidRPr="00D3087E">
        <w:rPr>
          <w:rFonts w:cs="Times New Roman"/>
          <w:b/>
          <w:i/>
          <w:color w:val="7030A0"/>
          <w:lang w:eastAsia="en-CA"/>
        </w:rPr>
        <w:t xml:space="preserve"> </w:t>
      </w:r>
      <w:r w:rsidRPr="00D3087E">
        <w:rPr>
          <w:rFonts w:cs="Times New Roman"/>
          <w:b/>
          <w:color w:val="7030A0"/>
          <w:lang w:eastAsia="en-CA"/>
        </w:rPr>
        <w:t>R. 1.1</w:t>
      </w:r>
      <w:r w:rsidRPr="00D3087E">
        <w:rPr>
          <w:rFonts w:cs="Times New Roman"/>
          <w:lang w:eastAsia="en-CA"/>
        </w:rPr>
        <w:t>)</w:t>
      </w:r>
    </w:p>
    <w:p w:rsidR="00E70F24" w:rsidRPr="00E70F24" w:rsidRDefault="00D3087E" w:rsidP="00FF0B61">
      <w:pPr>
        <w:pStyle w:val="ListParagraph"/>
        <w:numPr>
          <w:ilvl w:val="0"/>
          <w:numId w:val="82"/>
        </w:numPr>
        <w:spacing w:after="0"/>
        <w:rPr>
          <w:rFonts w:cs="Times New Roman"/>
          <w:lang w:eastAsia="en-CA"/>
        </w:rPr>
      </w:pPr>
      <w:r w:rsidRPr="00D3087E">
        <w:rPr>
          <w:rFonts w:cs="Times New Roman"/>
          <w:b/>
          <w:lang w:eastAsia="en-CA"/>
        </w:rPr>
        <w:t>To be a dealing representative for a Mutual Fund Dealer</w:t>
      </w:r>
      <w:r>
        <w:rPr>
          <w:rFonts w:cs="Times New Roman"/>
          <w:lang w:eastAsia="en-CA"/>
        </w:rPr>
        <w:t xml:space="preserve">: </w:t>
      </w:r>
      <w:r w:rsidRPr="00D3087E">
        <w:rPr>
          <w:rFonts w:cs="Times New Roman"/>
          <w:lang w:eastAsia="en-CA"/>
        </w:rPr>
        <w:t>must be an approved person under MFDA rules (</w:t>
      </w:r>
      <w:r w:rsidRPr="00E70F24">
        <w:rPr>
          <w:rFonts w:cs="Times New Roman"/>
          <w:b/>
          <w:color w:val="7030A0"/>
          <w:lang w:eastAsia="en-CA"/>
        </w:rPr>
        <w:t>NI 31-103 s. 3.15(2</w:t>
      </w:r>
      <w:r w:rsidR="00E70F24">
        <w:rPr>
          <w:rFonts w:cs="Times New Roman"/>
          <w:b/>
          <w:color w:val="7030A0"/>
          <w:lang w:eastAsia="en-CA"/>
        </w:rPr>
        <w:t>)</w:t>
      </w:r>
      <w:r w:rsidRPr="00E70F24">
        <w:rPr>
          <w:rFonts w:cs="Times New Roman"/>
          <w:b/>
          <w:color w:val="7030A0"/>
          <w:lang w:eastAsia="en-CA"/>
        </w:rPr>
        <w:t>)</w:t>
      </w:r>
    </w:p>
    <w:p w:rsidR="00D3087E" w:rsidRPr="004A3D02" w:rsidRDefault="00E70F24" w:rsidP="00FF0B61">
      <w:pPr>
        <w:pStyle w:val="ListParagraph"/>
        <w:numPr>
          <w:ilvl w:val="1"/>
          <w:numId w:val="82"/>
        </w:numPr>
        <w:spacing w:after="0"/>
        <w:rPr>
          <w:rFonts w:cs="Times New Roman"/>
          <w:lang w:eastAsia="en-CA"/>
        </w:rPr>
      </w:pPr>
      <w:r>
        <w:rPr>
          <w:rFonts w:cs="Times New Roman"/>
          <w:lang w:eastAsia="en-CA"/>
        </w:rPr>
        <w:t>A partner, DIR, OFR</w:t>
      </w:r>
      <w:r w:rsidR="00D3087E" w:rsidRPr="00E70F24">
        <w:rPr>
          <w:rFonts w:cs="Times New Roman"/>
          <w:lang w:eastAsia="en-CA"/>
        </w:rPr>
        <w:t>, compliance officer, branch manager, altern</w:t>
      </w:r>
      <w:r>
        <w:rPr>
          <w:rFonts w:cs="Times New Roman"/>
          <w:lang w:eastAsia="en-CA"/>
        </w:rPr>
        <w:t>ate branch manager, EE</w:t>
      </w:r>
      <w:r w:rsidR="00D3087E" w:rsidRPr="00E70F24">
        <w:rPr>
          <w:rFonts w:cs="Times New Roman"/>
          <w:lang w:eastAsia="en-CA"/>
        </w:rPr>
        <w:t xml:space="preserve"> or agent of the MFDA member (</w:t>
      </w:r>
      <w:r w:rsidR="00D3087E" w:rsidRPr="00E70F24">
        <w:rPr>
          <w:rFonts w:cs="Times New Roman"/>
          <w:b/>
          <w:color w:val="7030A0"/>
          <w:lang w:eastAsia="en-CA"/>
        </w:rPr>
        <w:t>MFDA By-law 1.1 s.1)</w:t>
      </w:r>
    </w:p>
    <w:p w:rsidR="006F5657" w:rsidRPr="0054255F" w:rsidRDefault="00FB00B5" w:rsidP="00FF0B61">
      <w:pPr>
        <w:spacing w:before="120" w:after="0" w:line="240" w:lineRule="auto"/>
        <w:jc w:val="both"/>
        <w:rPr>
          <w:rFonts w:cs="Times New Roman"/>
          <w:color w:val="7030A0"/>
          <w:szCs w:val="28"/>
        </w:rPr>
      </w:pPr>
      <w:r w:rsidRPr="00FB00B5">
        <w:rPr>
          <w:rFonts w:cs="Times New Roman"/>
          <w:b/>
          <w:szCs w:val="28"/>
        </w:rPr>
        <w:t>(ii)</w:t>
      </w:r>
      <w:r>
        <w:rPr>
          <w:rFonts w:cs="Times New Roman"/>
          <w:b/>
          <w:szCs w:val="28"/>
          <w:u w:val="single"/>
        </w:rPr>
        <w:t xml:space="preserve"> </w:t>
      </w:r>
      <w:r w:rsidR="00777665" w:rsidRPr="00FB00B5">
        <w:rPr>
          <w:rFonts w:cs="Times New Roman"/>
          <w:b/>
          <w:szCs w:val="28"/>
          <w:u w:val="single"/>
        </w:rPr>
        <w:t>Advising Representative</w:t>
      </w:r>
      <w:r w:rsidR="00062E02">
        <w:rPr>
          <w:rFonts w:cs="Times New Roman"/>
          <w:b/>
          <w:szCs w:val="28"/>
          <w:u w:val="single"/>
        </w:rPr>
        <w:t xml:space="preserve"> (for firms in advising category)</w:t>
      </w:r>
      <w:r>
        <w:rPr>
          <w:rFonts w:cs="Times New Roman"/>
          <w:b/>
          <w:szCs w:val="28"/>
          <w:u w:val="single"/>
        </w:rPr>
        <w:t>:</w:t>
      </w:r>
      <w:r w:rsidRPr="00FB00B5">
        <w:rPr>
          <w:rFonts w:cs="Times New Roman"/>
          <w:szCs w:val="28"/>
        </w:rPr>
        <w:t xml:space="preserve"> May act as an adviser in respect of a security that the individual’s sponsoring firm is permitted to advise on </w:t>
      </w:r>
      <w:r w:rsidR="000D0330">
        <w:rPr>
          <w:rFonts w:cs="Times New Roman"/>
          <w:szCs w:val="28"/>
        </w:rPr>
        <w:t>(</w:t>
      </w:r>
      <w:r w:rsidRPr="000D0330">
        <w:rPr>
          <w:rFonts w:cs="Times New Roman"/>
          <w:b/>
          <w:color w:val="7030A0"/>
          <w:szCs w:val="28"/>
        </w:rPr>
        <w:t>NI 31-103 s. 2.1(2)</w:t>
      </w:r>
      <w:r w:rsidR="000D0330" w:rsidRPr="000D0330">
        <w:rPr>
          <w:rFonts w:cs="Times New Roman"/>
          <w:b/>
          <w:color w:val="7030A0"/>
          <w:szCs w:val="28"/>
        </w:rPr>
        <w:t>(b))</w:t>
      </w:r>
      <w:r w:rsidRPr="000D0330">
        <w:rPr>
          <w:rFonts w:cs="Times New Roman"/>
          <w:b/>
          <w:color w:val="7030A0"/>
          <w:szCs w:val="28"/>
        </w:rPr>
        <w:t xml:space="preserve"> </w:t>
      </w:r>
      <w:r w:rsidR="0054255F" w:rsidRPr="0054255F">
        <w:rPr>
          <w:rFonts w:cs="Times New Roman"/>
          <w:b/>
          <w:szCs w:val="28"/>
        </w:rPr>
        <w:t xml:space="preserve">– </w:t>
      </w:r>
      <w:r w:rsidR="0054255F">
        <w:rPr>
          <w:rFonts w:cs="Times New Roman"/>
          <w:b/>
          <w:szCs w:val="28"/>
        </w:rPr>
        <w:t xml:space="preserve">i.e. </w:t>
      </w:r>
      <w:r w:rsidR="0054255F" w:rsidRPr="0054255F">
        <w:rPr>
          <w:rFonts w:cs="Times New Roman"/>
          <w:szCs w:val="28"/>
        </w:rPr>
        <w:t xml:space="preserve">may be advising rep for a portfolio manager. </w:t>
      </w:r>
    </w:p>
    <w:p w:rsidR="002C5CF9" w:rsidRPr="002C5CF9" w:rsidRDefault="002C5CF9" w:rsidP="00FF0B61">
      <w:pPr>
        <w:pStyle w:val="ListParagraph"/>
        <w:numPr>
          <w:ilvl w:val="0"/>
          <w:numId w:val="86"/>
        </w:numPr>
        <w:spacing w:after="120"/>
        <w:jc w:val="both"/>
        <w:rPr>
          <w:rFonts w:cs="Times New Roman"/>
          <w:b/>
          <w:szCs w:val="28"/>
          <w:u w:val="single"/>
        </w:rPr>
      </w:pPr>
      <w:r w:rsidRPr="002C5CF9">
        <w:rPr>
          <w:rFonts w:cs="Times New Roman"/>
          <w:szCs w:val="28"/>
        </w:rPr>
        <w:t>All of the advising activates of associate advising reps must be supervised by an advising rep at the firm</w:t>
      </w:r>
      <w:r>
        <w:rPr>
          <w:rFonts w:cs="Times New Roman"/>
          <w:szCs w:val="28"/>
        </w:rPr>
        <w:t xml:space="preserve"> (</w:t>
      </w:r>
      <w:r w:rsidRPr="002C5CF9">
        <w:rPr>
          <w:rFonts w:cs="Times New Roman"/>
          <w:b/>
          <w:color w:val="7030A0"/>
          <w:szCs w:val="28"/>
        </w:rPr>
        <w:t>NI 31-103 s.4.2</w:t>
      </w:r>
      <w:r>
        <w:rPr>
          <w:rFonts w:cs="Times New Roman"/>
          <w:b/>
          <w:szCs w:val="28"/>
        </w:rPr>
        <w:t>)</w:t>
      </w:r>
    </w:p>
    <w:p w:rsidR="00FF3D1E" w:rsidRPr="001709C8" w:rsidRDefault="00FB00B5" w:rsidP="00FF0B61">
      <w:pPr>
        <w:spacing w:after="0" w:line="240" w:lineRule="auto"/>
        <w:rPr>
          <w:rFonts w:cs="Times New Roman"/>
          <w:i/>
          <w:lang w:eastAsia="en-CA"/>
        </w:rPr>
      </w:pPr>
      <w:r w:rsidRPr="00FB00B5">
        <w:rPr>
          <w:rFonts w:cs="Times New Roman"/>
          <w:b/>
          <w:szCs w:val="28"/>
        </w:rPr>
        <w:t>(iii)</w:t>
      </w:r>
      <w:r w:rsidRPr="00FB00B5">
        <w:rPr>
          <w:rFonts w:cs="Times New Roman"/>
          <w:b/>
          <w:szCs w:val="28"/>
          <w:u w:val="single"/>
        </w:rPr>
        <w:t xml:space="preserve"> </w:t>
      </w:r>
      <w:r w:rsidR="00777665" w:rsidRPr="00FB00B5">
        <w:rPr>
          <w:rFonts w:cs="Times New Roman"/>
          <w:b/>
          <w:szCs w:val="28"/>
          <w:u w:val="single"/>
        </w:rPr>
        <w:t>Asso</w:t>
      </w:r>
      <w:r>
        <w:rPr>
          <w:rFonts w:cs="Times New Roman"/>
          <w:b/>
          <w:szCs w:val="28"/>
          <w:u w:val="single"/>
        </w:rPr>
        <w:t>ciating Advising Representative</w:t>
      </w:r>
      <w:r w:rsidR="00062E02">
        <w:rPr>
          <w:rFonts w:cs="Times New Roman"/>
          <w:b/>
          <w:szCs w:val="28"/>
          <w:u w:val="single"/>
        </w:rPr>
        <w:t xml:space="preserve"> (for firms in advising category)</w:t>
      </w:r>
      <w:r>
        <w:rPr>
          <w:rFonts w:cs="Times New Roman"/>
          <w:b/>
          <w:szCs w:val="28"/>
          <w:u w:val="single"/>
        </w:rPr>
        <w:t xml:space="preserve">: </w:t>
      </w:r>
      <w:r w:rsidR="00FF3D1E" w:rsidRPr="00FF3D1E">
        <w:rPr>
          <w:rFonts w:cs="Times New Roman"/>
          <w:lang w:eastAsia="en-CA"/>
        </w:rPr>
        <w:t xml:space="preserve">May act as an advisor in respect of a security that the individual’s sponsoring firm is permitted to advise on if the advice has been approved under </w:t>
      </w:r>
      <w:r w:rsidR="00FF3D1E" w:rsidRPr="004F7F43">
        <w:rPr>
          <w:rFonts w:cs="Times New Roman"/>
          <w:lang w:eastAsia="en-CA"/>
        </w:rPr>
        <w:t>s. 4.2(1)</w:t>
      </w:r>
      <w:r w:rsidR="00FF3D1E" w:rsidRPr="004F7F43">
        <w:rPr>
          <w:rFonts w:cs="Times New Roman"/>
          <w:b/>
          <w:lang w:eastAsia="en-CA"/>
        </w:rPr>
        <w:t xml:space="preserve"> </w:t>
      </w:r>
      <w:r w:rsidR="004F7F43">
        <w:rPr>
          <w:rFonts w:cs="Times New Roman"/>
          <w:b/>
          <w:lang w:eastAsia="en-CA"/>
        </w:rPr>
        <w:t>(</w:t>
      </w:r>
      <w:r w:rsidR="00FF3D1E" w:rsidRPr="00FF3D1E">
        <w:rPr>
          <w:rFonts w:cs="Times New Roman"/>
          <w:b/>
          <w:color w:val="7030A0"/>
          <w:lang w:eastAsia="en-CA"/>
        </w:rPr>
        <w:t>NI 31-103 s. 2.1(2)</w:t>
      </w:r>
      <w:r w:rsidR="004F7F43">
        <w:rPr>
          <w:rFonts w:cs="Times New Roman"/>
          <w:b/>
          <w:color w:val="7030A0"/>
          <w:lang w:eastAsia="en-CA"/>
        </w:rPr>
        <w:t>(c)</w:t>
      </w:r>
      <w:r w:rsidR="0078193E">
        <w:rPr>
          <w:rFonts w:cs="Times New Roman"/>
          <w:b/>
          <w:color w:val="7030A0"/>
          <w:lang w:eastAsia="en-CA"/>
        </w:rPr>
        <w:t>)</w:t>
      </w:r>
      <w:r w:rsidR="0054255F" w:rsidRPr="0054255F">
        <w:rPr>
          <w:rFonts w:cs="Times New Roman"/>
          <w:b/>
          <w:szCs w:val="28"/>
        </w:rPr>
        <w:t xml:space="preserve"> – </w:t>
      </w:r>
      <w:r w:rsidR="0054255F">
        <w:rPr>
          <w:rFonts w:cs="Times New Roman"/>
          <w:b/>
          <w:szCs w:val="28"/>
        </w:rPr>
        <w:t xml:space="preserve">i.e. </w:t>
      </w:r>
      <w:r w:rsidR="0054255F" w:rsidRPr="0054255F">
        <w:rPr>
          <w:rFonts w:cs="Times New Roman"/>
          <w:szCs w:val="28"/>
        </w:rPr>
        <w:t xml:space="preserve">may be </w:t>
      </w:r>
      <w:r w:rsidR="0054255F">
        <w:rPr>
          <w:rFonts w:cs="Times New Roman"/>
          <w:szCs w:val="28"/>
        </w:rPr>
        <w:t xml:space="preserve">assoc </w:t>
      </w:r>
      <w:r w:rsidR="0054255F" w:rsidRPr="0054255F">
        <w:rPr>
          <w:rFonts w:cs="Times New Roman"/>
          <w:szCs w:val="28"/>
        </w:rPr>
        <w:t>advising rep for a portf</w:t>
      </w:r>
      <w:r w:rsidR="001709C8">
        <w:rPr>
          <w:rFonts w:cs="Times New Roman"/>
          <w:szCs w:val="28"/>
        </w:rPr>
        <w:t>olio manager (</w:t>
      </w:r>
      <w:r w:rsidR="001709C8">
        <w:rPr>
          <w:rFonts w:cs="Times New Roman"/>
          <w:b/>
          <w:szCs w:val="28"/>
        </w:rPr>
        <w:t xml:space="preserve">NB: </w:t>
      </w:r>
      <w:r w:rsidR="001709C8">
        <w:rPr>
          <w:rFonts w:cs="Times New Roman"/>
          <w:szCs w:val="28"/>
        </w:rPr>
        <w:t>Associate is “an apprentice category” for those yet to meet education + experience req’s)</w:t>
      </w:r>
    </w:p>
    <w:p w:rsidR="00FF3D1E" w:rsidRDefault="00FF3D1E" w:rsidP="00FF0B61">
      <w:pPr>
        <w:pStyle w:val="ListParagraph"/>
        <w:numPr>
          <w:ilvl w:val="0"/>
          <w:numId w:val="83"/>
        </w:numPr>
        <w:spacing w:after="0"/>
        <w:rPr>
          <w:rFonts w:cs="Times New Roman"/>
        </w:rPr>
      </w:pPr>
      <w:r w:rsidRPr="008F31A6">
        <w:rPr>
          <w:rFonts w:cs="Times New Roman"/>
          <w:b/>
        </w:rPr>
        <w:t>Must not advise</w:t>
      </w:r>
      <w:r w:rsidRPr="00FF3D1E">
        <w:rPr>
          <w:rFonts w:cs="Times New Roman"/>
        </w:rPr>
        <w:t xml:space="preserve"> on securities unless, before giving the advice, </w:t>
      </w:r>
      <w:r w:rsidRPr="00FF3D1E">
        <w:rPr>
          <w:rFonts w:cs="Times New Roman"/>
          <w:b/>
          <w:u w:val="single"/>
        </w:rPr>
        <w:t>the advice has been approved</w:t>
      </w:r>
      <w:r w:rsidRPr="00FF3D1E">
        <w:rPr>
          <w:rFonts w:cs="Times New Roman"/>
        </w:rPr>
        <w:t xml:space="preserve"> by an individual designated by the regist</w:t>
      </w:r>
      <w:r>
        <w:rPr>
          <w:rFonts w:cs="Times New Roman"/>
        </w:rPr>
        <w:t>ered firm under subsection (2) (</w:t>
      </w:r>
      <w:r w:rsidRPr="00FF3D1E">
        <w:rPr>
          <w:rFonts w:cs="Times New Roman"/>
          <w:b/>
          <w:color w:val="7030A0"/>
        </w:rPr>
        <w:t>s. 4.2(1)</w:t>
      </w:r>
      <w:r>
        <w:rPr>
          <w:rFonts w:cs="Times New Roman"/>
        </w:rPr>
        <w:t>)</w:t>
      </w:r>
    </w:p>
    <w:p w:rsidR="00FF3D1E" w:rsidRDefault="00FF3D1E" w:rsidP="00FF0B61">
      <w:pPr>
        <w:pStyle w:val="ListParagraph"/>
        <w:numPr>
          <w:ilvl w:val="0"/>
          <w:numId w:val="83"/>
        </w:numPr>
        <w:spacing w:after="0"/>
        <w:rPr>
          <w:rFonts w:cs="Times New Roman"/>
        </w:rPr>
      </w:pPr>
      <w:r w:rsidRPr="008F31A6">
        <w:rPr>
          <w:rFonts w:cs="Times New Roman"/>
          <w:b/>
        </w:rPr>
        <w:t>Must designate,</w:t>
      </w:r>
      <w:r w:rsidRPr="00FF3D1E">
        <w:rPr>
          <w:rFonts w:cs="Times New Roman"/>
        </w:rPr>
        <w:t xml:space="preserve"> for an associate advising representative, an advising representative </w:t>
      </w:r>
      <w:r w:rsidRPr="00FF3D1E">
        <w:rPr>
          <w:rFonts w:cs="Times New Roman"/>
          <w:b/>
          <w:u w:val="single"/>
        </w:rPr>
        <w:t>to review the advice</w:t>
      </w:r>
      <w:r w:rsidRPr="00FF3D1E">
        <w:rPr>
          <w:rFonts w:cs="Times New Roman"/>
        </w:rPr>
        <w:t xml:space="preserve"> of the associate advising representative </w:t>
      </w:r>
      <w:r>
        <w:rPr>
          <w:rFonts w:cs="Times New Roman"/>
        </w:rPr>
        <w:t>(</w:t>
      </w:r>
      <w:r w:rsidRPr="00FF3D1E">
        <w:rPr>
          <w:rFonts w:cs="Times New Roman"/>
          <w:b/>
          <w:color w:val="7030A0"/>
        </w:rPr>
        <w:t>s. 4.2(2)</w:t>
      </w:r>
      <w:r>
        <w:rPr>
          <w:rFonts w:cs="Times New Roman"/>
        </w:rPr>
        <w:t>)</w:t>
      </w:r>
    </w:p>
    <w:p w:rsidR="00FF3D1E" w:rsidRPr="00FF3D1E" w:rsidRDefault="00FF3D1E" w:rsidP="00FF0B61">
      <w:pPr>
        <w:pStyle w:val="ListParagraph"/>
        <w:numPr>
          <w:ilvl w:val="0"/>
          <w:numId w:val="83"/>
        </w:numPr>
        <w:spacing w:after="0"/>
        <w:rPr>
          <w:rFonts w:cs="Times New Roman"/>
        </w:rPr>
      </w:pPr>
      <w:r w:rsidRPr="008F31A6">
        <w:rPr>
          <w:rFonts w:cs="Times New Roman"/>
          <w:b/>
        </w:rPr>
        <w:t>No later than 7 days</w:t>
      </w:r>
      <w:r w:rsidRPr="00FF3D1E">
        <w:rPr>
          <w:rFonts w:cs="Times New Roman"/>
        </w:rPr>
        <w:t xml:space="preserve"> following the date of a designation under (2), a registered adviser must provide the regulator </w:t>
      </w:r>
      <w:r w:rsidRPr="00FF3D1E">
        <w:rPr>
          <w:rFonts w:cs="Times New Roman"/>
          <w:b/>
          <w:i/>
        </w:rPr>
        <w:t xml:space="preserve">with the </w:t>
      </w:r>
      <w:r w:rsidRPr="008F31A6">
        <w:rPr>
          <w:rFonts w:cs="Times New Roman"/>
          <w:b/>
          <w:i/>
        </w:rPr>
        <w:t>names</w:t>
      </w:r>
      <w:r w:rsidRPr="008F31A6">
        <w:rPr>
          <w:rFonts w:cs="Times New Roman"/>
          <w:b/>
        </w:rPr>
        <w:t xml:space="preserve"> </w:t>
      </w:r>
      <w:r w:rsidRPr="008F31A6">
        <w:rPr>
          <w:rFonts w:cs="Times New Roman"/>
        </w:rPr>
        <w:t>of the advising</w:t>
      </w:r>
      <w:r w:rsidRPr="00FF3D1E">
        <w:rPr>
          <w:rFonts w:cs="Times New Roman"/>
        </w:rPr>
        <w:t xml:space="preserve"> representative and the associate advising representative who are</w:t>
      </w:r>
      <w:r>
        <w:rPr>
          <w:rFonts w:cs="Times New Roman"/>
        </w:rPr>
        <w:t xml:space="preserve"> the subject of the designation (</w:t>
      </w:r>
      <w:r w:rsidRPr="00FF3D1E">
        <w:rPr>
          <w:rFonts w:cs="Times New Roman"/>
          <w:b/>
          <w:color w:val="7030A0"/>
        </w:rPr>
        <w:t>s. 4.2(3)</w:t>
      </w:r>
      <w:r>
        <w:rPr>
          <w:rFonts w:cs="Times New Roman"/>
        </w:rPr>
        <w:t>)</w:t>
      </w:r>
    </w:p>
    <w:p w:rsidR="006F5657" w:rsidRPr="007E4470" w:rsidRDefault="007E4470" w:rsidP="00FF0B61">
      <w:pPr>
        <w:spacing w:before="120" w:after="0" w:line="240" w:lineRule="auto"/>
        <w:jc w:val="both"/>
        <w:rPr>
          <w:rFonts w:cs="Times New Roman"/>
          <w:szCs w:val="28"/>
          <w:u w:val="single"/>
        </w:rPr>
      </w:pPr>
      <w:r w:rsidRPr="001838B9">
        <w:rPr>
          <w:rFonts w:cs="Times New Roman"/>
          <w:b/>
          <w:szCs w:val="28"/>
          <w:u w:val="single"/>
        </w:rPr>
        <w:t>COMPLIANCE POSITIONS:</w:t>
      </w:r>
      <w:r>
        <w:rPr>
          <w:rFonts w:cs="Times New Roman"/>
          <w:b/>
          <w:szCs w:val="28"/>
        </w:rPr>
        <w:t xml:space="preserve"> </w:t>
      </w:r>
      <w:r w:rsidRPr="007E4470">
        <w:rPr>
          <w:rFonts w:cs="Times New Roman"/>
          <w:szCs w:val="28"/>
        </w:rPr>
        <w:t>Every registered firm is required to have a USD and a COO.</w:t>
      </w:r>
    </w:p>
    <w:p w:rsidR="00AD13E7" w:rsidRPr="00AD13E7" w:rsidRDefault="00FB00B5" w:rsidP="00FF0B61">
      <w:pPr>
        <w:spacing w:before="120" w:after="0" w:line="240" w:lineRule="auto"/>
        <w:jc w:val="both"/>
        <w:rPr>
          <w:rFonts w:cs="Times New Roman"/>
          <w:b/>
          <w:szCs w:val="28"/>
          <w:u w:val="single"/>
        </w:rPr>
      </w:pPr>
      <w:r>
        <w:rPr>
          <w:rFonts w:cs="Times New Roman"/>
          <w:b/>
          <w:szCs w:val="28"/>
        </w:rPr>
        <w:t xml:space="preserve">(i) </w:t>
      </w:r>
      <w:r w:rsidR="006F5657" w:rsidRPr="00DC7679">
        <w:rPr>
          <w:rFonts w:cs="Times New Roman"/>
          <w:b/>
          <w:szCs w:val="28"/>
        </w:rPr>
        <w:t xml:space="preserve">Ultimate </w:t>
      </w:r>
      <w:r w:rsidR="00777665" w:rsidRPr="00DC7679">
        <w:rPr>
          <w:rFonts w:cs="Times New Roman"/>
          <w:b/>
          <w:szCs w:val="28"/>
        </w:rPr>
        <w:t>Designated Person (UDP)</w:t>
      </w:r>
      <w:r w:rsidR="00FF3D1E" w:rsidRPr="00DC7679">
        <w:rPr>
          <w:rFonts w:cs="Times New Roman"/>
          <w:b/>
          <w:szCs w:val="28"/>
        </w:rPr>
        <w:t>:</w:t>
      </w:r>
      <w:r w:rsidR="00AD13E7">
        <w:rPr>
          <w:rFonts w:cs="Times New Roman"/>
          <w:szCs w:val="28"/>
        </w:rPr>
        <w:t xml:space="preserve"> M</w:t>
      </w:r>
      <w:r w:rsidR="00AD13E7" w:rsidRPr="00AD13E7">
        <w:rPr>
          <w:rFonts w:cs="Times New Roman"/>
        </w:rPr>
        <w:t>ust do all of the following</w:t>
      </w:r>
      <w:r w:rsidR="006E7718">
        <w:rPr>
          <w:rFonts w:cs="Times New Roman"/>
        </w:rPr>
        <w:t xml:space="preserve"> (</w:t>
      </w:r>
      <w:r w:rsidR="006E7718" w:rsidRPr="006E7718">
        <w:rPr>
          <w:rFonts w:cs="Times New Roman"/>
          <w:b/>
          <w:color w:val="7030A0"/>
        </w:rPr>
        <w:t>NI 31-103 s.5.1</w:t>
      </w:r>
      <w:r w:rsidR="006E7718">
        <w:rPr>
          <w:rFonts w:cs="Times New Roman"/>
        </w:rPr>
        <w:t>)</w:t>
      </w:r>
      <w:r w:rsidR="00AD13E7" w:rsidRPr="00AD13E7">
        <w:rPr>
          <w:rFonts w:cs="Times New Roman"/>
        </w:rPr>
        <w:t xml:space="preserve">: </w:t>
      </w:r>
    </w:p>
    <w:p w:rsidR="00AD13E7" w:rsidRDefault="00AD13E7" w:rsidP="00FF0B61">
      <w:pPr>
        <w:pStyle w:val="ListParagraph"/>
        <w:numPr>
          <w:ilvl w:val="0"/>
          <w:numId w:val="84"/>
        </w:numPr>
        <w:spacing w:after="0"/>
        <w:rPr>
          <w:rFonts w:cs="Times New Roman"/>
        </w:rPr>
      </w:pPr>
      <w:r w:rsidRPr="00E21743">
        <w:rPr>
          <w:rFonts w:cs="Times New Roman"/>
          <w:b/>
          <w:color w:val="7030A0"/>
        </w:rPr>
        <w:t xml:space="preserve">(a) </w:t>
      </w:r>
      <w:r w:rsidRPr="00AD13E7">
        <w:rPr>
          <w:rFonts w:cs="Times New Roman"/>
          <w:b/>
        </w:rPr>
        <w:t>supervise the activities of the firm that are directed towards ensuring compliance</w:t>
      </w:r>
      <w:r w:rsidRPr="00AD13E7">
        <w:rPr>
          <w:rFonts w:cs="Times New Roman"/>
        </w:rPr>
        <w:t xml:space="preserve"> with securities legislation by the firm and each individual acting on the firm’s behalf; </w:t>
      </w:r>
    </w:p>
    <w:p w:rsidR="00AD13E7" w:rsidRDefault="00AD13E7" w:rsidP="00FF0B61">
      <w:pPr>
        <w:pStyle w:val="ListParagraph"/>
        <w:numPr>
          <w:ilvl w:val="0"/>
          <w:numId w:val="84"/>
        </w:numPr>
        <w:spacing w:after="0"/>
        <w:rPr>
          <w:rFonts w:cs="Times New Roman"/>
        </w:rPr>
      </w:pPr>
      <w:r w:rsidRPr="00E21743">
        <w:rPr>
          <w:rFonts w:cs="Times New Roman"/>
          <w:b/>
          <w:color w:val="7030A0"/>
        </w:rPr>
        <w:t xml:space="preserve">(b) </w:t>
      </w:r>
      <w:r w:rsidRPr="00AD13E7">
        <w:rPr>
          <w:rFonts w:cs="Times New Roman"/>
          <w:b/>
        </w:rPr>
        <w:t>promote compliance</w:t>
      </w:r>
      <w:r w:rsidRPr="00AD13E7">
        <w:rPr>
          <w:rFonts w:cs="Times New Roman"/>
        </w:rPr>
        <w:t xml:space="preserve"> by the firm, and individuals acting on its behalf, with securities legislation.</w:t>
      </w:r>
    </w:p>
    <w:p w:rsidR="00194E93" w:rsidRPr="005452CD" w:rsidRDefault="00A355FA" w:rsidP="00FF0B61">
      <w:pPr>
        <w:spacing w:before="120" w:after="120" w:line="240" w:lineRule="auto"/>
        <w:jc w:val="both"/>
        <w:rPr>
          <w:rFonts w:cs="Times New Roman"/>
          <w:b/>
          <w:szCs w:val="28"/>
        </w:rPr>
      </w:pPr>
      <w:r w:rsidRPr="005452CD">
        <w:rPr>
          <w:rFonts w:cs="Times New Roman"/>
          <w:b/>
          <w:szCs w:val="28"/>
        </w:rPr>
        <w:t>Who</w:t>
      </w:r>
      <w:r w:rsidR="002A52FF">
        <w:rPr>
          <w:rFonts w:cs="Times New Roman"/>
          <w:b/>
          <w:szCs w:val="28"/>
        </w:rPr>
        <w:t xml:space="preserve"> is the UDP</w:t>
      </w:r>
      <w:r w:rsidRPr="005452CD">
        <w:rPr>
          <w:rFonts w:cs="Times New Roman"/>
          <w:b/>
          <w:szCs w:val="28"/>
        </w:rPr>
        <w:t xml:space="preserve">? </w:t>
      </w:r>
      <w:r w:rsidR="005452CD">
        <w:rPr>
          <w:rFonts w:cs="Times New Roman"/>
          <w:b/>
          <w:szCs w:val="28"/>
        </w:rPr>
        <w:t>–</w:t>
      </w:r>
      <w:r w:rsidRPr="005452CD">
        <w:rPr>
          <w:rFonts w:cs="Times New Roman"/>
          <w:b/>
          <w:szCs w:val="28"/>
        </w:rPr>
        <w:t xml:space="preserve"> </w:t>
      </w:r>
      <w:r w:rsidR="005452CD">
        <w:rPr>
          <w:rFonts w:cs="Times New Roman"/>
          <w:szCs w:val="28"/>
        </w:rPr>
        <w:t>Usually the CEO (or someone acting in that capacity) or sole proprietor of the firm (</w:t>
      </w:r>
      <w:r w:rsidR="005452CD" w:rsidRPr="005452CD">
        <w:rPr>
          <w:rFonts w:cs="Times New Roman"/>
          <w:b/>
          <w:color w:val="7030A0"/>
          <w:szCs w:val="28"/>
        </w:rPr>
        <w:t>s.11.2</w:t>
      </w:r>
      <w:r w:rsidR="005452CD">
        <w:rPr>
          <w:rFonts w:cs="Times New Roman"/>
          <w:b/>
          <w:szCs w:val="28"/>
        </w:rPr>
        <w:t>)</w:t>
      </w:r>
    </w:p>
    <w:p w:rsidR="00194E93" w:rsidRPr="00304D30" w:rsidRDefault="007E4470" w:rsidP="00FF0B61">
      <w:pPr>
        <w:spacing w:after="0" w:line="240" w:lineRule="auto"/>
        <w:jc w:val="both"/>
        <w:rPr>
          <w:rFonts w:cs="Times New Roman"/>
          <w:szCs w:val="28"/>
        </w:rPr>
      </w:pPr>
      <w:r>
        <w:rPr>
          <w:rFonts w:cs="Times New Roman"/>
          <w:b/>
          <w:szCs w:val="28"/>
        </w:rPr>
        <w:t>(ii</w:t>
      </w:r>
      <w:r w:rsidR="00FF3D1E" w:rsidRPr="00304D30">
        <w:rPr>
          <w:rFonts w:cs="Times New Roman"/>
          <w:b/>
          <w:szCs w:val="28"/>
        </w:rPr>
        <w:t xml:space="preserve">) </w:t>
      </w:r>
      <w:r w:rsidR="006F5657" w:rsidRPr="00DC7679">
        <w:rPr>
          <w:rFonts w:cs="Times New Roman"/>
          <w:b/>
          <w:szCs w:val="28"/>
        </w:rPr>
        <w:t xml:space="preserve">Chief </w:t>
      </w:r>
      <w:r w:rsidR="00777665" w:rsidRPr="00DC7679">
        <w:rPr>
          <w:rFonts w:cs="Times New Roman"/>
          <w:b/>
          <w:szCs w:val="28"/>
        </w:rPr>
        <w:t>Compliance Officer (CCO)</w:t>
      </w:r>
      <w:r w:rsidR="00194E93" w:rsidRPr="00DC7679">
        <w:rPr>
          <w:rFonts w:cs="Times New Roman"/>
          <w:szCs w:val="28"/>
        </w:rPr>
        <w:t>:</w:t>
      </w:r>
      <w:r w:rsidR="00194E93" w:rsidRPr="00304D30">
        <w:rPr>
          <w:rFonts w:cs="Times New Roman"/>
          <w:szCs w:val="28"/>
        </w:rPr>
        <w:t xml:space="preserve"> Must do all of the following</w:t>
      </w:r>
      <w:r w:rsidR="00A42317" w:rsidRPr="00304D30">
        <w:rPr>
          <w:rFonts w:cs="Times New Roman"/>
          <w:szCs w:val="28"/>
        </w:rPr>
        <w:t xml:space="preserve"> (effectively keep policy and compliance)</w:t>
      </w:r>
      <w:r w:rsidR="00194E93" w:rsidRPr="00304D30">
        <w:rPr>
          <w:rFonts w:cs="Times New Roman"/>
          <w:szCs w:val="28"/>
        </w:rPr>
        <w:t xml:space="preserve"> (</w:t>
      </w:r>
      <w:r w:rsidR="00194E93" w:rsidRPr="00304D30">
        <w:rPr>
          <w:rFonts w:cs="Times New Roman"/>
          <w:b/>
          <w:color w:val="7030A0"/>
          <w:szCs w:val="28"/>
        </w:rPr>
        <w:t>NI 31-103 s.5.2</w:t>
      </w:r>
      <w:r w:rsidR="00194E93" w:rsidRPr="00304D30">
        <w:rPr>
          <w:rFonts w:cs="Times New Roman"/>
          <w:szCs w:val="28"/>
        </w:rPr>
        <w:t>)</w:t>
      </w:r>
    </w:p>
    <w:p w:rsidR="005C7B57" w:rsidRPr="00304D30" w:rsidRDefault="00304D30" w:rsidP="00FF0B61">
      <w:pPr>
        <w:pStyle w:val="ListParagraph"/>
        <w:numPr>
          <w:ilvl w:val="0"/>
          <w:numId w:val="85"/>
        </w:numPr>
        <w:spacing w:after="120"/>
        <w:jc w:val="both"/>
        <w:rPr>
          <w:rFonts w:cs="Times New Roman"/>
          <w:szCs w:val="28"/>
        </w:rPr>
      </w:pPr>
      <w:r w:rsidRPr="008E5026">
        <w:rPr>
          <w:rFonts w:cs="Times New Roman"/>
          <w:b/>
          <w:color w:val="7030A0"/>
        </w:rPr>
        <w:t>(a)</w:t>
      </w:r>
      <w:r w:rsidRPr="008E5026">
        <w:rPr>
          <w:rFonts w:cs="Times New Roman"/>
          <w:color w:val="7030A0"/>
        </w:rPr>
        <w:t xml:space="preserve"> </w:t>
      </w:r>
      <w:r w:rsidRPr="00304D30">
        <w:rPr>
          <w:rFonts w:cs="Times New Roman"/>
        </w:rPr>
        <w:t xml:space="preserve">Establish and </w:t>
      </w:r>
      <w:r w:rsidRPr="00304D30">
        <w:rPr>
          <w:rFonts w:cs="Times New Roman"/>
          <w:b/>
          <w:i/>
        </w:rPr>
        <w:t>maintain policies for assessing compliance</w:t>
      </w:r>
      <w:r w:rsidRPr="00304D30">
        <w:rPr>
          <w:rFonts w:cs="Times New Roman"/>
          <w:b/>
        </w:rPr>
        <w:t xml:space="preserve">, </w:t>
      </w:r>
      <w:r w:rsidRPr="008E5026">
        <w:rPr>
          <w:rFonts w:cs="Times New Roman"/>
          <w:b/>
          <w:color w:val="7030A0"/>
        </w:rPr>
        <w:t>(b)</w:t>
      </w:r>
      <w:r w:rsidRPr="008E5026">
        <w:rPr>
          <w:rFonts w:cs="Times New Roman"/>
          <w:color w:val="7030A0"/>
        </w:rPr>
        <w:t xml:space="preserve"> </w:t>
      </w:r>
      <w:r w:rsidRPr="00304D30">
        <w:rPr>
          <w:rFonts w:cs="Times New Roman"/>
          <w:b/>
          <w:i/>
        </w:rPr>
        <w:t>Monitor and assess compliance</w:t>
      </w:r>
      <w:r w:rsidRPr="00304D30">
        <w:rPr>
          <w:rFonts w:cs="Times New Roman"/>
        </w:rPr>
        <w:t xml:space="preserve"> by the firm</w:t>
      </w:r>
      <w:r w:rsidRPr="00304D30">
        <w:rPr>
          <w:rFonts w:cs="Times New Roman"/>
          <w:b/>
        </w:rPr>
        <w:t xml:space="preserve"> </w:t>
      </w:r>
      <w:r w:rsidRPr="008E5026">
        <w:rPr>
          <w:rFonts w:cs="Times New Roman"/>
          <w:b/>
          <w:color w:val="7030A0"/>
        </w:rPr>
        <w:t>(c)</w:t>
      </w:r>
      <w:r w:rsidRPr="008E5026">
        <w:rPr>
          <w:rFonts w:cs="Times New Roman"/>
          <w:color w:val="7030A0"/>
        </w:rPr>
        <w:t xml:space="preserve"> </w:t>
      </w:r>
      <w:r w:rsidRPr="00304D30">
        <w:rPr>
          <w:rFonts w:cs="Times New Roman"/>
          <w:b/>
          <w:i/>
        </w:rPr>
        <w:t>Report to the UDP</w:t>
      </w:r>
      <w:r w:rsidRPr="00304D30">
        <w:rPr>
          <w:rFonts w:cs="Times New Roman"/>
        </w:rPr>
        <w:t xml:space="preserve"> as soon as possible if they </w:t>
      </w:r>
      <w:r>
        <w:rPr>
          <w:rFonts w:cs="Times New Roman"/>
        </w:rPr>
        <w:t>become aware of any circ’</w:t>
      </w:r>
      <w:r w:rsidRPr="00304D30">
        <w:rPr>
          <w:rFonts w:cs="Times New Roman"/>
        </w:rPr>
        <w:t xml:space="preserve">s indicating that the </w:t>
      </w:r>
      <w:r w:rsidRPr="00304D30">
        <w:rPr>
          <w:rFonts w:cs="Times New Roman"/>
          <w:u w:val="single"/>
        </w:rPr>
        <w:t>firm may be in non-compliance</w:t>
      </w:r>
      <w:r w:rsidRPr="00304D30">
        <w:rPr>
          <w:rFonts w:cs="Times New Roman"/>
        </w:rPr>
        <w:t xml:space="preserve">. The non-compliance must involve </w:t>
      </w:r>
      <w:r w:rsidRPr="008E5026">
        <w:rPr>
          <w:rFonts w:cs="Times New Roman"/>
          <w:b/>
        </w:rPr>
        <w:t>1.</w:t>
      </w:r>
      <w:r>
        <w:rPr>
          <w:rFonts w:cs="Times New Roman"/>
        </w:rPr>
        <w:t xml:space="preserve"> </w:t>
      </w:r>
      <w:r w:rsidRPr="00304D30">
        <w:rPr>
          <w:rFonts w:cs="Times New Roman"/>
        </w:rPr>
        <w:t>Risk of harm to client,</w:t>
      </w:r>
      <w:r w:rsidRPr="008E5026">
        <w:rPr>
          <w:rFonts w:cs="Times New Roman"/>
          <w:b/>
        </w:rPr>
        <w:t xml:space="preserve"> 2.</w:t>
      </w:r>
      <w:r>
        <w:rPr>
          <w:rFonts w:cs="Times New Roman"/>
        </w:rPr>
        <w:t xml:space="preserve"> </w:t>
      </w:r>
      <w:r w:rsidRPr="00304D30">
        <w:rPr>
          <w:rFonts w:cs="Times New Roman"/>
        </w:rPr>
        <w:t xml:space="preserve">Risk of harm to capital markets, </w:t>
      </w:r>
      <w:r w:rsidRPr="008E5026">
        <w:rPr>
          <w:rFonts w:cs="Times New Roman"/>
          <w:b/>
        </w:rPr>
        <w:t>3.</w:t>
      </w:r>
      <w:r>
        <w:rPr>
          <w:rFonts w:cs="Times New Roman"/>
        </w:rPr>
        <w:t xml:space="preserve"> </w:t>
      </w:r>
      <w:r w:rsidRPr="00304D30">
        <w:rPr>
          <w:rFonts w:cs="Times New Roman"/>
        </w:rPr>
        <w:t>Part of a pattern of non-compliance</w:t>
      </w:r>
      <w:r w:rsidRPr="008E5026">
        <w:rPr>
          <w:rFonts w:cs="Times New Roman"/>
          <w:color w:val="7030A0"/>
        </w:rPr>
        <w:t xml:space="preserve">. </w:t>
      </w:r>
      <w:r w:rsidRPr="008E5026">
        <w:rPr>
          <w:rFonts w:cs="Times New Roman"/>
          <w:b/>
          <w:color w:val="7030A0"/>
        </w:rPr>
        <w:t>(d)</w:t>
      </w:r>
      <w:r w:rsidRPr="008E5026">
        <w:rPr>
          <w:rFonts w:cs="Times New Roman"/>
          <w:color w:val="7030A0"/>
        </w:rPr>
        <w:t xml:space="preserve"> </w:t>
      </w:r>
      <w:r w:rsidRPr="00304D30">
        <w:rPr>
          <w:rFonts w:cs="Times New Roman"/>
        </w:rPr>
        <w:t>Submit an annual report</w:t>
      </w:r>
      <w:r w:rsidRPr="00304D30">
        <w:rPr>
          <w:rFonts w:cs="Times New Roman"/>
          <w:b/>
          <w:color w:val="7030A0"/>
        </w:rPr>
        <w:t>.</w:t>
      </w:r>
    </w:p>
    <w:p w:rsidR="00A41AA7" w:rsidRPr="00C87282" w:rsidRDefault="00222CA1" w:rsidP="00FF0B61">
      <w:pPr>
        <w:spacing w:before="120" w:after="0" w:line="240" w:lineRule="auto"/>
        <w:jc w:val="both"/>
        <w:rPr>
          <w:rFonts w:cs="Times New Roman"/>
          <w:szCs w:val="18"/>
        </w:rPr>
      </w:pPr>
      <w:r w:rsidRPr="00FD3848">
        <w:rPr>
          <w:rFonts w:cs="Times New Roman"/>
          <w:b/>
          <w:szCs w:val="18"/>
          <w:u w:val="single"/>
        </w:rPr>
        <w:t>PERMITTED INDIVIDUALS (</w:t>
      </w:r>
      <w:r w:rsidRPr="00FD3848">
        <w:rPr>
          <w:rFonts w:cs="Times New Roman"/>
          <w:b/>
          <w:color w:val="7030A0"/>
          <w:szCs w:val="18"/>
          <w:u w:val="single"/>
        </w:rPr>
        <w:t>NI 33-109</w:t>
      </w:r>
      <w:r w:rsidRPr="00FD3848">
        <w:rPr>
          <w:rFonts w:cs="Times New Roman"/>
          <w:b/>
          <w:szCs w:val="18"/>
          <w:u w:val="single"/>
        </w:rPr>
        <w:t>):</w:t>
      </w:r>
      <w:r w:rsidR="00C87282">
        <w:rPr>
          <w:rFonts w:cs="Times New Roman"/>
          <w:b/>
          <w:szCs w:val="18"/>
        </w:rPr>
        <w:t xml:space="preserve"> </w:t>
      </w:r>
      <w:r w:rsidR="00C87282">
        <w:rPr>
          <w:rFonts w:cs="Times New Roman"/>
          <w:szCs w:val="18"/>
        </w:rPr>
        <w:t xml:space="preserve">Reviewed by Exe DIR as part of assessing a firm’s overall fitness for registration. </w:t>
      </w:r>
    </w:p>
    <w:p w:rsidR="00BB3DF0" w:rsidRPr="005C52B7" w:rsidRDefault="00222CA1" w:rsidP="00FF0B61">
      <w:pPr>
        <w:pStyle w:val="ListParagraph"/>
        <w:numPr>
          <w:ilvl w:val="0"/>
          <w:numId w:val="86"/>
        </w:numPr>
        <w:spacing w:after="0"/>
        <w:rPr>
          <w:szCs w:val="18"/>
        </w:rPr>
      </w:pPr>
      <w:r w:rsidRPr="00100090">
        <w:rPr>
          <w:b/>
          <w:szCs w:val="18"/>
        </w:rPr>
        <w:t>‘Permitted Individual’</w:t>
      </w:r>
      <w:r w:rsidR="00100090">
        <w:rPr>
          <w:szCs w:val="18"/>
        </w:rPr>
        <w:t xml:space="preserve"> -</w:t>
      </w:r>
      <w:r w:rsidRPr="00100090">
        <w:rPr>
          <w:szCs w:val="18"/>
        </w:rPr>
        <w:t xml:space="preserve"> means </w:t>
      </w:r>
      <w:r w:rsidRPr="00FC093B">
        <w:rPr>
          <w:b/>
          <w:color w:val="7030A0"/>
          <w:szCs w:val="18"/>
        </w:rPr>
        <w:t>(a)</w:t>
      </w:r>
      <w:r w:rsidR="00100090" w:rsidRPr="00FC093B">
        <w:rPr>
          <w:b/>
          <w:color w:val="7030A0"/>
          <w:szCs w:val="18"/>
        </w:rPr>
        <w:t xml:space="preserve"> </w:t>
      </w:r>
      <w:r w:rsidR="00FC093B" w:rsidRPr="00FC093B">
        <w:rPr>
          <w:szCs w:val="18"/>
        </w:rPr>
        <w:t>a</w:t>
      </w:r>
      <w:r w:rsidR="00FC093B">
        <w:rPr>
          <w:b/>
          <w:color w:val="7030A0"/>
          <w:szCs w:val="18"/>
        </w:rPr>
        <w:t xml:space="preserve"> </w:t>
      </w:r>
      <w:r w:rsidR="00FE027B">
        <w:rPr>
          <w:szCs w:val="18"/>
        </w:rPr>
        <w:t>DIR</w:t>
      </w:r>
      <w:r w:rsidRPr="00100090">
        <w:rPr>
          <w:szCs w:val="18"/>
        </w:rPr>
        <w:t xml:space="preserve">, CEO, CFO, or COO </w:t>
      </w:r>
      <w:r w:rsidRPr="00FC093B">
        <w:rPr>
          <w:b/>
          <w:color w:val="7030A0"/>
          <w:szCs w:val="18"/>
        </w:rPr>
        <w:t>(b)</w:t>
      </w:r>
      <w:r w:rsidR="00100090" w:rsidRPr="00FC093B">
        <w:rPr>
          <w:b/>
          <w:color w:val="7030A0"/>
          <w:szCs w:val="18"/>
        </w:rPr>
        <w:t xml:space="preserve"> </w:t>
      </w:r>
      <w:r w:rsidR="00FC093B" w:rsidRPr="00015F2D">
        <w:rPr>
          <w:szCs w:val="18"/>
        </w:rPr>
        <w:t>an</w:t>
      </w:r>
      <w:r w:rsidR="00FC093B" w:rsidRPr="00FC093B">
        <w:rPr>
          <w:b/>
          <w:szCs w:val="18"/>
        </w:rPr>
        <w:t xml:space="preserve"> </w:t>
      </w:r>
      <w:r w:rsidRPr="00100090">
        <w:rPr>
          <w:szCs w:val="18"/>
        </w:rPr>
        <w:t>individual with beneficial ownership or control over 10% of the voting securities</w:t>
      </w:r>
      <w:r w:rsidR="00100090" w:rsidRPr="00100090">
        <w:rPr>
          <w:szCs w:val="18"/>
        </w:rPr>
        <w:t xml:space="preserve"> </w:t>
      </w:r>
      <w:r w:rsidR="005D5F77">
        <w:rPr>
          <w:b/>
          <w:szCs w:val="18"/>
        </w:rPr>
        <w:t xml:space="preserve">(c) </w:t>
      </w:r>
      <w:r w:rsidR="005D5F77">
        <w:rPr>
          <w:szCs w:val="18"/>
        </w:rPr>
        <w:t xml:space="preserve">A trustee, executor or administrator, legal representative of above </w:t>
      </w:r>
      <w:r w:rsidR="00100090" w:rsidRPr="00100090">
        <w:rPr>
          <w:szCs w:val="18"/>
        </w:rPr>
        <w:t>(</w:t>
      </w:r>
      <w:r w:rsidR="00100090" w:rsidRPr="00100090">
        <w:rPr>
          <w:b/>
          <w:color w:val="7030A0"/>
          <w:szCs w:val="18"/>
        </w:rPr>
        <w:t>s.1.1</w:t>
      </w:r>
      <w:r w:rsidR="00100090" w:rsidRPr="00100090">
        <w:rPr>
          <w:b/>
          <w:szCs w:val="18"/>
        </w:rPr>
        <w:t>)</w:t>
      </w:r>
    </w:p>
    <w:p w:rsidR="005C52B7" w:rsidRDefault="005C52B7" w:rsidP="00FF0B61">
      <w:pPr>
        <w:pStyle w:val="ListParagraph"/>
        <w:spacing w:after="0"/>
        <w:rPr>
          <w:szCs w:val="18"/>
        </w:rPr>
      </w:pPr>
    </w:p>
    <w:p w:rsidR="00F45206" w:rsidRPr="00BB3DF0" w:rsidRDefault="00F45206" w:rsidP="00FF0B61">
      <w:pPr>
        <w:pStyle w:val="ListParagraph"/>
        <w:spacing w:after="0"/>
        <w:rPr>
          <w:szCs w:val="18"/>
        </w:rPr>
      </w:pPr>
    </w:p>
    <w:p w:rsidR="0093286B" w:rsidRPr="0093286B" w:rsidRDefault="005065EA" w:rsidP="00FF0B61">
      <w:pPr>
        <w:pStyle w:val="Heading3"/>
        <w:spacing w:line="240" w:lineRule="auto"/>
      </w:pPr>
      <w:bookmarkStart w:id="68" w:name="_Toc468980439"/>
      <w:r w:rsidRPr="0094051A">
        <w:lastRenderedPageBreak/>
        <w:t>Individual Registration Requirements</w:t>
      </w:r>
      <w:bookmarkEnd w:id="68"/>
    </w:p>
    <w:p w:rsidR="00487F46" w:rsidRDefault="00F000F4" w:rsidP="00FF0B61">
      <w:pPr>
        <w:spacing w:after="0" w:line="240" w:lineRule="auto"/>
        <w:rPr>
          <w:rFonts w:cs="Times New Roman"/>
          <w:szCs w:val="18"/>
        </w:rPr>
      </w:pPr>
      <w:r>
        <w:rPr>
          <w:rFonts w:cs="Times New Roman"/>
          <w:b/>
          <w:lang w:eastAsia="en-CA"/>
        </w:rPr>
        <w:t xml:space="preserve">General: </w:t>
      </w:r>
      <w:r w:rsidR="00487F46" w:rsidRPr="00487F46">
        <w:rPr>
          <w:rFonts w:cs="Times New Roman"/>
          <w:lang w:eastAsia="en-CA"/>
        </w:rPr>
        <w:t xml:space="preserve">Individuals must be “fit for registration”, based on criteria in </w:t>
      </w:r>
      <w:r w:rsidR="00487F46" w:rsidRPr="00487F46">
        <w:rPr>
          <w:rFonts w:cs="Times New Roman"/>
          <w:b/>
          <w:color w:val="7030A0"/>
          <w:lang w:eastAsia="en-CA"/>
        </w:rPr>
        <w:t xml:space="preserve">NI 31-103 Part 3 </w:t>
      </w:r>
      <w:r w:rsidR="00487F46" w:rsidRPr="00487F46">
        <w:rPr>
          <w:rFonts w:cs="Times New Roman"/>
          <w:lang w:eastAsia="en-CA"/>
        </w:rPr>
        <w:t xml:space="preserve">and </w:t>
      </w:r>
      <w:r w:rsidR="00487F46" w:rsidRPr="00487F46">
        <w:rPr>
          <w:rFonts w:cs="Times New Roman"/>
          <w:b/>
          <w:color w:val="7030A0"/>
          <w:lang w:eastAsia="en-CA"/>
        </w:rPr>
        <w:t>Form 33-109F4</w:t>
      </w:r>
      <w:r w:rsidR="00487F46">
        <w:rPr>
          <w:rFonts w:cs="Times New Roman"/>
          <w:b/>
          <w:color w:val="7030A0"/>
          <w:lang w:eastAsia="en-CA"/>
        </w:rPr>
        <w:t>.</w:t>
      </w:r>
    </w:p>
    <w:p w:rsidR="0093286B" w:rsidRDefault="005A5830" w:rsidP="00FF0B61">
      <w:pPr>
        <w:pStyle w:val="ListParagraph"/>
        <w:numPr>
          <w:ilvl w:val="0"/>
          <w:numId w:val="86"/>
        </w:numPr>
        <w:spacing w:after="0"/>
        <w:rPr>
          <w:rFonts w:cs="Times New Roman"/>
          <w:szCs w:val="18"/>
        </w:rPr>
      </w:pPr>
      <w:r>
        <w:rPr>
          <w:rFonts w:cs="Times New Roman"/>
          <w:b/>
          <w:szCs w:val="18"/>
        </w:rPr>
        <w:t>3 Criteria for assessing an applicant suitability</w:t>
      </w:r>
      <w:r w:rsidR="00487F46">
        <w:rPr>
          <w:rFonts w:cs="Times New Roman"/>
          <w:b/>
          <w:szCs w:val="18"/>
        </w:rPr>
        <w:t>:</w:t>
      </w:r>
      <w:r w:rsidR="00210D1E" w:rsidRPr="00487F46">
        <w:rPr>
          <w:rFonts w:cs="Times New Roman"/>
          <w:szCs w:val="18"/>
        </w:rPr>
        <w:t xml:space="preserve"> </w:t>
      </w:r>
      <w:r w:rsidR="00210D1E" w:rsidRPr="00487F46">
        <w:rPr>
          <w:rFonts w:cs="Times New Roman"/>
          <w:b/>
          <w:szCs w:val="18"/>
        </w:rPr>
        <w:t xml:space="preserve">(1) </w:t>
      </w:r>
      <w:r>
        <w:rPr>
          <w:rFonts w:cs="Times New Roman"/>
          <w:b/>
          <w:szCs w:val="18"/>
        </w:rPr>
        <w:t>Proficiency</w:t>
      </w:r>
      <w:r w:rsidR="00210D1E" w:rsidRPr="00487F46">
        <w:rPr>
          <w:rFonts w:cs="Times New Roman"/>
          <w:szCs w:val="18"/>
        </w:rPr>
        <w:t xml:space="preserve"> (Have education, training, and experience a reasonable person would consider necessary), </w:t>
      </w:r>
      <w:r w:rsidR="00210D1E" w:rsidRPr="00487F46">
        <w:rPr>
          <w:rFonts w:cs="Times New Roman"/>
          <w:b/>
          <w:szCs w:val="18"/>
        </w:rPr>
        <w:t>(2) Integrity</w:t>
      </w:r>
      <w:r w:rsidR="00210D1E" w:rsidRPr="00487F46">
        <w:rPr>
          <w:rFonts w:cs="Times New Roman"/>
          <w:szCs w:val="18"/>
        </w:rPr>
        <w:t xml:space="preserve"> (Have an honest character, lack of conflict of interest and do not have regulatory or legal actions against them) </w:t>
      </w:r>
      <w:r w:rsidR="00210D1E" w:rsidRPr="00487F46">
        <w:rPr>
          <w:rFonts w:cs="Times New Roman"/>
          <w:b/>
          <w:szCs w:val="18"/>
        </w:rPr>
        <w:t>(3) Solvency</w:t>
      </w:r>
      <w:r w:rsidR="00210D1E" w:rsidRPr="00487F46">
        <w:rPr>
          <w:rFonts w:cs="Times New Roman"/>
          <w:szCs w:val="18"/>
        </w:rPr>
        <w:t xml:space="preserve"> (An individual who is insolvent or bankrupt may not be suitable)</w:t>
      </w:r>
    </w:p>
    <w:p w:rsidR="00B66D10" w:rsidRDefault="007266F4" w:rsidP="00FF0B61">
      <w:pPr>
        <w:pStyle w:val="ListParagraph"/>
        <w:numPr>
          <w:ilvl w:val="0"/>
          <w:numId w:val="86"/>
        </w:numPr>
        <w:spacing w:after="0"/>
        <w:rPr>
          <w:rFonts w:cs="Times New Roman"/>
          <w:szCs w:val="18"/>
        </w:rPr>
      </w:pPr>
      <w:r w:rsidRPr="007266F4">
        <w:rPr>
          <w:rFonts w:cs="Times New Roman"/>
          <w:b/>
          <w:color w:val="7030A0"/>
          <w:szCs w:val="18"/>
        </w:rPr>
        <w:t>Form 33-109F4</w:t>
      </w:r>
      <w:r>
        <w:rPr>
          <w:rFonts w:cs="Times New Roman"/>
          <w:b/>
          <w:szCs w:val="18"/>
        </w:rPr>
        <w:t xml:space="preserve">: </w:t>
      </w:r>
      <w:r>
        <w:rPr>
          <w:rFonts w:cs="Times New Roman"/>
          <w:szCs w:val="18"/>
        </w:rPr>
        <w:t xml:space="preserve">Fitness for registration assessed through the forms contents. </w:t>
      </w:r>
      <w:r w:rsidR="00B038A3">
        <w:rPr>
          <w:rFonts w:cs="Times New Roman"/>
          <w:szCs w:val="18"/>
        </w:rPr>
        <w:t xml:space="preserve">Must provide: name, address, personal info; jurisdiction registration is sought; proficiency; location of employment; current employment; etc. </w:t>
      </w:r>
    </w:p>
    <w:p w:rsidR="00EC20B4" w:rsidRPr="00B3219D" w:rsidRDefault="00B66D10" w:rsidP="00FF0B61">
      <w:pPr>
        <w:pStyle w:val="ListParagraph"/>
        <w:numPr>
          <w:ilvl w:val="0"/>
          <w:numId w:val="86"/>
        </w:numPr>
        <w:spacing w:after="0"/>
        <w:rPr>
          <w:rFonts w:cs="Times New Roman"/>
          <w:szCs w:val="18"/>
        </w:rPr>
      </w:pPr>
      <w:r w:rsidRPr="00B66D10">
        <w:rPr>
          <w:rFonts w:cs="Times New Roman"/>
          <w:b/>
          <w:szCs w:val="18"/>
        </w:rPr>
        <w:t xml:space="preserve">See above for </w:t>
      </w:r>
      <w:r w:rsidR="007004F8">
        <w:rPr>
          <w:rFonts w:cs="Times New Roman"/>
          <w:b/>
          <w:szCs w:val="18"/>
        </w:rPr>
        <w:t>specific r</w:t>
      </w:r>
      <w:r w:rsidRPr="00B66D10">
        <w:rPr>
          <w:rFonts w:cs="Times New Roman"/>
          <w:b/>
          <w:szCs w:val="18"/>
        </w:rPr>
        <w:t xml:space="preserve">equirements to be a dealer rep, advising rep, UDP or COO. </w:t>
      </w:r>
      <w:r w:rsidR="00EC20B4" w:rsidRPr="00B66D10">
        <w:rPr>
          <w:rFonts w:cs="Times New Roman"/>
          <w:b/>
          <w:szCs w:val="18"/>
        </w:rPr>
        <w:t xml:space="preserve"> </w:t>
      </w:r>
    </w:p>
    <w:p w:rsidR="00B3219D" w:rsidRDefault="00B3219D" w:rsidP="00FF0B61">
      <w:pPr>
        <w:spacing w:after="0" w:line="240" w:lineRule="auto"/>
        <w:rPr>
          <w:rFonts w:cs="Times New Roman"/>
          <w:szCs w:val="18"/>
        </w:rPr>
      </w:pPr>
    </w:p>
    <w:p w:rsidR="00F458E9" w:rsidRPr="00786219" w:rsidRDefault="00F458E9" w:rsidP="00FF0B61">
      <w:pPr>
        <w:pStyle w:val="Heading2"/>
        <w:spacing w:line="240" w:lineRule="auto"/>
      </w:pPr>
      <w:bookmarkStart w:id="69" w:name="_Toc468980440"/>
      <w:r w:rsidRPr="00704809">
        <w:t>Registrant Obligations</w:t>
      </w:r>
      <w:bookmarkEnd w:id="69"/>
    </w:p>
    <w:p w:rsidR="00D05D1F" w:rsidRPr="00786219" w:rsidRDefault="00422A2D" w:rsidP="00FF0B61">
      <w:pPr>
        <w:spacing w:after="0" w:line="240" w:lineRule="auto"/>
        <w:rPr>
          <w:szCs w:val="18"/>
        </w:rPr>
      </w:pPr>
      <w:r w:rsidRPr="00786219">
        <w:rPr>
          <w:szCs w:val="18"/>
        </w:rPr>
        <w:t xml:space="preserve">Registrant information is reviewed by the </w:t>
      </w:r>
      <w:r w:rsidR="009A6576">
        <w:rPr>
          <w:szCs w:val="18"/>
        </w:rPr>
        <w:t>principal regulator (</w:t>
      </w:r>
      <w:r w:rsidR="009A6576" w:rsidRPr="009A6576">
        <w:rPr>
          <w:b/>
          <w:color w:val="7030A0"/>
          <w:szCs w:val="18"/>
        </w:rPr>
        <w:t>NI 31-103 s.1.3(2))</w:t>
      </w:r>
    </w:p>
    <w:p w:rsidR="00470A6D" w:rsidRPr="00786219" w:rsidRDefault="00470A6D" w:rsidP="00FF0B61">
      <w:pPr>
        <w:pStyle w:val="ListParagraph"/>
        <w:numPr>
          <w:ilvl w:val="0"/>
          <w:numId w:val="87"/>
        </w:numPr>
        <w:spacing w:after="0"/>
        <w:textAlignment w:val="center"/>
        <w:rPr>
          <w:rFonts w:ascii="Calibri" w:eastAsia="Times New Roman" w:hAnsi="Calibri" w:cs="Times New Roman"/>
          <w:color w:val="000000"/>
          <w:lang w:eastAsia="en-CA"/>
        </w:rPr>
      </w:pPr>
      <w:r w:rsidRPr="00786219">
        <w:rPr>
          <w:rFonts w:ascii="Calibri" w:eastAsia="Times New Roman" w:hAnsi="Calibri" w:cs="Times New Roman"/>
          <w:color w:val="000000"/>
          <w:lang w:eastAsia="en-CA"/>
        </w:rPr>
        <w:t>Investment dealers are subject to additional requirements of IIROC</w:t>
      </w:r>
    </w:p>
    <w:p w:rsidR="00470A6D" w:rsidRDefault="00470A6D" w:rsidP="00FF0B61">
      <w:pPr>
        <w:pStyle w:val="ListParagraph"/>
        <w:numPr>
          <w:ilvl w:val="0"/>
          <w:numId w:val="87"/>
        </w:numPr>
        <w:spacing w:after="0"/>
        <w:textAlignment w:val="center"/>
        <w:rPr>
          <w:rFonts w:ascii="Calibri" w:eastAsia="Times New Roman" w:hAnsi="Calibri" w:cs="Times New Roman"/>
          <w:color w:val="000000"/>
          <w:lang w:eastAsia="en-CA"/>
        </w:rPr>
      </w:pPr>
      <w:r w:rsidRPr="00786219">
        <w:rPr>
          <w:rFonts w:ascii="Calibri" w:eastAsia="Times New Roman" w:hAnsi="Calibri" w:cs="Times New Roman"/>
          <w:color w:val="000000"/>
          <w:lang w:eastAsia="en-CA"/>
        </w:rPr>
        <w:t>Mutual fund dealers are subject to additional requirements of MFDA</w:t>
      </w:r>
    </w:p>
    <w:p w:rsidR="00786219" w:rsidRPr="00786219" w:rsidRDefault="00786219" w:rsidP="00FF0B61">
      <w:pPr>
        <w:spacing w:before="240" w:after="0" w:line="240" w:lineRule="auto"/>
        <w:textAlignment w:val="center"/>
        <w:rPr>
          <w:rFonts w:ascii="Calibri" w:eastAsia="Times New Roman" w:hAnsi="Calibri" w:cs="Times New Roman"/>
          <w:color w:val="000000"/>
          <w:lang w:eastAsia="en-CA"/>
        </w:rPr>
      </w:pPr>
      <w:r w:rsidRPr="00786219">
        <w:rPr>
          <w:rFonts w:ascii="Calibri" w:eastAsia="Times New Roman" w:hAnsi="Calibri" w:cs="Times New Roman"/>
          <w:color w:val="000000"/>
          <w:lang w:eastAsia="en-CA"/>
        </w:rPr>
        <w:t xml:space="preserve">Firms registered with IIROC/MFDA are exempt from certain requirements of NI 31-103 as long as they oblige IIROC </w:t>
      </w:r>
      <w:r w:rsidR="00E918DE">
        <w:rPr>
          <w:rFonts w:ascii="Calibri" w:eastAsia="Times New Roman" w:hAnsi="Calibri" w:cs="Times New Roman"/>
          <w:color w:val="000000"/>
          <w:lang w:eastAsia="en-CA"/>
        </w:rPr>
        <w:t xml:space="preserve">or </w:t>
      </w:r>
      <w:r w:rsidRPr="00786219">
        <w:rPr>
          <w:rFonts w:ascii="Calibri" w:eastAsia="Times New Roman" w:hAnsi="Calibri" w:cs="Times New Roman"/>
          <w:color w:val="000000"/>
          <w:lang w:eastAsia="en-CA"/>
        </w:rPr>
        <w:t>MFDA rules</w:t>
      </w:r>
    </w:p>
    <w:p w:rsidR="00036905" w:rsidRDefault="00036905" w:rsidP="00FF0B61">
      <w:pPr>
        <w:spacing w:after="0" w:line="240" w:lineRule="auto"/>
        <w:textAlignment w:val="center"/>
        <w:rPr>
          <w:rFonts w:ascii="Calibri" w:eastAsia="Times New Roman" w:hAnsi="Calibri" w:cs="Times New Roman"/>
          <w:color w:val="000000"/>
          <w:lang w:eastAsia="en-CA"/>
        </w:rPr>
      </w:pPr>
    </w:p>
    <w:p w:rsidR="002C1570" w:rsidRPr="002C1570" w:rsidRDefault="00036905" w:rsidP="00FF0B61">
      <w:pPr>
        <w:spacing w:after="0" w:line="240" w:lineRule="auto"/>
        <w:textAlignment w:val="center"/>
        <w:rPr>
          <w:rFonts w:ascii="Calibri" w:eastAsia="Times New Roman" w:hAnsi="Calibri" w:cs="Times New Roman"/>
          <w:color w:val="000000"/>
          <w:lang w:eastAsia="en-CA"/>
        </w:rPr>
      </w:pPr>
      <w:r w:rsidRPr="00BB1755">
        <w:rPr>
          <w:rFonts w:cs="Times New Roman"/>
          <w:b/>
          <w:szCs w:val="18"/>
          <w:u w:val="single"/>
        </w:rPr>
        <w:t>COMPLIANCE</w:t>
      </w:r>
      <w:r w:rsidR="002C1570">
        <w:rPr>
          <w:rFonts w:cs="Times New Roman"/>
          <w:b/>
          <w:szCs w:val="18"/>
        </w:rPr>
        <w:t xml:space="preserve"> (</w:t>
      </w:r>
      <w:r w:rsidR="002C1570" w:rsidRPr="002C1570">
        <w:rPr>
          <w:rFonts w:cs="Times New Roman"/>
          <w:b/>
          <w:color w:val="7030A0"/>
        </w:rPr>
        <w:t>NI 31-103 s. 11.1</w:t>
      </w:r>
      <w:r w:rsidR="002C1570">
        <w:rPr>
          <w:rFonts w:cs="Times New Roman"/>
          <w:b/>
        </w:rPr>
        <w:t>)</w:t>
      </w:r>
      <w:r w:rsidRPr="0065284B">
        <w:rPr>
          <w:rFonts w:cs="Times New Roman"/>
          <w:b/>
          <w:szCs w:val="18"/>
        </w:rPr>
        <w:t>:</w:t>
      </w:r>
      <w:r w:rsidR="0065284B" w:rsidRPr="0065284B">
        <w:rPr>
          <w:rFonts w:cs="Times New Roman"/>
          <w:b/>
          <w:szCs w:val="18"/>
        </w:rPr>
        <w:t xml:space="preserve"> </w:t>
      </w:r>
      <w:r w:rsidR="002C1570" w:rsidRPr="002C1570">
        <w:rPr>
          <w:rFonts w:cs="Times New Roman"/>
        </w:rPr>
        <w:t xml:space="preserve">A registered firm </w:t>
      </w:r>
      <w:r w:rsidR="002C1570" w:rsidRPr="002C1570">
        <w:rPr>
          <w:rFonts w:cs="Times New Roman"/>
          <w:b/>
        </w:rPr>
        <w:t>must establish, maintain and apply policies and procedures that establish a system of controls</w:t>
      </w:r>
      <w:r w:rsidR="002C1570" w:rsidRPr="002C1570">
        <w:rPr>
          <w:rFonts w:cs="Times New Roman"/>
        </w:rPr>
        <w:t xml:space="preserve"> and supervision sufficient to </w:t>
      </w:r>
    </w:p>
    <w:p w:rsidR="002C1570" w:rsidRPr="002C1570" w:rsidRDefault="002C1570" w:rsidP="00FF0B61">
      <w:pPr>
        <w:pStyle w:val="ListParagraph"/>
        <w:spacing w:after="0"/>
        <w:textAlignment w:val="center"/>
        <w:rPr>
          <w:rFonts w:cs="Times New Roman"/>
        </w:rPr>
      </w:pPr>
      <w:r w:rsidRPr="00704809">
        <w:rPr>
          <w:rFonts w:cs="Times New Roman"/>
          <w:b/>
        </w:rPr>
        <w:t>(a)</w:t>
      </w:r>
      <w:r w:rsidRPr="002C1570">
        <w:rPr>
          <w:rFonts w:cs="Times New Roman"/>
        </w:rPr>
        <w:t xml:space="preserve"> </w:t>
      </w:r>
      <w:r w:rsidRPr="002C1570">
        <w:rPr>
          <w:rFonts w:cs="Times New Roman"/>
          <w:b/>
        </w:rPr>
        <w:t>provide reasonable assurance</w:t>
      </w:r>
      <w:r w:rsidRPr="002C1570">
        <w:rPr>
          <w:rFonts w:cs="Times New Roman"/>
        </w:rPr>
        <w:t xml:space="preserve"> that the firm and each individual acting on its behalf complies with securities legislation, and </w:t>
      </w:r>
    </w:p>
    <w:p w:rsidR="002C1570" w:rsidRDefault="002C1570" w:rsidP="00FF0B61">
      <w:pPr>
        <w:pStyle w:val="ListParagraph"/>
        <w:spacing w:after="0"/>
        <w:textAlignment w:val="center"/>
        <w:rPr>
          <w:rFonts w:cs="Times New Roman"/>
        </w:rPr>
      </w:pPr>
      <w:r w:rsidRPr="00704809">
        <w:rPr>
          <w:rFonts w:cs="Times New Roman"/>
          <w:b/>
        </w:rPr>
        <w:t>(b)</w:t>
      </w:r>
      <w:r w:rsidRPr="002C1570">
        <w:rPr>
          <w:rFonts w:cs="Times New Roman"/>
        </w:rPr>
        <w:t xml:space="preserve"> </w:t>
      </w:r>
      <w:r w:rsidRPr="002C1570">
        <w:rPr>
          <w:rFonts w:cs="Times New Roman"/>
          <w:b/>
        </w:rPr>
        <w:t>manage the risks</w:t>
      </w:r>
      <w:r w:rsidRPr="002C1570">
        <w:rPr>
          <w:rFonts w:cs="Times New Roman"/>
        </w:rPr>
        <w:t xml:space="preserve"> associated with its business in accordance with prudent business practices. </w:t>
      </w:r>
    </w:p>
    <w:p w:rsidR="002C1570" w:rsidRPr="002C1570" w:rsidRDefault="002C1570" w:rsidP="00FF0B61">
      <w:pPr>
        <w:pStyle w:val="ListParagraph"/>
        <w:numPr>
          <w:ilvl w:val="0"/>
          <w:numId w:val="88"/>
        </w:numPr>
        <w:spacing w:after="0"/>
        <w:textAlignment w:val="center"/>
        <w:rPr>
          <w:rFonts w:eastAsia="Times New Roman" w:cs="Times New Roman"/>
          <w:lang w:eastAsia="en-CA"/>
        </w:rPr>
      </w:pPr>
      <w:r w:rsidRPr="002C1570">
        <w:rPr>
          <w:rFonts w:cs="Times New Roman"/>
        </w:rPr>
        <w:t>This done by CCO (</w:t>
      </w:r>
      <w:r w:rsidRPr="002C1570">
        <w:rPr>
          <w:rFonts w:cs="Times New Roman"/>
          <w:b/>
          <w:color w:val="7030A0"/>
        </w:rPr>
        <w:t>NI 31-103 s. 5.2)</w:t>
      </w:r>
    </w:p>
    <w:p w:rsidR="002C1570" w:rsidRPr="002C1570" w:rsidRDefault="002C1570" w:rsidP="00FF0B61">
      <w:pPr>
        <w:pStyle w:val="ListParagraph"/>
        <w:numPr>
          <w:ilvl w:val="0"/>
          <w:numId w:val="88"/>
        </w:numPr>
        <w:spacing w:after="0"/>
        <w:textAlignment w:val="center"/>
        <w:rPr>
          <w:rFonts w:eastAsia="Times New Roman" w:cs="Times New Roman"/>
          <w:b/>
          <w:color w:val="7030A0"/>
          <w:lang w:eastAsia="en-CA"/>
        </w:rPr>
      </w:pPr>
      <w:r w:rsidRPr="002C1570">
        <w:rPr>
          <w:rFonts w:cs="Times New Roman"/>
        </w:rPr>
        <w:t>CCO must also produce an annual report to UDP (</w:t>
      </w:r>
      <w:r w:rsidR="00DA1603">
        <w:rPr>
          <w:rFonts w:cs="Times New Roman"/>
          <w:b/>
          <w:color w:val="7030A0"/>
        </w:rPr>
        <w:t>NI 31-103 s.5.2</w:t>
      </w:r>
      <w:r w:rsidRPr="002C1570">
        <w:rPr>
          <w:rFonts w:cs="Times New Roman"/>
          <w:b/>
          <w:color w:val="7030A0"/>
        </w:rPr>
        <w:t>)</w:t>
      </w:r>
    </w:p>
    <w:p w:rsidR="00036905" w:rsidRPr="00036905" w:rsidRDefault="00036905" w:rsidP="00FF0B61">
      <w:pPr>
        <w:spacing w:after="0" w:line="240" w:lineRule="auto"/>
        <w:jc w:val="both"/>
        <w:rPr>
          <w:rFonts w:cs="Times New Roman"/>
          <w:b/>
          <w:szCs w:val="18"/>
        </w:rPr>
      </w:pPr>
    </w:p>
    <w:p w:rsidR="002C1570" w:rsidRDefault="00036905" w:rsidP="00FF0B61">
      <w:pPr>
        <w:spacing w:after="0" w:line="240" w:lineRule="auto"/>
        <w:textAlignment w:val="center"/>
        <w:rPr>
          <w:rFonts w:eastAsia="Times New Roman" w:cs="Times New Roman"/>
          <w:lang w:eastAsia="en-CA"/>
        </w:rPr>
      </w:pPr>
      <w:r w:rsidRPr="00BB1755">
        <w:rPr>
          <w:rFonts w:cs="Times New Roman"/>
          <w:b/>
          <w:szCs w:val="18"/>
          <w:u w:val="single"/>
        </w:rPr>
        <w:t>BOOKS AND RECORDS:</w:t>
      </w:r>
      <w:r w:rsidR="002C1570" w:rsidRPr="002C1570">
        <w:rPr>
          <w:rFonts w:eastAsia="Times New Roman" w:cs="Times New Roman"/>
          <w:lang w:eastAsia="en-CA"/>
        </w:rPr>
        <w:t xml:space="preserve"> Required to </w:t>
      </w:r>
      <w:r w:rsidR="002C1570" w:rsidRPr="002C1570">
        <w:rPr>
          <w:rFonts w:eastAsia="Times New Roman" w:cs="Times New Roman"/>
          <w:b/>
          <w:u w:val="single"/>
          <w:lang w:eastAsia="en-CA"/>
        </w:rPr>
        <w:t>maintain records</w:t>
      </w:r>
      <w:r w:rsidR="002C1570" w:rsidRPr="002C1570">
        <w:rPr>
          <w:rFonts w:eastAsia="Times New Roman" w:cs="Times New Roman"/>
          <w:lang w:eastAsia="en-CA"/>
        </w:rPr>
        <w:t xml:space="preserve"> to accurately record its </w:t>
      </w:r>
      <w:r w:rsidR="002C1570" w:rsidRPr="00FE1232">
        <w:rPr>
          <w:rFonts w:eastAsia="Times New Roman" w:cs="Times New Roman"/>
          <w:b/>
          <w:lang w:eastAsia="en-CA"/>
        </w:rPr>
        <w:t>business activities</w:t>
      </w:r>
      <w:r w:rsidR="002C1570" w:rsidRPr="002C1570">
        <w:rPr>
          <w:rFonts w:eastAsia="Times New Roman" w:cs="Times New Roman"/>
          <w:b/>
          <w:lang w:eastAsia="en-CA"/>
        </w:rPr>
        <w:t>, financial affairs</w:t>
      </w:r>
      <w:r w:rsidR="002C1570" w:rsidRPr="002C1570">
        <w:rPr>
          <w:rFonts w:eastAsia="Times New Roman" w:cs="Times New Roman"/>
          <w:lang w:eastAsia="en-CA"/>
        </w:rPr>
        <w:t xml:space="preserve">, and </w:t>
      </w:r>
      <w:r w:rsidR="002C1570" w:rsidRPr="00FE1232">
        <w:rPr>
          <w:rFonts w:eastAsia="Times New Roman" w:cs="Times New Roman"/>
          <w:b/>
          <w:lang w:eastAsia="en-CA"/>
        </w:rPr>
        <w:t>client transactions</w:t>
      </w:r>
      <w:r w:rsidR="002C1570" w:rsidRPr="002C1570">
        <w:rPr>
          <w:rFonts w:eastAsia="Times New Roman" w:cs="Times New Roman"/>
          <w:lang w:eastAsia="en-CA"/>
        </w:rPr>
        <w:t xml:space="preserve"> for </w:t>
      </w:r>
      <w:r w:rsidR="0094051A">
        <w:rPr>
          <w:rFonts w:eastAsia="Times New Roman" w:cs="Times New Roman"/>
          <w:b/>
          <w:lang w:eastAsia="en-CA"/>
        </w:rPr>
        <w:t>7</w:t>
      </w:r>
      <w:r w:rsidR="002C1570" w:rsidRPr="0094051A">
        <w:rPr>
          <w:rFonts w:eastAsia="Times New Roman" w:cs="Times New Roman"/>
          <w:b/>
          <w:lang w:eastAsia="en-CA"/>
        </w:rPr>
        <w:t xml:space="preserve"> years</w:t>
      </w:r>
      <w:r w:rsidR="002C1570" w:rsidRPr="002C1570">
        <w:rPr>
          <w:rFonts w:eastAsia="Times New Roman" w:cs="Times New Roman"/>
          <w:lang w:eastAsia="en-CA"/>
        </w:rPr>
        <w:t xml:space="preserve"> (</w:t>
      </w:r>
      <w:r w:rsidR="00701840">
        <w:rPr>
          <w:rFonts w:eastAsia="Times New Roman" w:cs="Times New Roman"/>
          <w:b/>
          <w:color w:val="7030A0"/>
          <w:lang w:eastAsia="en-CA"/>
        </w:rPr>
        <w:t>NI 31-103 s.11.5(2)</w:t>
      </w:r>
      <w:r w:rsidR="002C1570" w:rsidRPr="002C1570">
        <w:rPr>
          <w:rFonts w:eastAsia="Times New Roman" w:cs="Times New Roman"/>
          <w:lang w:eastAsia="en-CA"/>
        </w:rPr>
        <w:t xml:space="preserve">) </w:t>
      </w:r>
    </w:p>
    <w:p w:rsidR="00036905" w:rsidRPr="00036905" w:rsidRDefault="00036905" w:rsidP="00FF0B61">
      <w:pPr>
        <w:spacing w:after="0" w:line="240" w:lineRule="auto"/>
        <w:jc w:val="both"/>
        <w:rPr>
          <w:rFonts w:cs="Times New Roman"/>
          <w:b/>
          <w:szCs w:val="18"/>
        </w:rPr>
      </w:pPr>
    </w:p>
    <w:p w:rsidR="00EB1386" w:rsidRPr="00522646" w:rsidRDefault="00036905" w:rsidP="00FF0B61">
      <w:pPr>
        <w:spacing w:after="0" w:line="240" w:lineRule="auto"/>
        <w:textAlignment w:val="center"/>
        <w:rPr>
          <w:rFonts w:eastAsia="Times New Roman" w:cs="Times New Roman"/>
          <w:b/>
          <w:lang w:eastAsia="en-CA"/>
        </w:rPr>
      </w:pPr>
      <w:r w:rsidRPr="00BB1755">
        <w:rPr>
          <w:rFonts w:cs="Times New Roman"/>
          <w:b/>
          <w:szCs w:val="18"/>
          <w:u w:val="single"/>
        </w:rPr>
        <w:t>FINANCIAL CONDITION</w:t>
      </w:r>
      <w:r w:rsidRPr="002C1570">
        <w:rPr>
          <w:rFonts w:cs="Times New Roman"/>
          <w:b/>
          <w:szCs w:val="18"/>
        </w:rPr>
        <w:t>:</w:t>
      </w:r>
      <w:r w:rsidR="002C1570" w:rsidRPr="002C1570">
        <w:rPr>
          <w:rFonts w:eastAsia="Times New Roman" w:cs="Times New Roman"/>
          <w:lang w:eastAsia="en-CA"/>
        </w:rPr>
        <w:t xml:space="preserve"> Must keep "</w:t>
      </w:r>
      <w:r w:rsidR="002C1570" w:rsidRPr="002C1570">
        <w:rPr>
          <w:rFonts w:eastAsia="Times New Roman" w:cs="Times New Roman"/>
          <w:b/>
          <w:lang w:eastAsia="en-CA"/>
        </w:rPr>
        <w:t>working capital</w:t>
      </w:r>
      <w:r w:rsidR="002C1570" w:rsidRPr="002C1570">
        <w:rPr>
          <w:rFonts w:eastAsia="Times New Roman" w:cs="Times New Roman"/>
          <w:lang w:eastAsia="en-CA"/>
        </w:rPr>
        <w:t xml:space="preserve">" </w:t>
      </w:r>
      <w:r w:rsidR="00FE1232">
        <w:rPr>
          <w:rFonts w:eastAsia="Times New Roman" w:cs="Times New Roman"/>
          <w:lang w:eastAsia="en-CA"/>
        </w:rPr>
        <w:t>to ensure they can meet their financial obligations when they become due (</w:t>
      </w:r>
      <w:r w:rsidR="00FE1232" w:rsidRPr="00FE1232">
        <w:rPr>
          <w:rFonts w:eastAsia="Times New Roman" w:cs="Times New Roman"/>
          <w:b/>
          <w:color w:val="7030A0"/>
          <w:lang w:eastAsia="en-CA"/>
        </w:rPr>
        <w:t>NI 31-103 s.12.1</w:t>
      </w:r>
      <w:r w:rsidR="00FE1232">
        <w:rPr>
          <w:rFonts w:eastAsia="Times New Roman" w:cs="Times New Roman"/>
          <w:lang w:eastAsia="en-CA"/>
        </w:rPr>
        <w:t>)</w:t>
      </w:r>
      <w:r w:rsidR="00522646">
        <w:rPr>
          <w:rFonts w:eastAsia="Times New Roman" w:cs="Times New Roman"/>
          <w:color w:val="7030A0"/>
          <w:lang w:eastAsia="en-CA"/>
        </w:rPr>
        <w:t xml:space="preserve">. </w:t>
      </w:r>
      <w:r w:rsidR="00522646" w:rsidRPr="00522646">
        <w:rPr>
          <w:rFonts w:eastAsia="Times New Roman" w:cs="Times New Roman"/>
          <w:lang w:eastAsia="en-CA"/>
        </w:rPr>
        <w:t>Maintain a min amount of insurance coverage to protect against property loss</w:t>
      </w:r>
      <w:r w:rsidR="00522646">
        <w:rPr>
          <w:rFonts w:eastAsia="Times New Roman" w:cs="Times New Roman"/>
          <w:lang w:eastAsia="en-CA"/>
        </w:rPr>
        <w:t xml:space="preserve"> (</w:t>
      </w:r>
      <w:r w:rsidR="00522646" w:rsidRPr="00522646">
        <w:rPr>
          <w:rFonts w:eastAsia="Times New Roman" w:cs="Times New Roman"/>
          <w:b/>
          <w:color w:val="7030A0"/>
          <w:lang w:eastAsia="en-CA"/>
        </w:rPr>
        <w:t>s.12.3-12.5</w:t>
      </w:r>
      <w:r w:rsidR="00522646">
        <w:rPr>
          <w:rFonts w:eastAsia="Times New Roman" w:cs="Times New Roman"/>
          <w:b/>
          <w:lang w:eastAsia="en-CA"/>
        </w:rPr>
        <w:t>).</w:t>
      </w:r>
    </w:p>
    <w:p w:rsidR="002C1570" w:rsidRPr="00287F69" w:rsidRDefault="002C1570" w:rsidP="00FF0B61">
      <w:pPr>
        <w:pStyle w:val="ListParagraph"/>
        <w:numPr>
          <w:ilvl w:val="0"/>
          <w:numId w:val="89"/>
        </w:numPr>
        <w:spacing w:after="0"/>
        <w:textAlignment w:val="center"/>
        <w:rPr>
          <w:rFonts w:eastAsia="Times New Roman" w:cs="Times New Roman"/>
          <w:lang w:eastAsia="en-CA"/>
        </w:rPr>
      </w:pPr>
      <w:r w:rsidRPr="00287F69">
        <w:rPr>
          <w:rFonts w:eastAsia="Times New Roman" w:cs="Times New Roman"/>
          <w:lang w:eastAsia="en-CA"/>
        </w:rPr>
        <w:t xml:space="preserve">Must also </w:t>
      </w:r>
      <w:r w:rsidRPr="00287F69">
        <w:rPr>
          <w:rFonts w:eastAsia="Times New Roman" w:cs="Times New Roman"/>
          <w:b/>
          <w:lang w:eastAsia="en-CA"/>
        </w:rPr>
        <w:t>provide financial statements</w:t>
      </w:r>
      <w:r w:rsidRPr="00287F69">
        <w:rPr>
          <w:rFonts w:eastAsia="Times New Roman" w:cs="Times New Roman"/>
          <w:lang w:eastAsia="en-CA"/>
        </w:rPr>
        <w:t xml:space="preserve"> to the </w:t>
      </w:r>
      <w:r w:rsidR="00287F69">
        <w:rPr>
          <w:rFonts w:eastAsia="Times New Roman" w:cs="Times New Roman"/>
          <w:lang w:eastAsia="en-CA"/>
        </w:rPr>
        <w:t>Exe DIR</w:t>
      </w:r>
      <w:r w:rsidRPr="00287F69">
        <w:rPr>
          <w:rFonts w:eastAsia="Times New Roman" w:cs="Times New Roman"/>
          <w:b/>
          <w:u w:val="single"/>
          <w:lang w:eastAsia="en-CA"/>
        </w:rPr>
        <w:t>. Audited annual ones</w:t>
      </w:r>
      <w:r w:rsidRPr="00287F69">
        <w:rPr>
          <w:rFonts w:eastAsia="Times New Roman" w:cs="Times New Roman"/>
          <w:lang w:eastAsia="en-CA"/>
        </w:rPr>
        <w:t xml:space="preserve"> for all registrants, and </w:t>
      </w:r>
      <w:r w:rsidRPr="00287F69">
        <w:rPr>
          <w:rFonts w:eastAsia="Times New Roman" w:cs="Times New Roman"/>
          <w:b/>
          <w:u w:val="single"/>
          <w:lang w:eastAsia="en-CA"/>
        </w:rPr>
        <w:t>unaudited quarterly ones</w:t>
      </w:r>
      <w:r w:rsidRPr="00287F69">
        <w:rPr>
          <w:rFonts w:eastAsia="Times New Roman" w:cs="Times New Roman"/>
          <w:lang w:eastAsia="en-CA"/>
        </w:rPr>
        <w:t xml:space="preserve"> for all registrants except exempt market dealers and advisers (</w:t>
      </w:r>
      <w:r w:rsidRPr="0066553F">
        <w:rPr>
          <w:rFonts w:eastAsia="Times New Roman" w:cs="Times New Roman"/>
          <w:b/>
          <w:color w:val="7030A0"/>
          <w:lang w:eastAsia="en-CA"/>
        </w:rPr>
        <w:t>See NI 31-103 12.12-12.14</w:t>
      </w:r>
      <w:r w:rsidRPr="00287F69">
        <w:rPr>
          <w:rFonts w:eastAsia="Times New Roman" w:cs="Times New Roman"/>
          <w:lang w:eastAsia="en-CA"/>
        </w:rPr>
        <w:t>)</w:t>
      </w:r>
    </w:p>
    <w:p w:rsidR="00036905" w:rsidRPr="00036905" w:rsidRDefault="00036905" w:rsidP="00FF0B61">
      <w:pPr>
        <w:spacing w:after="0" w:line="240" w:lineRule="auto"/>
        <w:jc w:val="both"/>
        <w:rPr>
          <w:rFonts w:cs="Times New Roman"/>
          <w:b/>
          <w:szCs w:val="18"/>
        </w:rPr>
      </w:pPr>
    </w:p>
    <w:p w:rsidR="00036905" w:rsidRDefault="00036905" w:rsidP="00FF0B61">
      <w:pPr>
        <w:spacing w:after="0" w:line="240" w:lineRule="auto"/>
        <w:jc w:val="both"/>
        <w:rPr>
          <w:rFonts w:cs="Times New Roman"/>
          <w:b/>
          <w:szCs w:val="18"/>
        </w:rPr>
      </w:pPr>
      <w:r w:rsidRPr="00BB1755">
        <w:rPr>
          <w:rFonts w:cs="Times New Roman"/>
          <w:b/>
          <w:szCs w:val="18"/>
          <w:u w:val="single"/>
        </w:rPr>
        <w:t>KNOW YOUR CLIENT + SUITABILITY</w:t>
      </w:r>
      <w:r w:rsidRPr="00036905">
        <w:rPr>
          <w:rFonts w:cs="Times New Roman"/>
          <w:b/>
          <w:szCs w:val="18"/>
        </w:rPr>
        <w:t>:</w:t>
      </w:r>
    </w:p>
    <w:p w:rsidR="00FA0D41" w:rsidRDefault="00FA0D41" w:rsidP="00FF0B61">
      <w:pPr>
        <w:pStyle w:val="ListParagraph"/>
        <w:numPr>
          <w:ilvl w:val="0"/>
          <w:numId w:val="89"/>
        </w:numPr>
        <w:spacing w:after="0"/>
        <w:ind w:left="360"/>
        <w:textAlignment w:val="center"/>
        <w:rPr>
          <w:rFonts w:eastAsia="Times New Roman" w:cs="Times New Roman"/>
          <w:lang w:eastAsia="en-CA"/>
        </w:rPr>
      </w:pPr>
      <w:r w:rsidRPr="00FA0D41">
        <w:rPr>
          <w:rFonts w:eastAsia="Times New Roman" w:cs="Times New Roman"/>
          <w:b/>
          <w:u w:val="single"/>
          <w:lang w:eastAsia="en-CA"/>
        </w:rPr>
        <w:t>KYC</w:t>
      </w:r>
      <w:r>
        <w:rPr>
          <w:rFonts w:eastAsia="Times New Roman" w:cs="Times New Roman"/>
          <w:b/>
          <w:u w:val="single"/>
          <w:lang w:eastAsia="en-CA"/>
        </w:rPr>
        <w:t>:</w:t>
      </w:r>
      <w:r>
        <w:rPr>
          <w:rFonts w:eastAsia="Times New Roman" w:cs="Times New Roman"/>
          <w:b/>
          <w:lang w:eastAsia="en-CA"/>
        </w:rPr>
        <w:t xml:space="preserve"> Know Your Client - </w:t>
      </w:r>
      <w:r w:rsidR="00152CD3">
        <w:rPr>
          <w:rFonts w:eastAsia="Times New Roman" w:cs="Times New Roman"/>
          <w:b/>
          <w:lang w:eastAsia="en-CA"/>
        </w:rPr>
        <w:t>A</w:t>
      </w:r>
      <w:r w:rsidRPr="00FA0D41">
        <w:rPr>
          <w:rFonts w:eastAsia="Times New Roman" w:cs="Times New Roman"/>
          <w:lang w:eastAsia="en-CA"/>
        </w:rPr>
        <w:t xml:space="preserve"> </w:t>
      </w:r>
      <w:r w:rsidRPr="00152CD3">
        <w:rPr>
          <w:rFonts w:eastAsia="Times New Roman" w:cs="Times New Roman"/>
          <w:b/>
          <w:lang w:eastAsia="en-CA"/>
        </w:rPr>
        <w:t>registrant must</w:t>
      </w:r>
      <w:r w:rsidRPr="00FA0D41">
        <w:rPr>
          <w:rFonts w:eastAsia="Times New Roman" w:cs="Times New Roman"/>
          <w:lang w:eastAsia="en-CA"/>
        </w:rPr>
        <w:t>:</w:t>
      </w:r>
      <w:r>
        <w:rPr>
          <w:rFonts w:eastAsia="Times New Roman" w:cs="Times New Roman"/>
          <w:lang w:eastAsia="en-CA"/>
        </w:rPr>
        <w:t xml:space="preserve"> establish certain information about the client – the </w:t>
      </w:r>
      <w:r w:rsidRPr="005222E3">
        <w:rPr>
          <w:rFonts w:eastAsia="Times New Roman" w:cs="Times New Roman"/>
          <w:b/>
          <w:i/>
          <w:lang w:eastAsia="en-CA"/>
        </w:rPr>
        <w:t>client’s ID</w:t>
      </w:r>
      <w:r>
        <w:rPr>
          <w:rFonts w:eastAsia="Times New Roman" w:cs="Times New Roman"/>
          <w:lang w:eastAsia="en-CA"/>
        </w:rPr>
        <w:t xml:space="preserve">, whether the client is </w:t>
      </w:r>
      <w:r w:rsidRPr="005222E3">
        <w:rPr>
          <w:rFonts w:eastAsia="Times New Roman" w:cs="Times New Roman"/>
          <w:b/>
          <w:i/>
          <w:lang w:eastAsia="en-CA"/>
        </w:rPr>
        <w:t>an insider of any RP</w:t>
      </w:r>
      <w:r>
        <w:rPr>
          <w:rFonts w:eastAsia="Times New Roman" w:cs="Times New Roman"/>
          <w:lang w:eastAsia="en-CA"/>
        </w:rPr>
        <w:t xml:space="preserve">, and the </w:t>
      </w:r>
      <w:r w:rsidRPr="005222E3">
        <w:rPr>
          <w:rFonts w:eastAsia="Times New Roman" w:cs="Times New Roman"/>
          <w:b/>
          <w:i/>
          <w:lang w:eastAsia="en-CA"/>
        </w:rPr>
        <w:t>client’s creditworthiness</w:t>
      </w:r>
      <w:r>
        <w:rPr>
          <w:rFonts w:eastAsia="Times New Roman" w:cs="Times New Roman"/>
          <w:lang w:eastAsia="en-CA"/>
        </w:rPr>
        <w:t xml:space="preserve"> if the registered firm will be financing</w:t>
      </w:r>
      <w:r w:rsidR="00A113AD">
        <w:rPr>
          <w:rFonts w:eastAsia="Times New Roman" w:cs="Times New Roman"/>
          <w:lang w:eastAsia="en-CA"/>
        </w:rPr>
        <w:t xml:space="preserve"> the</w:t>
      </w:r>
      <w:r>
        <w:rPr>
          <w:rFonts w:eastAsia="Times New Roman" w:cs="Times New Roman"/>
          <w:lang w:eastAsia="en-CA"/>
        </w:rPr>
        <w:t xml:space="preserve"> client’s acquisition of a security (</w:t>
      </w:r>
      <w:r w:rsidRPr="00FA0D41">
        <w:rPr>
          <w:rFonts w:eastAsia="Times New Roman" w:cs="Times New Roman"/>
          <w:b/>
          <w:color w:val="7030A0"/>
          <w:lang w:eastAsia="en-CA"/>
        </w:rPr>
        <w:t>NI 31-103 s.13.2(a)(b)(d)</w:t>
      </w:r>
      <w:r>
        <w:rPr>
          <w:rFonts w:eastAsia="Times New Roman" w:cs="Times New Roman"/>
          <w:lang w:eastAsia="en-CA"/>
        </w:rPr>
        <w:t>)</w:t>
      </w:r>
    </w:p>
    <w:p w:rsidR="00F47D07" w:rsidRDefault="00D32A40" w:rsidP="00FF0B61">
      <w:pPr>
        <w:pStyle w:val="ListParagraph"/>
        <w:numPr>
          <w:ilvl w:val="1"/>
          <w:numId w:val="89"/>
        </w:numPr>
        <w:spacing w:after="0"/>
        <w:ind w:left="1080"/>
        <w:textAlignment w:val="center"/>
        <w:rPr>
          <w:rFonts w:eastAsia="Times New Roman" w:cs="Times New Roman"/>
          <w:lang w:eastAsia="en-CA"/>
        </w:rPr>
      </w:pPr>
      <w:r>
        <w:rPr>
          <w:rFonts w:eastAsia="Times New Roman" w:cs="Times New Roman"/>
          <w:lang w:eastAsia="en-CA"/>
        </w:rPr>
        <w:t xml:space="preserve">Must have </w:t>
      </w:r>
      <w:r>
        <w:rPr>
          <w:rFonts w:eastAsia="Times New Roman" w:cs="Times New Roman"/>
          <w:b/>
          <w:lang w:eastAsia="en-CA"/>
        </w:rPr>
        <w:t xml:space="preserve">“Sufficient Information” </w:t>
      </w:r>
      <w:r>
        <w:rPr>
          <w:rFonts w:eastAsia="Times New Roman" w:cs="Times New Roman"/>
          <w:lang w:eastAsia="en-CA"/>
        </w:rPr>
        <w:t xml:space="preserve">regarding the following </w:t>
      </w:r>
      <w:r w:rsidRPr="00670F45">
        <w:rPr>
          <w:rFonts w:eastAsia="Times New Roman" w:cs="Times New Roman"/>
          <w:u w:val="single"/>
          <w:lang w:eastAsia="en-CA"/>
        </w:rPr>
        <w:t xml:space="preserve">to fulfill </w:t>
      </w:r>
      <w:r w:rsidR="001F550C" w:rsidRPr="001F550C">
        <w:rPr>
          <w:rFonts w:eastAsia="Times New Roman" w:cs="Times New Roman"/>
          <w:b/>
          <w:u w:val="single"/>
          <w:lang w:eastAsia="en-CA"/>
        </w:rPr>
        <w:t>SUITABILITY</w:t>
      </w:r>
      <w:r w:rsidR="001F550C" w:rsidRPr="001F550C">
        <w:rPr>
          <w:rFonts w:eastAsia="Times New Roman" w:cs="Times New Roman"/>
          <w:b/>
          <w:lang w:eastAsia="en-CA"/>
        </w:rPr>
        <w:t xml:space="preserve"> </w:t>
      </w:r>
      <w:r>
        <w:rPr>
          <w:rFonts w:eastAsia="Times New Roman" w:cs="Times New Roman"/>
          <w:lang w:eastAsia="en-CA"/>
        </w:rPr>
        <w:t>(</w:t>
      </w:r>
      <w:r w:rsidRPr="00D32A40">
        <w:rPr>
          <w:rFonts w:eastAsia="Times New Roman" w:cs="Times New Roman"/>
          <w:b/>
          <w:color w:val="7030A0"/>
          <w:lang w:eastAsia="en-CA"/>
        </w:rPr>
        <w:t>s.13.2(c)</w:t>
      </w:r>
      <w:r>
        <w:rPr>
          <w:rFonts w:eastAsia="Times New Roman" w:cs="Times New Roman"/>
          <w:b/>
          <w:lang w:eastAsia="en-CA"/>
        </w:rPr>
        <w:t>)</w:t>
      </w:r>
      <w:r>
        <w:rPr>
          <w:rFonts w:eastAsia="Times New Roman" w:cs="Times New Roman"/>
          <w:lang w:eastAsia="en-CA"/>
        </w:rPr>
        <w:t>:</w:t>
      </w:r>
    </w:p>
    <w:p w:rsidR="00D32A40" w:rsidRPr="00670F45" w:rsidRDefault="00B36CD1" w:rsidP="00FF0B61">
      <w:pPr>
        <w:pStyle w:val="ListParagraph"/>
        <w:numPr>
          <w:ilvl w:val="2"/>
          <w:numId w:val="90"/>
        </w:numPr>
        <w:spacing w:after="0"/>
        <w:ind w:left="1800"/>
        <w:textAlignment w:val="center"/>
        <w:rPr>
          <w:rFonts w:eastAsia="Times New Roman" w:cs="Times New Roman"/>
          <w:lang w:eastAsia="en-CA"/>
        </w:rPr>
      </w:pPr>
      <w:r w:rsidRPr="00906B7F">
        <w:rPr>
          <w:rFonts w:eastAsia="Times New Roman" w:cs="Times New Roman"/>
          <w:b/>
          <w:lang w:eastAsia="en-CA"/>
        </w:rPr>
        <w:t>i)</w:t>
      </w:r>
      <w:r>
        <w:rPr>
          <w:rFonts w:eastAsia="Times New Roman" w:cs="Times New Roman"/>
          <w:lang w:eastAsia="en-CA"/>
        </w:rPr>
        <w:t xml:space="preserve"> </w:t>
      </w:r>
      <w:r w:rsidR="00D32A40" w:rsidRPr="00670F45">
        <w:rPr>
          <w:rFonts w:eastAsia="Times New Roman" w:cs="Times New Roman"/>
          <w:lang w:eastAsia="en-CA"/>
        </w:rPr>
        <w:t>Client’s investment needs and objectives</w:t>
      </w:r>
      <w:r w:rsidR="00C16819">
        <w:rPr>
          <w:rFonts w:eastAsia="Times New Roman" w:cs="Times New Roman"/>
          <w:lang w:eastAsia="en-CA"/>
        </w:rPr>
        <w:t>;</w:t>
      </w:r>
    </w:p>
    <w:p w:rsidR="00D32A40" w:rsidRPr="00670F45" w:rsidRDefault="00B36CD1" w:rsidP="00FF0B61">
      <w:pPr>
        <w:pStyle w:val="ListParagraph"/>
        <w:numPr>
          <w:ilvl w:val="2"/>
          <w:numId w:val="90"/>
        </w:numPr>
        <w:spacing w:after="0"/>
        <w:ind w:left="1800"/>
        <w:textAlignment w:val="center"/>
        <w:rPr>
          <w:rFonts w:eastAsia="Times New Roman" w:cs="Times New Roman"/>
          <w:lang w:eastAsia="en-CA"/>
        </w:rPr>
      </w:pPr>
      <w:r w:rsidRPr="00906B7F">
        <w:rPr>
          <w:rFonts w:eastAsia="Times New Roman" w:cs="Times New Roman"/>
          <w:b/>
          <w:lang w:eastAsia="en-CA"/>
        </w:rPr>
        <w:t>ii)</w:t>
      </w:r>
      <w:r>
        <w:rPr>
          <w:rFonts w:eastAsia="Times New Roman" w:cs="Times New Roman"/>
          <w:lang w:eastAsia="en-CA"/>
        </w:rPr>
        <w:t xml:space="preserve"> </w:t>
      </w:r>
      <w:r w:rsidR="00D32A40" w:rsidRPr="00670F45">
        <w:rPr>
          <w:rFonts w:eastAsia="Times New Roman" w:cs="Times New Roman"/>
          <w:lang w:eastAsia="en-CA"/>
        </w:rPr>
        <w:t>Client’s financial circumstances;</w:t>
      </w:r>
    </w:p>
    <w:p w:rsidR="00D32A40" w:rsidRDefault="00B36CD1" w:rsidP="00FF0B61">
      <w:pPr>
        <w:pStyle w:val="ListParagraph"/>
        <w:numPr>
          <w:ilvl w:val="2"/>
          <w:numId w:val="90"/>
        </w:numPr>
        <w:spacing w:after="0"/>
        <w:ind w:left="1800"/>
        <w:textAlignment w:val="center"/>
        <w:rPr>
          <w:rFonts w:eastAsia="Times New Roman" w:cs="Times New Roman"/>
          <w:lang w:eastAsia="en-CA"/>
        </w:rPr>
      </w:pPr>
      <w:r w:rsidRPr="00906B7F">
        <w:rPr>
          <w:rFonts w:eastAsia="Times New Roman" w:cs="Times New Roman"/>
          <w:b/>
          <w:lang w:eastAsia="en-CA"/>
        </w:rPr>
        <w:t>iii)</w:t>
      </w:r>
      <w:r>
        <w:rPr>
          <w:rFonts w:eastAsia="Times New Roman" w:cs="Times New Roman"/>
          <w:lang w:eastAsia="en-CA"/>
        </w:rPr>
        <w:t xml:space="preserve"> </w:t>
      </w:r>
      <w:r w:rsidR="00D32A40" w:rsidRPr="00670F45">
        <w:rPr>
          <w:rFonts w:eastAsia="Times New Roman" w:cs="Times New Roman"/>
          <w:lang w:eastAsia="en-CA"/>
        </w:rPr>
        <w:t>Client’s risk tolerance</w:t>
      </w:r>
      <w:r w:rsidR="00C16819">
        <w:rPr>
          <w:rFonts w:eastAsia="Times New Roman" w:cs="Times New Roman"/>
          <w:lang w:eastAsia="en-CA"/>
        </w:rPr>
        <w:t>.</w:t>
      </w:r>
    </w:p>
    <w:p w:rsidR="00A46226" w:rsidRPr="007A3269" w:rsidRDefault="00A46226" w:rsidP="00FF0B61">
      <w:pPr>
        <w:pStyle w:val="ListParagraph"/>
        <w:numPr>
          <w:ilvl w:val="1"/>
          <w:numId w:val="90"/>
        </w:numPr>
        <w:spacing w:after="0"/>
        <w:ind w:left="1080"/>
        <w:textAlignment w:val="center"/>
        <w:rPr>
          <w:rFonts w:eastAsia="Times New Roman" w:cs="Times New Roman"/>
          <w:lang w:eastAsia="en-CA"/>
        </w:rPr>
      </w:pPr>
      <w:r w:rsidRPr="00A46226">
        <w:rPr>
          <w:rFonts w:eastAsia="Times New Roman" w:cs="Times New Roman"/>
          <w:lang w:eastAsia="en-CA"/>
        </w:rPr>
        <w:t xml:space="preserve">Must take reasonable steps to keep the </w:t>
      </w:r>
      <w:r w:rsidRPr="00A46226">
        <w:rPr>
          <w:rFonts w:eastAsia="Times New Roman" w:cs="Times New Roman"/>
          <w:b/>
          <w:u w:val="single"/>
          <w:lang w:eastAsia="en-CA"/>
        </w:rPr>
        <w:t>information current</w:t>
      </w:r>
      <w:r>
        <w:rPr>
          <w:rFonts w:eastAsia="Times New Roman" w:cs="Times New Roman"/>
          <w:b/>
          <w:lang w:eastAsia="en-CA"/>
        </w:rPr>
        <w:t xml:space="preserve"> (</w:t>
      </w:r>
      <w:r w:rsidRPr="00A46226">
        <w:rPr>
          <w:rFonts w:eastAsia="Times New Roman" w:cs="Times New Roman"/>
          <w:b/>
          <w:color w:val="7030A0"/>
          <w:lang w:eastAsia="en-CA"/>
        </w:rPr>
        <w:t>s.13.2(4))</w:t>
      </w:r>
    </w:p>
    <w:p w:rsidR="007A3269" w:rsidRPr="00452CCD" w:rsidRDefault="007A3269" w:rsidP="00FF0B61">
      <w:pPr>
        <w:pStyle w:val="ListParagraph"/>
        <w:numPr>
          <w:ilvl w:val="1"/>
          <w:numId w:val="90"/>
        </w:numPr>
        <w:spacing w:after="0"/>
        <w:ind w:left="1080"/>
        <w:textAlignment w:val="center"/>
        <w:rPr>
          <w:rFonts w:eastAsia="Times New Roman" w:cs="Times New Roman"/>
          <w:lang w:eastAsia="en-CA"/>
        </w:rPr>
      </w:pPr>
      <w:r w:rsidRPr="007A3269">
        <w:rPr>
          <w:rFonts w:eastAsia="Times New Roman" w:cs="Times New Roman"/>
          <w:b/>
          <w:lang w:eastAsia="en-CA"/>
        </w:rPr>
        <w:t xml:space="preserve">For Corporate Client: </w:t>
      </w:r>
      <w:r>
        <w:rPr>
          <w:rFonts w:eastAsia="Times New Roman" w:cs="Times New Roman"/>
          <w:lang w:eastAsia="en-CA"/>
        </w:rPr>
        <w:t>KYC rule entails understanding the company’</w:t>
      </w:r>
      <w:r w:rsidR="00B92580">
        <w:rPr>
          <w:rFonts w:eastAsia="Times New Roman" w:cs="Times New Roman"/>
          <w:lang w:eastAsia="en-CA"/>
        </w:rPr>
        <w:t>s biz and i</w:t>
      </w:r>
      <w:r w:rsidR="004D4523">
        <w:rPr>
          <w:rFonts w:eastAsia="Times New Roman" w:cs="Times New Roman"/>
          <w:lang w:eastAsia="en-CA"/>
        </w:rPr>
        <w:t>dentifying</w:t>
      </w:r>
      <w:r>
        <w:rPr>
          <w:rFonts w:eastAsia="Times New Roman" w:cs="Times New Roman"/>
          <w:lang w:eastAsia="en-CA"/>
        </w:rPr>
        <w:t xml:space="preserve"> whether any SH’s own or control more than 25% of the company’s voting security (</w:t>
      </w:r>
      <w:r w:rsidRPr="007A3269">
        <w:rPr>
          <w:rFonts w:eastAsia="Times New Roman" w:cs="Times New Roman"/>
          <w:b/>
          <w:color w:val="7030A0"/>
          <w:lang w:eastAsia="en-CA"/>
        </w:rPr>
        <w:t>s.13.2(3)</w:t>
      </w:r>
      <w:r>
        <w:rPr>
          <w:rFonts w:eastAsia="Times New Roman" w:cs="Times New Roman"/>
          <w:b/>
          <w:lang w:eastAsia="en-CA"/>
        </w:rPr>
        <w:t>)</w:t>
      </w:r>
    </w:p>
    <w:p w:rsidR="00FE6C71" w:rsidRPr="00D926E8" w:rsidRDefault="00FE6C71" w:rsidP="00FF0B61">
      <w:pPr>
        <w:pStyle w:val="ListParagraph"/>
        <w:numPr>
          <w:ilvl w:val="0"/>
          <w:numId w:val="90"/>
        </w:numPr>
        <w:spacing w:after="0"/>
        <w:ind w:left="360"/>
        <w:textAlignment w:val="center"/>
        <w:rPr>
          <w:rFonts w:eastAsia="Times New Roman" w:cs="Times New Roman"/>
          <w:lang w:eastAsia="en-CA"/>
        </w:rPr>
      </w:pPr>
      <w:r w:rsidRPr="00D926E8">
        <w:rPr>
          <w:rFonts w:eastAsia="Times New Roman" w:cs="Times New Roman"/>
          <w:b/>
          <w:u w:val="single"/>
          <w:lang w:eastAsia="en-CA"/>
        </w:rPr>
        <w:t>KYP:</w:t>
      </w:r>
      <w:r w:rsidRPr="00D926E8">
        <w:rPr>
          <w:rFonts w:eastAsia="Times New Roman" w:cs="Times New Roman"/>
          <w:b/>
          <w:lang w:eastAsia="en-CA"/>
        </w:rPr>
        <w:t xml:space="preserve"> Know Your Produ</w:t>
      </w:r>
      <w:r w:rsidR="00452CCD" w:rsidRPr="00D926E8">
        <w:rPr>
          <w:rFonts w:eastAsia="Times New Roman" w:cs="Times New Roman"/>
          <w:b/>
          <w:lang w:eastAsia="en-CA"/>
        </w:rPr>
        <w:t>ct:</w:t>
      </w:r>
    </w:p>
    <w:p w:rsidR="00D926E8" w:rsidRPr="00371C3B" w:rsidRDefault="00371C3B" w:rsidP="00FF0B61">
      <w:pPr>
        <w:pStyle w:val="ListParagraph"/>
        <w:numPr>
          <w:ilvl w:val="1"/>
          <w:numId w:val="90"/>
        </w:numPr>
        <w:spacing w:after="0"/>
        <w:ind w:left="1080"/>
        <w:textAlignment w:val="center"/>
        <w:rPr>
          <w:rFonts w:eastAsia="Times New Roman" w:cs="Times New Roman"/>
          <w:lang w:eastAsia="en-CA"/>
        </w:rPr>
      </w:pPr>
      <w:r w:rsidRPr="00371C3B">
        <w:rPr>
          <w:rFonts w:eastAsia="Times New Roman" w:cs="Times New Roman"/>
          <w:lang w:eastAsia="en-CA"/>
        </w:rPr>
        <w:t xml:space="preserve">Individual must understand “the </w:t>
      </w:r>
      <w:r w:rsidRPr="00371C3B">
        <w:rPr>
          <w:rFonts w:eastAsia="Times New Roman" w:cs="Times New Roman"/>
          <w:b/>
          <w:i/>
          <w:lang w:eastAsia="en-CA"/>
        </w:rPr>
        <w:t>structure, features and risks</w:t>
      </w:r>
      <w:r w:rsidRPr="00371C3B">
        <w:rPr>
          <w:rFonts w:eastAsia="Times New Roman" w:cs="Times New Roman"/>
          <w:lang w:eastAsia="en-CA"/>
        </w:rPr>
        <w:t xml:space="preserve"> of each security”</w:t>
      </w:r>
      <w:r>
        <w:rPr>
          <w:rFonts w:eastAsia="Times New Roman" w:cs="Times New Roman"/>
          <w:lang w:eastAsia="en-CA"/>
        </w:rPr>
        <w:t xml:space="preserve"> </w:t>
      </w:r>
      <w:r w:rsidRPr="00371C3B">
        <w:rPr>
          <w:rFonts w:eastAsia="Times New Roman" w:cs="Times New Roman"/>
          <w:color w:val="7030A0"/>
          <w:lang w:eastAsia="en-CA"/>
        </w:rPr>
        <w:t>(</w:t>
      </w:r>
      <w:r w:rsidR="002F7997" w:rsidRPr="00FA0D41">
        <w:rPr>
          <w:rFonts w:eastAsia="Times New Roman" w:cs="Times New Roman"/>
          <w:b/>
          <w:color w:val="7030A0"/>
          <w:lang w:eastAsia="en-CA"/>
        </w:rPr>
        <w:t xml:space="preserve">NI 31-103 </w:t>
      </w:r>
      <w:r w:rsidRPr="00371C3B">
        <w:rPr>
          <w:rFonts w:eastAsia="Times New Roman" w:cs="Times New Roman"/>
          <w:b/>
          <w:color w:val="7030A0"/>
          <w:lang w:eastAsia="en-CA"/>
        </w:rPr>
        <w:t>s.3.4</w:t>
      </w:r>
      <w:r>
        <w:rPr>
          <w:rFonts w:eastAsia="Times New Roman" w:cs="Times New Roman"/>
          <w:b/>
          <w:lang w:eastAsia="en-CA"/>
        </w:rPr>
        <w:t>)</w:t>
      </w:r>
    </w:p>
    <w:p w:rsidR="00D325A4" w:rsidRPr="00D325A4" w:rsidRDefault="00371C3B" w:rsidP="00FF0B61">
      <w:pPr>
        <w:pStyle w:val="ListParagraph"/>
        <w:numPr>
          <w:ilvl w:val="1"/>
          <w:numId w:val="90"/>
        </w:numPr>
        <w:spacing w:after="0"/>
        <w:ind w:left="1080"/>
        <w:textAlignment w:val="center"/>
        <w:rPr>
          <w:rFonts w:eastAsia="Times New Roman" w:cs="Times New Roman"/>
          <w:lang w:eastAsia="en-CA"/>
        </w:rPr>
      </w:pPr>
      <w:r>
        <w:rPr>
          <w:rFonts w:eastAsia="Times New Roman" w:cs="Times New Roman"/>
          <w:b/>
          <w:lang w:eastAsia="en-CA"/>
        </w:rPr>
        <w:t>Registrants Must</w:t>
      </w:r>
      <w:r w:rsidR="00101F19">
        <w:rPr>
          <w:rFonts w:eastAsia="Times New Roman" w:cs="Times New Roman"/>
          <w:b/>
          <w:lang w:eastAsia="en-CA"/>
        </w:rPr>
        <w:t xml:space="preserve"> (“Suitability”)</w:t>
      </w:r>
      <w:r>
        <w:rPr>
          <w:rFonts w:eastAsia="Times New Roman" w:cs="Times New Roman"/>
          <w:b/>
          <w:lang w:eastAsia="en-CA"/>
        </w:rPr>
        <w:t xml:space="preserve">: </w:t>
      </w:r>
    </w:p>
    <w:p w:rsidR="001F5070" w:rsidRPr="00D325A4" w:rsidRDefault="00371C3B" w:rsidP="00FF0B61">
      <w:pPr>
        <w:pStyle w:val="ListParagraph"/>
        <w:numPr>
          <w:ilvl w:val="2"/>
          <w:numId w:val="90"/>
        </w:numPr>
        <w:spacing w:after="0"/>
        <w:ind w:left="1800"/>
        <w:textAlignment w:val="center"/>
        <w:rPr>
          <w:rFonts w:eastAsia="Times New Roman" w:cs="Times New Roman"/>
          <w:lang w:eastAsia="en-CA"/>
        </w:rPr>
      </w:pPr>
      <w:r>
        <w:rPr>
          <w:rFonts w:eastAsia="Times New Roman" w:cs="Times New Roman"/>
          <w:lang w:eastAsia="en-CA"/>
        </w:rPr>
        <w:t xml:space="preserve">Before they make a recommendation to a client, or accept instructions to buy or sell a security, take </w:t>
      </w:r>
      <w:r w:rsidR="009A7C5F" w:rsidRPr="00D325A4">
        <w:rPr>
          <w:rFonts w:eastAsia="Times New Roman" w:cs="Times New Roman"/>
          <w:u w:val="single"/>
          <w:lang w:eastAsia="en-CA"/>
        </w:rPr>
        <w:t>reasonable</w:t>
      </w:r>
      <w:r w:rsidRPr="00D325A4">
        <w:rPr>
          <w:rFonts w:eastAsia="Times New Roman" w:cs="Times New Roman"/>
          <w:u w:val="single"/>
          <w:lang w:eastAsia="en-CA"/>
        </w:rPr>
        <w:t xml:space="preserve"> steps to </w:t>
      </w:r>
      <w:r w:rsidR="009A7C5F" w:rsidRPr="00D325A4">
        <w:rPr>
          <w:rFonts w:eastAsia="Times New Roman" w:cs="Times New Roman"/>
          <w:u w:val="single"/>
          <w:lang w:eastAsia="en-CA"/>
        </w:rPr>
        <w:t>ensure</w:t>
      </w:r>
      <w:r w:rsidRPr="00D325A4">
        <w:rPr>
          <w:rFonts w:eastAsia="Times New Roman" w:cs="Times New Roman"/>
          <w:u w:val="single"/>
          <w:lang w:eastAsia="en-CA"/>
        </w:rPr>
        <w:t xml:space="preserve"> that the purchase or sale is suitable for the client</w:t>
      </w:r>
      <w:r w:rsidRPr="001F5070">
        <w:rPr>
          <w:rFonts w:eastAsia="Times New Roman" w:cs="Times New Roman"/>
          <w:lang w:eastAsia="en-CA"/>
        </w:rPr>
        <w:t xml:space="preserve"> (</w:t>
      </w:r>
      <w:r w:rsidR="002866FC" w:rsidRPr="002866FC">
        <w:rPr>
          <w:rFonts w:eastAsia="Times New Roman" w:cs="Times New Roman"/>
          <w:b/>
          <w:color w:val="7030A0"/>
          <w:lang w:eastAsia="en-CA"/>
        </w:rPr>
        <w:t>13.3(1);</w:t>
      </w:r>
      <w:r w:rsidR="002866FC" w:rsidRPr="002866FC">
        <w:rPr>
          <w:rFonts w:eastAsia="Times New Roman" w:cs="Times New Roman"/>
          <w:color w:val="7030A0"/>
          <w:lang w:eastAsia="en-CA"/>
        </w:rPr>
        <w:t xml:space="preserve"> </w:t>
      </w:r>
      <w:r w:rsidR="001F5070" w:rsidRPr="001F5070">
        <w:rPr>
          <w:rFonts w:eastAsia="Times New Roman" w:cs="Times New Roman"/>
          <w:b/>
          <w:i/>
          <w:color w:val="1006E0"/>
          <w:lang w:eastAsia="en-CA"/>
        </w:rPr>
        <w:t>Re Veerbeek</w:t>
      </w:r>
      <w:r w:rsidR="001F5070" w:rsidRPr="001F5070">
        <w:rPr>
          <w:rFonts w:eastAsia="Times New Roman" w:cs="Times New Roman"/>
          <w:b/>
          <w:color w:val="1006E0"/>
          <w:lang w:eastAsia="en-CA"/>
        </w:rPr>
        <w:t xml:space="preserve"> 2005 OSC</w:t>
      </w:r>
      <w:r w:rsidR="004B4337">
        <w:rPr>
          <w:rFonts w:eastAsia="Times New Roman" w:cs="Times New Roman"/>
          <w:lang w:eastAsia="en-CA"/>
        </w:rPr>
        <w:t xml:space="preserve"> -</w:t>
      </w:r>
      <w:r w:rsidR="001F5070" w:rsidRPr="001F5070">
        <w:rPr>
          <w:rFonts w:eastAsia="Times New Roman" w:cs="Times New Roman"/>
          <w:lang w:eastAsia="en-CA"/>
        </w:rPr>
        <w:t xml:space="preserve"> </w:t>
      </w:r>
      <w:r w:rsidR="001F5070" w:rsidRPr="004B4337">
        <w:rPr>
          <w:rFonts w:eastAsia="Times New Roman" w:cs="Times New Roman"/>
          <w:i/>
          <w:lang w:eastAsia="en-CA"/>
        </w:rPr>
        <w:t>the compliance standard is reasonableness or higher</w:t>
      </w:r>
      <w:r w:rsidR="001F5070" w:rsidRPr="001F5070">
        <w:rPr>
          <w:rFonts w:eastAsia="Times New Roman" w:cs="Times New Roman"/>
          <w:lang w:eastAsia="en-CA"/>
        </w:rPr>
        <w:t>)</w:t>
      </w:r>
    </w:p>
    <w:p w:rsidR="001F5070" w:rsidRDefault="00D325A4" w:rsidP="00FF0B61">
      <w:pPr>
        <w:pStyle w:val="ListParagraph"/>
        <w:numPr>
          <w:ilvl w:val="2"/>
          <w:numId w:val="90"/>
        </w:numPr>
        <w:spacing w:after="0"/>
        <w:ind w:left="1800"/>
        <w:textAlignment w:val="center"/>
        <w:rPr>
          <w:rFonts w:eastAsia="Times New Roman" w:cs="Times New Roman"/>
          <w:lang w:eastAsia="en-CA"/>
        </w:rPr>
      </w:pPr>
      <w:r>
        <w:rPr>
          <w:rFonts w:eastAsia="Times New Roman" w:cs="Times New Roman"/>
          <w:lang w:eastAsia="en-CA"/>
        </w:rPr>
        <w:t>Advise their</w:t>
      </w:r>
      <w:r w:rsidR="00274937">
        <w:rPr>
          <w:rFonts w:eastAsia="Times New Roman" w:cs="Times New Roman"/>
          <w:lang w:eastAsia="en-CA"/>
        </w:rPr>
        <w:t xml:space="preserve"> client that the security</w:t>
      </w:r>
      <w:r w:rsidR="001F5070" w:rsidRPr="001F5070">
        <w:rPr>
          <w:rFonts w:eastAsia="Times New Roman" w:cs="Times New Roman"/>
          <w:lang w:eastAsia="en-CA"/>
        </w:rPr>
        <w:t xml:space="preserve"> is </w:t>
      </w:r>
      <w:r w:rsidR="001F5070" w:rsidRPr="001F5070">
        <w:rPr>
          <w:rFonts w:eastAsia="Times New Roman" w:cs="Times New Roman"/>
          <w:b/>
          <w:u w:val="single"/>
          <w:lang w:eastAsia="en-CA"/>
        </w:rPr>
        <w:t>not suitable</w:t>
      </w:r>
      <w:r w:rsidR="001F5070" w:rsidRPr="001F5070">
        <w:rPr>
          <w:rFonts w:eastAsia="Times New Roman" w:cs="Times New Roman"/>
          <w:lang w:eastAsia="en-CA"/>
        </w:rPr>
        <w:t xml:space="preserve">, and cannot buy or sell in that security </w:t>
      </w:r>
      <w:r w:rsidR="001F5070" w:rsidRPr="001F5070">
        <w:rPr>
          <w:rFonts w:eastAsia="Times New Roman" w:cs="Times New Roman"/>
          <w:b/>
          <w:u w:val="single"/>
          <w:lang w:eastAsia="en-CA"/>
        </w:rPr>
        <w:t>unless client insists</w:t>
      </w:r>
      <w:r w:rsidR="001F5070">
        <w:rPr>
          <w:rFonts w:eastAsia="Times New Roman" w:cs="Times New Roman"/>
          <w:lang w:eastAsia="en-CA"/>
        </w:rPr>
        <w:t xml:space="preserve"> (</w:t>
      </w:r>
      <w:r w:rsidR="001F5070" w:rsidRPr="001F5070">
        <w:rPr>
          <w:rFonts w:eastAsia="Times New Roman" w:cs="Times New Roman"/>
          <w:b/>
          <w:color w:val="7030A0"/>
          <w:lang w:eastAsia="en-CA"/>
        </w:rPr>
        <w:t>s.13.3(2)</w:t>
      </w:r>
      <w:r w:rsidR="001F5070">
        <w:rPr>
          <w:rFonts w:eastAsia="Times New Roman" w:cs="Times New Roman"/>
          <w:lang w:eastAsia="en-CA"/>
        </w:rPr>
        <w:t>)</w:t>
      </w:r>
    </w:p>
    <w:p w:rsidR="001F5070" w:rsidRPr="007F3F1A" w:rsidRDefault="001F5070" w:rsidP="00FF0B61">
      <w:pPr>
        <w:pStyle w:val="ListParagraph"/>
        <w:numPr>
          <w:ilvl w:val="2"/>
          <w:numId w:val="90"/>
        </w:numPr>
        <w:spacing w:after="0"/>
        <w:ind w:left="1800"/>
        <w:textAlignment w:val="center"/>
        <w:rPr>
          <w:rFonts w:eastAsia="Times New Roman" w:cs="Times New Roman"/>
          <w:lang w:eastAsia="en-CA"/>
        </w:rPr>
      </w:pPr>
      <w:r w:rsidRPr="001F5070">
        <w:rPr>
          <w:rFonts w:eastAsia="Times New Roman" w:cs="Times New Roman"/>
          <w:i/>
          <w:lang w:eastAsia="en-CA"/>
        </w:rPr>
        <w:t>s. 3.16 exempts dealer representatives from IIROC and MFDA from this section if they follow SRO rules</w:t>
      </w:r>
    </w:p>
    <w:p w:rsidR="007F3F1A" w:rsidRPr="009347B3" w:rsidRDefault="007F3F1A" w:rsidP="00FF0B61">
      <w:pPr>
        <w:pStyle w:val="ListParagraph"/>
        <w:spacing w:after="0"/>
        <w:ind w:left="2160"/>
        <w:textAlignment w:val="center"/>
        <w:rPr>
          <w:rFonts w:eastAsia="Times New Roman" w:cs="Times New Roman"/>
          <w:lang w:eastAsia="en-CA"/>
        </w:rPr>
      </w:pPr>
    </w:p>
    <w:p w:rsidR="00D926E8" w:rsidRPr="007F3F1A" w:rsidRDefault="007F3F1A" w:rsidP="00FF0B61">
      <w:pPr>
        <w:spacing w:after="0" w:line="240" w:lineRule="auto"/>
        <w:jc w:val="both"/>
        <w:rPr>
          <w:rFonts w:cs="Times New Roman"/>
          <w:b/>
          <w:szCs w:val="28"/>
          <w:lang w:val="en-CA"/>
        </w:rPr>
      </w:pPr>
      <w:r w:rsidRPr="00F8146C">
        <w:rPr>
          <w:rFonts w:cs="Times New Roman"/>
          <w:b/>
          <w:szCs w:val="28"/>
          <w:u w:val="single"/>
        </w:rPr>
        <w:t>POLICY</w:t>
      </w:r>
      <w:r w:rsidRPr="00BA5E45">
        <w:rPr>
          <w:rFonts w:cs="Times New Roman"/>
          <w:b/>
          <w:szCs w:val="28"/>
        </w:rPr>
        <w:t xml:space="preserve">: </w:t>
      </w:r>
      <w:r w:rsidR="009347B3" w:rsidRPr="00BA5E45">
        <w:rPr>
          <w:rFonts w:cs="Times New Roman"/>
          <w:b/>
          <w:i/>
          <w:szCs w:val="28"/>
        </w:rPr>
        <w:t xml:space="preserve">Alternative </w:t>
      </w:r>
      <w:r w:rsidR="009347B3" w:rsidRPr="00F8146C">
        <w:rPr>
          <w:rFonts w:cs="Times New Roman"/>
          <w:b/>
          <w:i/>
          <w:szCs w:val="28"/>
        </w:rPr>
        <w:t>to Suitability</w:t>
      </w:r>
      <w:r w:rsidR="009347B3" w:rsidRPr="00F8146C">
        <w:rPr>
          <w:rFonts w:cs="Times New Roman"/>
          <w:b/>
          <w:szCs w:val="28"/>
        </w:rPr>
        <w:t xml:space="preserve"> – “best interest of the client”</w:t>
      </w:r>
      <w:r w:rsidR="00441387" w:rsidRPr="00F8146C">
        <w:rPr>
          <w:rFonts w:cs="Times New Roman"/>
          <w:b/>
          <w:szCs w:val="28"/>
        </w:rPr>
        <w:t xml:space="preserve">. </w:t>
      </w:r>
      <w:r w:rsidR="008D71B8" w:rsidRPr="00F8146C">
        <w:rPr>
          <w:rFonts w:cs="Times New Roman"/>
          <w:szCs w:val="28"/>
        </w:rPr>
        <w:t xml:space="preserve">Reforms would include a </w:t>
      </w:r>
      <w:r w:rsidR="008D71B8" w:rsidRPr="00F8146C">
        <w:rPr>
          <w:rFonts w:cs="Times New Roman"/>
          <w:bCs/>
          <w:szCs w:val="28"/>
        </w:rPr>
        <w:t xml:space="preserve">statutory duty </w:t>
      </w:r>
      <w:r w:rsidR="008D71B8" w:rsidRPr="00F8146C">
        <w:rPr>
          <w:rFonts w:cs="Times New Roman"/>
          <w:szCs w:val="28"/>
        </w:rPr>
        <w:t>for dealers and their individual registrants or financial advisors to act in their clie</w:t>
      </w:r>
      <w:r w:rsidR="00441387" w:rsidRPr="00F8146C">
        <w:rPr>
          <w:rFonts w:cs="Times New Roman"/>
          <w:szCs w:val="28"/>
        </w:rPr>
        <w:t>nt’s</w:t>
      </w:r>
      <w:r w:rsidR="00441387" w:rsidRPr="007F3F1A">
        <w:rPr>
          <w:rFonts w:cs="Times New Roman"/>
          <w:szCs w:val="28"/>
        </w:rPr>
        <w:t xml:space="preserve"> best interest. </w:t>
      </w:r>
      <w:r w:rsidR="008D71B8" w:rsidRPr="007F3F1A">
        <w:rPr>
          <w:rFonts w:cs="Times New Roman"/>
          <w:szCs w:val="28"/>
        </w:rPr>
        <w:t xml:space="preserve">Advice should be </w:t>
      </w:r>
      <w:r w:rsidR="008D71B8" w:rsidRPr="007F3F1A">
        <w:rPr>
          <w:rFonts w:cs="Times New Roman"/>
          <w:bCs/>
          <w:szCs w:val="28"/>
        </w:rPr>
        <w:t>objective, proficient, free from conflicts</w:t>
      </w:r>
      <w:r w:rsidR="008D71B8" w:rsidRPr="007F3F1A">
        <w:rPr>
          <w:rFonts w:cs="Times New Roman"/>
          <w:szCs w:val="28"/>
        </w:rPr>
        <w:t xml:space="preserve"> and focused on what’s best for the investor, and not the advisor</w:t>
      </w:r>
    </w:p>
    <w:p w:rsidR="00441387" w:rsidRPr="00441387" w:rsidRDefault="00441387" w:rsidP="00FF0B61">
      <w:pPr>
        <w:pStyle w:val="ListParagraph"/>
        <w:spacing w:after="0"/>
        <w:jc w:val="both"/>
        <w:rPr>
          <w:rFonts w:cs="Times New Roman"/>
          <w:b/>
          <w:szCs w:val="28"/>
          <w:highlight w:val="yellow"/>
          <w:lang w:val="en-CA"/>
        </w:rPr>
      </w:pPr>
    </w:p>
    <w:p w:rsidR="0085104B" w:rsidRPr="003732F0" w:rsidRDefault="00036905" w:rsidP="00FF0B61">
      <w:pPr>
        <w:spacing w:after="0" w:line="240" w:lineRule="auto"/>
        <w:jc w:val="both"/>
        <w:rPr>
          <w:rFonts w:cs="Times New Roman"/>
          <w:b/>
          <w:szCs w:val="18"/>
        </w:rPr>
      </w:pPr>
      <w:r w:rsidRPr="00BB1755">
        <w:rPr>
          <w:rFonts w:cs="Times New Roman"/>
          <w:b/>
          <w:szCs w:val="18"/>
          <w:u w:val="single"/>
        </w:rPr>
        <w:t>CONFLICT OF INTEREST</w:t>
      </w:r>
      <w:r w:rsidRPr="003732F0">
        <w:rPr>
          <w:rFonts w:cs="Times New Roman"/>
          <w:b/>
          <w:szCs w:val="18"/>
        </w:rPr>
        <w:t xml:space="preserve">: </w:t>
      </w:r>
      <w:r w:rsidR="00BB7CC1" w:rsidRPr="003732F0">
        <w:rPr>
          <w:lang w:val="en-CA" w:eastAsia="en-CA"/>
        </w:rPr>
        <w:t>Registered firms must take reasonable steps to ID and respond to material conflicts of interest b/w the firm (including individual acting on its behalf) and clients</w:t>
      </w:r>
      <w:r w:rsidR="00A8498A" w:rsidRPr="003732F0">
        <w:rPr>
          <w:lang w:val="en-CA" w:eastAsia="en-CA"/>
        </w:rPr>
        <w:t xml:space="preserve">. Such conflicts </w:t>
      </w:r>
      <w:r w:rsidR="00A8498A" w:rsidRPr="003732F0">
        <w:rPr>
          <w:b/>
          <w:i/>
          <w:lang w:val="en-CA" w:eastAsia="en-CA"/>
        </w:rPr>
        <w:t>may be existing</w:t>
      </w:r>
      <w:r w:rsidR="00A8498A" w:rsidRPr="003732F0">
        <w:rPr>
          <w:lang w:val="en-CA" w:eastAsia="en-CA"/>
        </w:rPr>
        <w:t xml:space="preserve"> or </w:t>
      </w:r>
      <w:r w:rsidR="00A8498A" w:rsidRPr="003732F0">
        <w:rPr>
          <w:b/>
          <w:i/>
          <w:lang w:val="en-CA" w:eastAsia="en-CA"/>
        </w:rPr>
        <w:t>reasonably expect to arise</w:t>
      </w:r>
      <w:r w:rsidR="00BB7CC1" w:rsidRPr="003732F0">
        <w:rPr>
          <w:lang w:val="en-CA" w:eastAsia="en-CA"/>
        </w:rPr>
        <w:t xml:space="preserve"> (</w:t>
      </w:r>
      <w:r w:rsidR="00BB7CC1" w:rsidRPr="003732F0">
        <w:rPr>
          <w:b/>
          <w:color w:val="7030A0"/>
          <w:lang w:val="en-CA" w:eastAsia="en-CA"/>
        </w:rPr>
        <w:t>NI 31-103 s.13.4(1)(2)</w:t>
      </w:r>
      <w:r w:rsidR="00BB7CC1" w:rsidRPr="003732F0">
        <w:rPr>
          <w:lang w:val="en-CA" w:eastAsia="en-CA"/>
        </w:rPr>
        <w:t>)</w:t>
      </w:r>
    </w:p>
    <w:p w:rsidR="00557069" w:rsidRDefault="00557069" w:rsidP="00FF0B61">
      <w:pPr>
        <w:pStyle w:val="ListParagraph"/>
        <w:numPr>
          <w:ilvl w:val="0"/>
          <w:numId w:val="75"/>
        </w:numPr>
        <w:spacing w:after="120"/>
        <w:jc w:val="both"/>
        <w:rPr>
          <w:b/>
          <w:lang w:val="en-CA" w:eastAsia="en-CA"/>
        </w:rPr>
      </w:pPr>
      <w:r w:rsidRPr="00557069">
        <w:rPr>
          <w:b/>
          <w:lang w:val="en-CA" w:eastAsia="en-CA"/>
        </w:rPr>
        <w:t>Timeliness:</w:t>
      </w:r>
      <w:r>
        <w:rPr>
          <w:lang w:val="en-CA" w:eastAsia="en-CA"/>
        </w:rPr>
        <w:t xml:space="preserve"> </w:t>
      </w:r>
      <w:r w:rsidRPr="00557069">
        <w:rPr>
          <w:lang w:val="en-CA" w:eastAsia="en-CA"/>
        </w:rPr>
        <w:t>Registered firms and their representatives should disclose conflicts of interest to their clients before or at the time they recommend the transaction or provide the service that gives rise to the conflict</w:t>
      </w:r>
      <w:r>
        <w:rPr>
          <w:lang w:val="en-CA" w:eastAsia="en-CA"/>
        </w:rPr>
        <w:t xml:space="preserve"> (</w:t>
      </w:r>
      <w:r w:rsidRPr="00557069">
        <w:rPr>
          <w:b/>
          <w:color w:val="7030A0"/>
          <w:lang w:val="en-CA" w:eastAsia="en-CA"/>
        </w:rPr>
        <w:t>13.4 CP</w:t>
      </w:r>
      <w:r>
        <w:rPr>
          <w:b/>
          <w:lang w:val="en-CA" w:eastAsia="en-CA"/>
        </w:rPr>
        <w:t>)</w:t>
      </w:r>
    </w:p>
    <w:p w:rsidR="00E4352D" w:rsidRPr="003732F0" w:rsidRDefault="00E4352D" w:rsidP="00FF0B61">
      <w:pPr>
        <w:pStyle w:val="ListParagraph"/>
        <w:numPr>
          <w:ilvl w:val="0"/>
          <w:numId w:val="75"/>
        </w:numPr>
        <w:spacing w:after="120"/>
        <w:jc w:val="both"/>
        <w:rPr>
          <w:b/>
          <w:lang w:val="en-CA" w:eastAsia="en-CA"/>
        </w:rPr>
      </w:pPr>
      <w:r w:rsidRPr="003732F0">
        <w:rPr>
          <w:b/>
          <w:lang w:val="en-CA" w:eastAsia="en-CA"/>
        </w:rPr>
        <w:t xml:space="preserve">Responses to conflict: </w:t>
      </w:r>
      <w:r w:rsidRPr="003732F0">
        <w:rPr>
          <w:lang w:val="en-CA" w:eastAsia="en-CA"/>
        </w:rPr>
        <w:t>avoidance, control or disclosure (</w:t>
      </w:r>
      <w:r w:rsidRPr="003732F0">
        <w:rPr>
          <w:b/>
          <w:color w:val="7030A0"/>
          <w:lang w:val="en-CA" w:eastAsia="en-CA"/>
        </w:rPr>
        <w:t>31-103CP</w:t>
      </w:r>
      <w:r w:rsidRPr="003732F0">
        <w:rPr>
          <w:lang w:val="en-CA" w:eastAsia="en-CA"/>
        </w:rPr>
        <w:t>)</w:t>
      </w:r>
    </w:p>
    <w:p w:rsidR="0085104B" w:rsidRPr="006B51A8" w:rsidRDefault="0085104B" w:rsidP="00FF0B61">
      <w:pPr>
        <w:pStyle w:val="ListParagraph"/>
        <w:numPr>
          <w:ilvl w:val="1"/>
          <w:numId w:val="75"/>
        </w:numPr>
        <w:spacing w:after="120"/>
        <w:jc w:val="both"/>
        <w:rPr>
          <w:b/>
          <w:lang w:val="en-CA" w:eastAsia="en-CA"/>
        </w:rPr>
      </w:pPr>
      <w:r w:rsidRPr="003732F0">
        <w:rPr>
          <w:lang w:val="en-CA" w:eastAsia="en-CA"/>
        </w:rPr>
        <w:t xml:space="preserve">Primarily dealt w/ through disclosure. </w:t>
      </w:r>
      <w:r w:rsidR="00593FFC" w:rsidRPr="003732F0">
        <w:rPr>
          <w:lang w:val="en-CA" w:eastAsia="en-CA"/>
        </w:rPr>
        <w:t>T</w:t>
      </w:r>
      <w:r w:rsidRPr="003732F0">
        <w:rPr>
          <w:lang w:val="en-CA" w:eastAsia="en-CA"/>
        </w:rPr>
        <w:t xml:space="preserve">ell ppl about the conflict and sometimes respond by mitigating the conflict. </w:t>
      </w:r>
    </w:p>
    <w:p w:rsidR="00964D9B" w:rsidRDefault="006B51A8" w:rsidP="00FF0B61">
      <w:pPr>
        <w:pStyle w:val="ListParagraph"/>
        <w:numPr>
          <w:ilvl w:val="2"/>
          <w:numId w:val="75"/>
        </w:numPr>
        <w:spacing w:after="120"/>
        <w:jc w:val="both"/>
        <w:rPr>
          <w:b/>
          <w:lang w:val="en-CA" w:eastAsia="en-CA"/>
        </w:rPr>
      </w:pPr>
      <w:r>
        <w:rPr>
          <w:lang w:val="en-CA" w:eastAsia="en-CA"/>
        </w:rPr>
        <w:lastRenderedPageBreak/>
        <w:t xml:space="preserve">Registered firms should ensure that their clients are adequately informed about any conflicts of interest that may affect the services the firm provides to them. Including whether it involves any </w:t>
      </w:r>
      <w:r>
        <w:rPr>
          <w:b/>
          <w:i/>
          <w:lang w:val="en-CA" w:eastAsia="en-CA"/>
        </w:rPr>
        <w:t xml:space="preserve">connected </w:t>
      </w:r>
      <w:r>
        <w:rPr>
          <w:lang w:val="en-CA" w:eastAsia="en-CA"/>
        </w:rPr>
        <w:t xml:space="preserve">or </w:t>
      </w:r>
      <w:r>
        <w:rPr>
          <w:b/>
          <w:i/>
          <w:lang w:val="en-CA" w:eastAsia="en-CA"/>
        </w:rPr>
        <w:t xml:space="preserve">related </w:t>
      </w:r>
      <w:r w:rsidR="00964D9B">
        <w:rPr>
          <w:lang w:val="en-CA" w:eastAsia="en-CA"/>
        </w:rPr>
        <w:t>issuers (</w:t>
      </w:r>
      <w:r w:rsidR="00964D9B" w:rsidRPr="00964D9B">
        <w:rPr>
          <w:b/>
          <w:color w:val="7030A0"/>
          <w:lang w:val="en-CA" w:eastAsia="en-CA"/>
        </w:rPr>
        <w:t>s.13.4</w:t>
      </w:r>
      <w:r w:rsidR="00964D9B">
        <w:rPr>
          <w:b/>
          <w:color w:val="7030A0"/>
          <w:lang w:val="en-CA" w:eastAsia="en-CA"/>
        </w:rPr>
        <w:t xml:space="preserve"> CP</w:t>
      </w:r>
      <w:r w:rsidR="00964D9B">
        <w:rPr>
          <w:b/>
          <w:lang w:val="en-CA" w:eastAsia="en-CA"/>
        </w:rPr>
        <w:t>)</w:t>
      </w:r>
    </w:p>
    <w:p w:rsidR="00964D9B" w:rsidRPr="00964D9B" w:rsidRDefault="00964D9B" w:rsidP="00FF0B61">
      <w:pPr>
        <w:pStyle w:val="ListParagraph"/>
        <w:numPr>
          <w:ilvl w:val="2"/>
          <w:numId w:val="75"/>
        </w:numPr>
        <w:spacing w:after="120"/>
        <w:jc w:val="both"/>
        <w:rPr>
          <w:b/>
          <w:lang w:val="en-CA" w:eastAsia="en-CA"/>
        </w:rPr>
      </w:pPr>
      <w:r w:rsidRPr="00784C0C">
        <w:rPr>
          <w:rFonts w:cs="Times New Roman"/>
          <w:b/>
          <w:u w:val="single"/>
        </w:rPr>
        <w:t>Disclosure may not</w:t>
      </w:r>
      <w:r w:rsidRPr="00964D9B">
        <w:rPr>
          <w:rFonts w:cs="Times New Roman"/>
          <w:b/>
        </w:rPr>
        <w:t xml:space="preserve"> be appropriate </w:t>
      </w:r>
      <w:r w:rsidRPr="00EA346E">
        <w:rPr>
          <w:rFonts w:cs="Times New Roman"/>
          <w:b/>
        </w:rPr>
        <w:t>if a conflict of interest</w:t>
      </w:r>
      <w:r w:rsidRPr="00964D9B">
        <w:rPr>
          <w:rFonts w:cs="Times New Roman"/>
          <w:b/>
        </w:rPr>
        <w:t xml:space="preserve"> involves confidential or commercially sensitive information, or the information amounts to “inside information”</w:t>
      </w:r>
      <w:r w:rsidRPr="00964D9B">
        <w:rPr>
          <w:rFonts w:cs="Times New Roman"/>
        </w:rPr>
        <w:t xml:space="preserve"> under insider trading provisions in securities legislation. In these situations, registered firms will need to assess whether there are </w:t>
      </w:r>
      <w:r w:rsidRPr="00964D9B">
        <w:rPr>
          <w:rFonts w:cs="Times New Roman"/>
          <w:b/>
        </w:rPr>
        <w:t>other methods</w:t>
      </w:r>
      <w:r w:rsidRPr="00964D9B">
        <w:rPr>
          <w:rFonts w:cs="Times New Roman"/>
        </w:rPr>
        <w:t xml:space="preserve"> to adequately respond to the conflict of interest. If not, the firm </w:t>
      </w:r>
      <w:r w:rsidRPr="00964D9B">
        <w:rPr>
          <w:rFonts w:cs="Times New Roman"/>
          <w:b/>
        </w:rPr>
        <w:t>may have to decline</w:t>
      </w:r>
      <w:r w:rsidRPr="00964D9B">
        <w:rPr>
          <w:rFonts w:cs="Times New Roman"/>
        </w:rPr>
        <w:t xml:space="preserve"> to provide the service to</w:t>
      </w:r>
      <w:r>
        <w:rPr>
          <w:rFonts w:cs="Times New Roman"/>
        </w:rPr>
        <w:t xml:space="preserve"> avoid the conflict of interest </w:t>
      </w:r>
      <w:r>
        <w:rPr>
          <w:lang w:val="en-CA" w:eastAsia="en-CA"/>
        </w:rPr>
        <w:t>(</w:t>
      </w:r>
      <w:r w:rsidRPr="00964D9B">
        <w:rPr>
          <w:b/>
          <w:color w:val="7030A0"/>
          <w:lang w:val="en-CA" w:eastAsia="en-CA"/>
        </w:rPr>
        <w:t>s.13.4</w:t>
      </w:r>
      <w:r>
        <w:rPr>
          <w:b/>
          <w:color w:val="7030A0"/>
          <w:lang w:val="en-CA" w:eastAsia="en-CA"/>
        </w:rPr>
        <w:t xml:space="preserve"> CP</w:t>
      </w:r>
      <w:r>
        <w:rPr>
          <w:b/>
          <w:lang w:val="en-CA" w:eastAsia="en-CA"/>
        </w:rPr>
        <w:t>)</w:t>
      </w:r>
    </w:p>
    <w:p w:rsidR="00D357AD" w:rsidRDefault="00D357AD" w:rsidP="00FF0B61">
      <w:pPr>
        <w:pStyle w:val="ListParagraph"/>
        <w:numPr>
          <w:ilvl w:val="1"/>
          <w:numId w:val="75"/>
        </w:numPr>
        <w:spacing w:after="120"/>
        <w:jc w:val="both"/>
        <w:rPr>
          <w:b/>
          <w:lang w:val="en-CA" w:eastAsia="en-CA"/>
        </w:rPr>
      </w:pPr>
      <w:r w:rsidRPr="003732F0">
        <w:rPr>
          <w:lang w:val="en-CA" w:eastAsia="en-CA"/>
        </w:rPr>
        <w:t>If reasonable</w:t>
      </w:r>
      <w:r>
        <w:rPr>
          <w:lang w:val="en-CA" w:eastAsia="en-CA"/>
        </w:rPr>
        <w:t xml:space="preserve"> investor would expect to be informed of a conflict, the registered firm is required to do so (</w:t>
      </w:r>
      <w:r w:rsidRPr="00BB7CC1">
        <w:rPr>
          <w:b/>
          <w:color w:val="7030A0"/>
          <w:lang w:val="en-CA" w:eastAsia="en-CA"/>
        </w:rPr>
        <w:t xml:space="preserve">NI 31-103 </w:t>
      </w:r>
      <w:r w:rsidR="00B73AFA">
        <w:rPr>
          <w:b/>
          <w:color w:val="7030A0"/>
          <w:lang w:val="en-CA" w:eastAsia="en-CA"/>
        </w:rPr>
        <w:t>s.13.4</w:t>
      </w:r>
      <w:r w:rsidRPr="00D357AD">
        <w:rPr>
          <w:b/>
          <w:color w:val="7030A0"/>
          <w:lang w:val="en-CA" w:eastAsia="en-CA"/>
        </w:rPr>
        <w:t>(3)</w:t>
      </w:r>
      <w:r>
        <w:rPr>
          <w:b/>
          <w:lang w:val="en-CA" w:eastAsia="en-CA"/>
        </w:rPr>
        <w:t>)</w:t>
      </w:r>
    </w:p>
    <w:p w:rsidR="00AE1AB3" w:rsidRPr="00AE1AB3" w:rsidRDefault="00557069" w:rsidP="00FF0B61">
      <w:pPr>
        <w:pStyle w:val="ListParagraph"/>
        <w:numPr>
          <w:ilvl w:val="0"/>
          <w:numId w:val="75"/>
        </w:numPr>
        <w:spacing w:after="120"/>
        <w:jc w:val="both"/>
        <w:rPr>
          <w:b/>
          <w:lang w:val="en-CA" w:eastAsia="en-CA"/>
        </w:rPr>
      </w:pPr>
      <w:r>
        <w:rPr>
          <w:b/>
          <w:lang w:val="en-CA" w:eastAsia="en-CA"/>
        </w:rPr>
        <w:t>“</w:t>
      </w:r>
      <w:r w:rsidR="00AE1AB3" w:rsidRPr="00AE1AB3">
        <w:rPr>
          <w:b/>
          <w:lang w:val="en-CA" w:eastAsia="en-CA"/>
        </w:rPr>
        <w:t>Related Issuer</w:t>
      </w:r>
      <w:r>
        <w:rPr>
          <w:b/>
          <w:lang w:val="en-CA" w:eastAsia="en-CA"/>
        </w:rPr>
        <w:t>”</w:t>
      </w:r>
      <w:r w:rsidR="00AE1AB3" w:rsidRPr="00AE1AB3">
        <w:rPr>
          <w:b/>
          <w:lang w:val="en-CA" w:eastAsia="en-CA"/>
        </w:rPr>
        <w:t xml:space="preserve">: </w:t>
      </w:r>
      <w:r w:rsidR="00AE1AB3" w:rsidRPr="00AE1AB3">
        <w:rPr>
          <w:lang w:val="en-CA" w:eastAsia="en-CA"/>
        </w:rPr>
        <w:t xml:space="preserve">A person or company is a ‘related issuer of another person or company if </w:t>
      </w:r>
      <w:r w:rsidR="00AE1AB3" w:rsidRPr="00AE1AB3">
        <w:rPr>
          <w:b/>
          <w:lang w:val="en-CA" w:eastAsia="en-CA"/>
        </w:rPr>
        <w:t xml:space="preserve">(a) </w:t>
      </w:r>
      <w:r w:rsidR="00AE1AB3" w:rsidRPr="00AE1AB3">
        <w:rPr>
          <w:lang w:val="en-CA" w:eastAsia="en-CA"/>
        </w:rPr>
        <w:t xml:space="preserve">the person or company is an influential securityholder of the other person or company </w:t>
      </w:r>
      <w:r w:rsidR="00AE1AB3" w:rsidRPr="00AE1AB3">
        <w:rPr>
          <w:b/>
          <w:lang w:val="en-CA" w:eastAsia="en-CA"/>
        </w:rPr>
        <w:t>(b)</w:t>
      </w:r>
      <w:r w:rsidR="00AE1AB3">
        <w:rPr>
          <w:b/>
          <w:lang w:val="en-CA" w:eastAsia="en-CA"/>
        </w:rPr>
        <w:t xml:space="preserve"> </w:t>
      </w:r>
      <w:r w:rsidR="00AE1AB3" w:rsidRPr="00AE1AB3">
        <w:rPr>
          <w:lang w:val="en-CA" w:eastAsia="en-CA"/>
        </w:rPr>
        <w:t xml:space="preserve">The other person or company is an influential securityholder of the person or company, or </w:t>
      </w:r>
      <w:r w:rsidR="00AE1AB3" w:rsidRPr="00AE1AB3">
        <w:rPr>
          <w:b/>
          <w:lang w:val="en-CA" w:eastAsia="en-CA"/>
        </w:rPr>
        <w:t xml:space="preserve">(c) </w:t>
      </w:r>
      <w:r w:rsidR="00AE1AB3" w:rsidRPr="00AE1AB3">
        <w:rPr>
          <w:lang w:val="en-CA" w:eastAsia="en-CA"/>
        </w:rPr>
        <w:t>each of them is a related issuer of the same third person or company.</w:t>
      </w:r>
    </w:p>
    <w:p w:rsidR="00AE1AB3" w:rsidRPr="000B146F" w:rsidRDefault="00557069" w:rsidP="00FF0B61">
      <w:pPr>
        <w:pStyle w:val="ListParagraph"/>
        <w:numPr>
          <w:ilvl w:val="0"/>
          <w:numId w:val="75"/>
        </w:numPr>
        <w:spacing w:after="120"/>
        <w:jc w:val="both"/>
        <w:rPr>
          <w:b/>
          <w:lang w:val="en-CA" w:eastAsia="en-CA"/>
        </w:rPr>
      </w:pPr>
      <w:r>
        <w:rPr>
          <w:b/>
          <w:lang w:val="en-CA" w:eastAsia="en-CA"/>
        </w:rPr>
        <w:t>“</w:t>
      </w:r>
      <w:r w:rsidR="00AE1AB3" w:rsidRPr="00AE1AB3">
        <w:rPr>
          <w:b/>
          <w:lang w:val="en-CA" w:eastAsia="en-CA"/>
        </w:rPr>
        <w:t>Connected Issuer</w:t>
      </w:r>
      <w:r>
        <w:rPr>
          <w:b/>
          <w:lang w:val="en-CA" w:eastAsia="en-CA"/>
        </w:rPr>
        <w:t>”</w:t>
      </w:r>
      <w:r w:rsidR="00AE1AB3" w:rsidRPr="00AE1AB3">
        <w:rPr>
          <w:b/>
          <w:lang w:val="en-CA" w:eastAsia="en-CA"/>
        </w:rPr>
        <w:t xml:space="preserve">: </w:t>
      </w:r>
      <w:r w:rsidR="00AE1AB3" w:rsidRPr="00AE1AB3">
        <w:rPr>
          <w:lang w:val="en-CA" w:eastAsia="en-CA"/>
        </w:rPr>
        <w:t xml:space="preserve">Issuer distributing securities if the issuer or a related issuer of the issuer has a relationship with any of the following persons: </w:t>
      </w:r>
      <w:r w:rsidR="00AE1AB3" w:rsidRPr="00AE1AB3">
        <w:rPr>
          <w:b/>
          <w:lang w:val="en-CA" w:eastAsia="en-CA"/>
        </w:rPr>
        <w:t>(a)</w:t>
      </w:r>
      <w:r w:rsidR="00AE1AB3">
        <w:rPr>
          <w:lang w:val="en-CA" w:eastAsia="en-CA"/>
        </w:rPr>
        <w:t xml:space="preserve"> </w:t>
      </w:r>
      <w:r w:rsidR="00AE1AB3" w:rsidRPr="00AE1AB3">
        <w:rPr>
          <w:lang w:val="en-CA" w:eastAsia="en-CA"/>
        </w:rPr>
        <w:t xml:space="preserve">Specified firm registrant </w:t>
      </w:r>
      <w:r w:rsidR="00AE1AB3" w:rsidRPr="00AE1AB3">
        <w:rPr>
          <w:b/>
          <w:lang w:val="en-CA" w:eastAsia="en-CA"/>
        </w:rPr>
        <w:t>(b)</w:t>
      </w:r>
      <w:r w:rsidR="00AE1AB3">
        <w:rPr>
          <w:lang w:val="en-CA" w:eastAsia="en-CA"/>
        </w:rPr>
        <w:t xml:space="preserve"> </w:t>
      </w:r>
      <w:r w:rsidR="00AE1AB3" w:rsidRPr="00AE1AB3">
        <w:rPr>
          <w:lang w:val="en-CA" w:eastAsia="en-CA"/>
        </w:rPr>
        <w:t xml:space="preserve">A related issuer of the specified firm registrant </w:t>
      </w:r>
      <w:r w:rsidR="00AE1AB3" w:rsidRPr="00AE1AB3">
        <w:rPr>
          <w:b/>
          <w:lang w:val="en-CA" w:eastAsia="en-CA"/>
        </w:rPr>
        <w:t>(c)</w:t>
      </w:r>
      <w:r w:rsidR="00AE1AB3" w:rsidRPr="00AE1AB3">
        <w:rPr>
          <w:lang w:val="en-CA" w:eastAsia="en-CA"/>
        </w:rPr>
        <w:t xml:space="preserve"> A director, officer, or partner of the specified firm registrant, </w:t>
      </w:r>
      <w:r w:rsidR="00AE1AB3" w:rsidRPr="00FA47F1">
        <w:rPr>
          <w:b/>
          <w:lang w:val="en-CA" w:eastAsia="en-CA"/>
        </w:rPr>
        <w:t>(</w:t>
      </w:r>
      <w:r w:rsidR="00AE1AB3" w:rsidRPr="00AE1AB3">
        <w:rPr>
          <w:b/>
          <w:lang w:val="en-CA" w:eastAsia="en-CA"/>
        </w:rPr>
        <w:t>d)</w:t>
      </w:r>
      <w:r w:rsidR="00AE1AB3">
        <w:rPr>
          <w:lang w:val="en-CA" w:eastAsia="en-CA"/>
        </w:rPr>
        <w:t xml:space="preserve"> </w:t>
      </w:r>
      <w:r w:rsidR="00AE1AB3" w:rsidRPr="00AE1AB3">
        <w:rPr>
          <w:lang w:val="en-CA" w:eastAsia="en-CA"/>
        </w:rPr>
        <w:t>a director, officer, or partner of a related issuer of the specified firm registrant.</w:t>
      </w:r>
    </w:p>
    <w:p w:rsidR="000B146F" w:rsidRPr="000B146F" w:rsidRDefault="000B146F" w:rsidP="00FF0B61">
      <w:pPr>
        <w:spacing w:after="120" w:line="240" w:lineRule="auto"/>
        <w:jc w:val="both"/>
        <w:rPr>
          <w:b/>
          <w:lang w:val="en-CA" w:eastAsia="en-CA"/>
        </w:rPr>
      </w:pPr>
      <w:r w:rsidRPr="000B146F">
        <w:rPr>
          <w:b/>
        </w:rPr>
        <w:t>Registered firms should design their organizational structures, lines of reporting and physical locations to control confli</w:t>
      </w:r>
      <w:r>
        <w:rPr>
          <w:b/>
        </w:rPr>
        <w:t>cts of interest effectively. E.g. of Situations</w:t>
      </w:r>
      <w:r w:rsidRPr="000B146F">
        <w:rPr>
          <w:b/>
        </w:rPr>
        <w:t>:</w:t>
      </w:r>
      <w:r>
        <w:t xml:space="preserve">  advisory staff reporting to marketing staff; compliance or internal audit staff reporting to a business unit, and registered representatives and investment banking staff in the same physical location (</w:t>
      </w:r>
      <w:r w:rsidRPr="000B146F">
        <w:rPr>
          <w:b/>
          <w:color w:val="7030A0"/>
        </w:rPr>
        <w:t>13.4</w:t>
      </w:r>
      <w:r>
        <w:t>)</w:t>
      </w:r>
    </w:p>
    <w:p w:rsidR="00C52B17" w:rsidRPr="005F18BF" w:rsidRDefault="00B30FBA" w:rsidP="00FF0B61">
      <w:pPr>
        <w:spacing w:after="0" w:line="240" w:lineRule="auto"/>
        <w:textAlignment w:val="center"/>
        <w:rPr>
          <w:rFonts w:cs="Times New Roman"/>
          <w:b/>
          <w:lang w:eastAsia="en-CA"/>
        </w:rPr>
      </w:pPr>
      <w:r w:rsidRPr="00BB1755">
        <w:rPr>
          <w:b/>
          <w:u w:val="single"/>
          <w:lang w:val="en-CA" w:eastAsia="en-CA"/>
        </w:rPr>
        <w:t>REFERRAL ARRANGEMENTS</w:t>
      </w:r>
      <w:r w:rsidRPr="00DA4EA4">
        <w:rPr>
          <w:b/>
          <w:lang w:val="en-CA" w:eastAsia="en-CA"/>
        </w:rPr>
        <w:t xml:space="preserve">: </w:t>
      </w:r>
      <w:r w:rsidR="00C52B17" w:rsidRPr="00DA4EA4">
        <w:rPr>
          <w:rFonts w:cs="Times New Roman"/>
        </w:rPr>
        <w:t>means any arrangement in which a registrant agrees to</w:t>
      </w:r>
      <w:r w:rsidR="005F18BF" w:rsidRPr="00DA4EA4">
        <w:rPr>
          <w:rFonts w:cs="Times New Roman"/>
        </w:rPr>
        <w:t xml:space="preserve"> pay or receive a referral fee (</w:t>
      </w:r>
      <w:r w:rsidR="00C52B17" w:rsidRPr="00DA4EA4">
        <w:rPr>
          <w:rFonts w:cs="Times New Roman"/>
        </w:rPr>
        <w:t xml:space="preserve">any form of compensation, </w:t>
      </w:r>
      <w:r w:rsidR="00C52B17" w:rsidRPr="00B3219D">
        <w:rPr>
          <w:rFonts w:cs="Times New Roman"/>
          <w:b/>
        </w:rPr>
        <w:t>direct or indirect</w:t>
      </w:r>
      <w:r w:rsidR="00C52B17" w:rsidRPr="00C52B17">
        <w:rPr>
          <w:rFonts w:cs="Times New Roman"/>
        </w:rPr>
        <w:t>, paid for the referral of a</w:t>
      </w:r>
      <w:r w:rsidR="005F18BF">
        <w:rPr>
          <w:rFonts w:cs="Times New Roman"/>
        </w:rPr>
        <w:t xml:space="preserve"> client to or from a registrant) (</w:t>
      </w:r>
      <w:r w:rsidR="005F18BF" w:rsidRPr="005F18BF">
        <w:rPr>
          <w:rFonts w:cs="Times New Roman"/>
          <w:b/>
          <w:color w:val="7030A0"/>
        </w:rPr>
        <w:t>NI 31-103 s.13.7</w:t>
      </w:r>
      <w:r w:rsidR="005F18BF">
        <w:rPr>
          <w:rFonts w:cs="Times New Roman"/>
          <w:b/>
        </w:rPr>
        <w:t>)</w:t>
      </w:r>
    </w:p>
    <w:p w:rsidR="00C52B17" w:rsidRPr="00C52B17" w:rsidRDefault="00C52B17" w:rsidP="00FF0B61">
      <w:pPr>
        <w:pStyle w:val="ListParagraph"/>
        <w:numPr>
          <w:ilvl w:val="0"/>
          <w:numId w:val="91"/>
        </w:numPr>
        <w:spacing w:after="0"/>
        <w:textAlignment w:val="center"/>
        <w:rPr>
          <w:rFonts w:eastAsia="Times New Roman" w:cs="Times New Roman"/>
          <w:lang w:eastAsia="en-CA"/>
        </w:rPr>
      </w:pPr>
      <w:r w:rsidRPr="00C52B17">
        <w:rPr>
          <w:rFonts w:eastAsia="Times New Roman" w:cs="Times New Roman"/>
          <w:lang w:eastAsia="en-CA"/>
        </w:rPr>
        <w:t xml:space="preserve">Registrants </w:t>
      </w:r>
      <w:r w:rsidRPr="00B3219D">
        <w:rPr>
          <w:rFonts w:eastAsia="Times New Roman" w:cs="Times New Roman"/>
          <w:i/>
          <w:lang w:eastAsia="en-CA"/>
        </w:rPr>
        <w:t>can accept or pay a referral fee</w:t>
      </w:r>
      <w:r w:rsidRPr="00C52B17">
        <w:rPr>
          <w:rFonts w:eastAsia="Times New Roman" w:cs="Times New Roman"/>
          <w:lang w:eastAsia="en-CA"/>
        </w:rPr>
        <w:t xml:space="preserve">, if the referral agreement is </w:t>
      </w:r>
      <w:r w:rsidRPr="00C52B17">
        <w:rPr>
          <w:rFonts w:eastAsia="Times New Roman" w:cs="Times New Roman"/>
          <w:b/>
          <w:u w:val="single"/>
          <w:lang w:eastAsia="en-CA"/>
        </w:rPr>
        <w:t>in writing</w:t>
      </w:r>
      <w:r w:rsidRPr="00C52B17">
        <w:rPr>
          <w:rFonts w:eastAsia="Times New Roman" w:cs="Times New Roman"/>
          <w:lang w:eastAsia="en-CA"/>
        </w:rPr>
        <w:t xml:space="preserve">, </w:t>
      </w:r>
      <w:r w:rsidRPr="00C52B17">
        <w:rPr>
          <w:rFonts w:eastAsia="Times New Roman" w:cs="Times New Roman"/>
          <w:b/>
          <w:u w:val="single"/>
          <w:lang w:eastAsia="en-CA"/>
        </w:rPr>
        <w:t>fees are recorded</w:t>
      </w:r>
      <w:r w:rsidRPr="00C52B17">
        <w:rPr>
          <w:rFonts w:eastAsia="Times New Roman" w:cs="Times New Roman"/>
          <w:lang w:eastAsia="en-CA"/>
        </w:rPr>
        <w:t xml:space="preserve">, and the client </w:t>
      </w:r>
      <w:r w:rsidRPr="00C52B17">
        <w:rPr>
          <w:rFonts w:eastAsia="Times New Roman" w:cs="Times New Roman"/>
          <w:b/>
          <w:u w:val="single"/>
          <w:lang w:eastAsia="en-CA"/>
        </w:rPr>
        <w:t>receives disclosure</w:t>
      </w:r>
      <w:r w:rsidRPr="00C52B17">
        <w:rPr>
          <w:rFonts w:eastAsia="Times New Roman" w:cs="Times New Roman"/>
          <w:lang w:eastAsia="en-CA"/>
        </w:rPr>
        <w:t xml:space="preserve"> before the registrant opens and account OR provides services to the client </w:t>
      </w:r>
      <w:r w:rsidR="00791FDD">
        <w:rPr>
          <w:rFonts w:eastAsia="Times New Roman" w:cs="Times New Roman"/>
          <w:lang w:eastAsia="en-CA"/>
        </w:rPr>
        <w:t>(</w:t>
      </w:r>
      <w:r w:rsidRPr="00791FDD">
        <w:rPr>
          <w:rFonts w:eastAsia="Times New Roman" w:cs="Times New Roman"/>
          <w:b/>
          <w:color w:val="7030A0"/>
          <w:lang w:eastAsia="en-CA"/>
        </w:rPr>
        <w:t>s. 13.8</w:t>
      </w:r>
      <w:r w:rsidR="00791FDD">
        <w:rPr>
          <w:rFonts w:eastAsia="Times New Roman" w:cs="Times New Roman"/>
          <w:lang w:eastAsia="en-CA"/>
        </w:rPr>
        <w:t>)</w:t>
      </w:r>
    </w:p>
    <w:p w:rsidR="00C52B17" w:rsidRPr="000D2B6D" w:rsidRDefault="00C52B17" w:rsidP="00FF0B61">
      <w:pPr>
        <w:pStyle w:val="ListParagraph"/>
        <w:numPr>
          <w:ilvl w:val="0"/>
          <w:numId w:val="92"/>
        </w:numPr>
        <w:spacing w:after="0"/>
        <w:textAlignment w:val="center"/>
        <w:rPr>
          <w:rFonts w:eastAsia="Times New Roman" w:cs="Times New Roman"/>
          <w:lang w:eastAsia="en-CA"/>
        </w:rPr>
      </w:pPr>
      <w:r w:rsidRPr="00C52B17">
        <w:rPr>
          <w:rFonts w:eastAsia="Times New Roman" w:cs="Times New Roman"/>
          <w:lang w:eastAsia="en-CA"/>
        </w:rPr>
        <w:t xml:space="preserve">Must take reasonable steps to ensure that a person or company referred to is </w:t>
      </w:r>
      <w:r w:rsidRPr="00C52B17">
        <w:rPr>
          <w:rFonts w:eastAsia="Times New Roman" w:cs="Times New Roman"/>
          <w:b/>
          <w:u w:val="single"/>
          <w:lang w:eastAsia="en-CA"/>
        </w:rPr>
        <w:t>appropriately qualified and registered</w:t>
      </w:r>
      <w:r w:rsidRPr="00C52B17">
        <w:rPr>
          <w:rFonts w:eastAsia="Times New Roman" w:cs="Times New Roman"/>
          <w:lang w:eastAsia="en-CA"/>
        </w:rPr>
        <w:t xml:space="preserve"> </w:t>
      </w:r>
      <w:r w:rsidR="00474F8D">
        <w:rPr>
          <w:rFonts w:eastAsia="Times New Roman" w:cs="Times New Roman"/>
          <w:lang w:eastAsia="en-CA"/>
        </w:rPr>
        <w:t>(</w:t>
      </w:r>
      <w:r w:rsidRPr="00474F8D">
        <w:rPr>
          <w:rFonts w:eastAsia="Times New Roman" w:cs="Times New Roman"/>
          <w:b/>
          <w:color w:val="7030A0"/>
          <w:lang w:eastAsia="en-CA"/>
        </w:rPr>
        <w:t>s. 13.9</w:t>
      </w:r>
      <w:r w:rsidR="00474F8D">
        <w:rPr>
          <w:rFonts w:eastAsia="Times New Roman" w:cs="Times New Roman"/>
          <w:b/>
          <w:color w:val="7030A0"/>
          <w:lang w:eastAsia="en-CA"/>
        </w:rPr>
        <w:t>)</w:t>
      </w:r>
    </w:p>
    <w:p w:rsidR="000D2B6D" w:rsidRDefault="000D2B6D" w:rsidP="00FF0B61">
      <w:pPr>
        <w:spacing w:after="0" w:line="240" w:lineRule="auto"/>
        <w:textAlignment w:val="center"/>
        <w:rPr>
          <w:rFonts w:eastAsia="Times New Roman" w:cs="Times New Roman"/>
          <w:lang w:eastAsia="en-CA"/>
        </w:rPr>
      </w:pPr>
    </w:p>
    <w:p w:rsidR="000D2B6D" w:rsidRPr="000D2B6D" w:rsidRDefault="000D2B6D" w:rsidP="00FF0B61">
      <w:pPr>
        <w:spacing w:after="0" w:line="240" w:lineRule="auto"/>
        <w:textAlignment w:val="center"/>
        <w:rPr>
          <w:rFonts w:ascii="Calibri" w:eastAsia="Times New Roman" w:hAnsi="Calibri" w:cs="Times New Roman"/>
          <w:b/>
          <w:color w:val="000000"/>
          <w:lang w:eastAsia="en-CA"/>
        </w:rPr>
      </w:pPr>
      <w:r w:rsidRPr="00BB1755">
        <w:rPr>
          <w:rFonts w:eastAsia="Times New Roman" w:cs="Times New Roman"/>
          <w:b/>
          <w:u w:val="single"/>
          <w:lang w:eastAsia="en-CA"/>
        </w:rPr>
        <w:t>COMPLAINTS</w:t>
      </w:r>
      <w:r w:rsidRPr="000D2B6D">
        <w:rPr>
          <w:rFonts w:eastAsia="Times New Roman" w:cs="Times New Roman"/>
          <w:b/>
          <w:lang w:eastAsia="en-CA"/>
        </w:rPr>
        <w:t xml:space="preserve">: </w:t>
      </w:r>
      <w:r>
        <w:rPr>
          <w:rFonts w:ascii="Calibri" w:eastAsia="Times New Roman" w:hAnsi="Calibri" w:cs="Times New Roman"/>
          <w:color w:val="000000"/>
          <w:lang w:eastAsia="en-CA"/>
        </w:rPr>
        <w:t>Dealers and Advisers must</w:t>
      </w:r>
      <w:r w:rsidRPr="000D2B6D">
        <w:rPr>
          <w:rFonts w:ascii="Calibri" w:eastAsia="Times New Roman" w:hAnsi="Calibri" w:cs="Times New Roman"/>
          <w:color w:val="000000"/>
          <w:lang w:eastAsia="en-CA"/>
        </w:rPr>
        <w:t xml:space="preserve"> document and respond to every </w:t>
      </w:r>
      <w:r w:rsidRPr="000D2B6D">
        <w:rPr>
          <w:rFonts w:ascii="Calibri" w:eastAsia="Times New Roman" w:hAnsi="Calibri" w:cs="Times New Roman"/>
          <w:b/>
          <w:color w:val="000000"/>
          <w:lang w:eastAsia="en-CA"/>
        </w:rPr>
        <w:t>complaint</w:t>
      </w:r>
      <w:r w:rsidRPr="000D2B6D">
        <w:rPr>
          <w:rFonts w:ascii="Calibri" w:eastAsia="Times New Roman" w:hAnsi="Calibri" w:cs="Times New Roman"/>
          <w:color w:val="000000"/>
          <w:lang w:eastAsia="en-CA"/>
        </w:rPr>
        <w:t xml:space="preserve"> made to a registered firm about any product or service offered by the firm or its representative</w:t>
      </w:r>
      <w:r>
        <w:rPr>
          <w:rFonts w:ascii="Calibri" w:eastAsia="Times New Roman" w:hAnsi="Calibri" w:cs="Times New Roman"/>
          <w:color w:val="000000"/>
          <w:lang w:eastAsia="en-CA"/>
        </w:rPr>
        <w:t xml:space="preserve"> (</w:t>
      </w:r>
      <w:r w:rsidRPr="000D2B6D">
        <w:rPr>
          <w:rFonts w:ascii="Calibri" w:eastAsia="Times New Roman" w:hAnsi="Calibri" w:cs="Times New Roman"/>
          <w:b/>
          <w:color w:val="7030A0"/>
          <w:lang w:eastAsia="en-CA"/>
        </w:rPr>
        <w:t>s.13.15</w:t>
      </w:r>
      <w:r>
        <w:rPr>
          <w:rFonts w:ascii="Calibri" w:eastAsia="Times New Roman" w:hAnsi="Calibri" w:cs="Times New Roman"/>
          <w:b/>
          <w:color w:val="000000"/>
          <w:lang w:eastAsia="en-CA"/>
        </w:rPr>
        <w:t>)</w:t>
      </w:r>
    </w:p>
    <w:p w:rsidR="000D2B6D" w:rsidRPr="000D2B6D" w:rsidRDefault="000D2B6D" w:rsidP="00FF0B61">
      <w:pPr>
        <w:spacing w:after="0" w:line="240" w:lineRule="auto"/>
        <w:textAlignment w:val="center"/>
        <w:rPr>
          <w:rFonts w:eastAsia="Times New Roman" w:cs="Times New Roman"/>
          <w:b/>
          <w:lang w:eastAsia="en-CA"/>
        </w:rPr>
      </w:pPr>
    </w:p>
    <w:p w:rsidR="00BB7CC1" w:rsidRPr="008D5060" w:rsidRDefault="008D5060" w:rsidP="00FF0B61">
      <w:pPr>
        <w:spacing w:after="0" w:line="240" w:lineRule="auto"/>
        <w:jc w:val="both"/>
        <w:rPr>
          <w:lang w:val="en-CA" w:eastAsia="en-CA"/>
        </w:rPr>
      </w:pPr>
      <w:r w:rsidRPr="00342DA8">
        <w:rPr>
          <w:b/>
          <w:u w:val="single"/>
          <w:lang w:val="en-CA" w:eastAsia="en-CA"/>
        </w:rPr>
        <w:t>ACCOUNT ACTIVITY REPORTING</w:t>
      </w:r>
      <w:r w:rsidRPr="008D5060">
        <w:rPr>
          <w:b/>
          <w:lang w:val="en-CA" w:eastAsia="en-CA"/>
        </w:rPr>
        <w:t xml:space="preserve">: </w:t>
      </w:r>
      <w:r w:rsidRPr="008D5060">
        <w:rPr>
          <w:lang w:val="en-CA" w:eastAsia="en-CA"/>
        </w:rPr>
        <w:t>Registered firms are required to provide clients with certain transaction reporting (</w:t>
      </w:r>
      <w:r w:rsidRPr="008D5060">
        <w:rPr>
          <w:b/>
          <w:color w:val="7030A0"/>
          <w:lang w:val="en-CA" w:eastAsia="en-CA"/>
        </w:rPr>
        <w:t>s.14.12</w:t>
      </w:r>
      <w:r w:rsidRPr="008D5060">
        <w:rPr>
          <w:lang w:val="en-CA" w:eastAsia="en-CA"/>
        </w:rPr>
        <w:t>) and account reporting (</w:t>
      </w:r>
      <w:r w:rsidRPr="008D5060">
        <w:rPr>
          <w:b/>
          <w:color w:val="7030A0"/>
          <w:lang w:val="en-CA" w:eastAsia="en-CA"/>
        </w:rPr>
        <w:t>s.14.14</w:t>
      </w:r>
      <w:r w:rsidRPr="008D5060">
        <w:rPr>
          <w:lang w:val="en-CA" w:eastAsia="en-CA"/>
        </w:rPr>
        <w:t>)</w:t>
      </w:r>
      <w:r w:rsidR="007100DE">
        <w:rPr>
          <w:lang w:val="en-CA" w:eastAsia="en-CA"/>
        </w:rPr>
        <w:t xml:space="preserve">. </w:t>
      </w:r>
    </w:p>
    <w:p w:rsidR="008D5060" w:rsidRPr="008D5060" w:rsidRDefault="008D5060" w:rsidP="00FF0B61">
      <w:pPr>
        <w:spacing w:after="0" w:line="240" w:lineRule="auto"/>
        <w:jc w:val="both"/>
        <w:rPr>
          <w:highlight w:val="yellow"/>
          <w:lang w:val="en-CA" w:eastAsia="en-CA"/>
        </w:rPr>
      </w:pPr>
    </w:p>
    <w:p w:rsidR="004B0AEF" w:rsidRPr="00AE4885" w:rsidRDefault="008D5060" w:rsidP="00FF0B61">
      <w:pPr>
        <w:spacing w:after="0" w:line="240" w:lineRule="auto"/>
        <w:jc w:val="both"/>
        <w:rPr>
          <w:b/>
          <w:lang w:val="en-CA" w:eastAsia="en-CA"/>
        </w:rPr>
      </w:pPr>
      <w:r w:rsidRPr="00342DA8">
        <w:rPr>
          <w:b/>
          <w:u w:val="single"/>
          <w:lang w:val="en-CA" w:eastAsia="en-CA"/>
        </w:rPr>
        <w:t>R</w:t>
      </w:r>
      <w:r w:rsidR="001141F6" w:rsidRPr="00342DA8">
        <w:rPr>
          <w:b/>
          <w:u w:val="single"/>
          <w:lang w:val="en-CA" w:eastAsia="en-CA"/>
        </w:rPr>
        <w:t>ELATIONSHIP AND COST DISCLOSURE</w:t>
      </w:r>
      <w:r w:rsidR="001141F6" w:rsidRPr="00AE4885">
        <w:rPr>
          <w:b/>
          <w:lang w:val="en-CA" w:eastAsia="en-CA"/>
        </w:rPr>
        <w:t xml:space="preserve"> (</w:t>
      </w:r>
      <w:r w:rsidR="00E24BDD">
        <w:rPr>
          <w:b/>
          <w:color w:val="7030A0"/>
          <w:lang w:val="en-CA" w:eastAsia="en-CA"/>
        </w:rPr>
        <w:t>NI 31-103 s.</w:t>
      </w:r>
      <w:r w:rsidR="004B0AEF" w:rsidRPr="00AE4885">
        <w:rPr>
          <w:b/>
          <w:color w:val="7030A0"/>
          <w:lang w:val="en-CA" w:eastAsia="en-CA"/>
        </w:rPr>
        <w:t>14</w:t>
      </w:r>
      <w:r w:rsidR="001141F6" w:rsidRPr="00AE4885">
        <w:rPr>
          <w:b/>
          <w:lang w:val="en-CA" w:eastAsia="en-CA"/>
        </w:rPr>
        <w:t>)</w:t>
      </w:r>
      <w:r w:rsidR="00AE4885">
        <w:rPr>
          <w:b/>
          <w:lang w:val="en-CA" w:eastAsia="en-CA"/>
        </w:rPr>
        <w:t xml:space="preserve"> Required to provide clients with info about </w:t>
      </w:r>
      <w:r w:rsidR="00E24BDD">
        <w:rPr>
          <w:b/>
          <w:lang w:val="en-CA" w:eastAsia="en-CA"/>
        </w:rPr>
        <w:t>client’s</w:t>
      </w:r>
      <w:r w:rsidR="00AE4885">
        <w:rPr>
          <w:b/>
          <w:lang w:val="en-CA" w:eastAsia="en-CA"/>
        </w:rPr>
        <w:t xml:space="preserve"> relationship with the registrant that a reasonable in</w:t>
      </w:r>
      <w:r w:rsidR="005721B0">
        <w:rPr>
          <w:b/>
          <w:lang w:val="en-CA" w:eastAsia="en-CA"/>
        </w:rPr>
        <w:t>vestor would consider important (</w:t>
      </w:r>
      <w:r w:rsidR="005721B0" w:rsidRPr="005721B0">
        <w:rPr>
          <w:lang w:val="en-CA" w:eastAsia="en-CA"/>
        </w:rPr>
        <w:t xml:space="preserve">Churning, front running and other concerns </w:t>
      </w:r>
      <w:r w:rsidR="00263B1C">
        <w:rPr>
          <w:lang w:val="en-CA" w:eastAsia="en-CA"/>
        </w:rPr>
        <w:t xml:space="preserve">are </w:t>
      </w:r>
      <w:r w:rsidR="005721B0" w:rsidRPr="005721B0">
        <w:rPr>
          <w:lang w:val="en-CA" w:eastAsia="en-CA"/>
        </w:rPr>
        <w:t>dealt with here</w:t>
      </w:r>
      <w:r w:rsidR="005721B0">
        <w:rPr>
          <w:b/>
          <w:lang w:val="en-CA" w:eastAsia="en-CA"/>
        </w:rPr>
        <w:t>) (</w:t>
      </w:r>
      <w:r w:rsidR="005721B0" w:rsidRPr="005721B0">
        <w:rPr>
          <w:b/>
          <w:color w:val="7030A0"/>
          <w:lang w:val="en-CA" w:eastAsia="en-CA"/>
        </w:rPr>
        <w:t>s.14(2)</w:t>
      </w:r>
      <w:r w:rsidR="005721B0">
        <w:rPr>
          <w:b/>
          <w:lang w:val="en-CA" w:eastAsia="en-CA"/>
        </w:rPr>
        <w:t>):</w:t>
      </w:r>
      <w:r w:rsidR="00AE4885">
        <w:rPr>
          <w:b/>
          <w:lang w:val="en-CA" w:eastAsia="en-CA"/>
        </w:rPr>
        <w:t xml:space="preserve"> </w:t>
      </w:r>
    </w:p>
    <w:p w:rsidR="004B0AEF" w:rsidRPr="00BF015A" w:rsidRDefault="004B0AEF" w:rsidP="00FF0B61">
      <w:pPr>
        <w:pStyle w:val="ListParagraph"/>
        <w:numPr>
          <w:ilvl w:val="0"/>
          <w:numId w:val="78"/>
        </w:numPr>
        <w:spacing w:after="120"/>
        <w:jc w:val="both"/>
        <w:rPr>
          <w:b/>
          <w:lang w:val="en-CA" w:eastAsia="en-CA"/>
        </w:rPr>
      </w:pPr>
      <w:r w:rsidRPr="00BF015A">
        <w:rPr>
          <w:lang w:val="en-CA" w:eastAsia="en-CA"/>
        </w:rPr>
        <w:t xml:space="preserve">Disclose </w:t>
      </w:r>
      <w:r w:rsidR="0058655A" w:rsidRPr="00BF015A">
        <w:rPr>
          <w:lang w:val="en-CA" w:eastAsia="en-CA"/>
        </w:rPr>
        <w:t xml:space="preserve">type or nature of </w:t>
      </w:r>
      <w:r w:rsidR="00BF015A">
        <w:rPr>
          <w:lang w:val="en-CA" w:eastAsia="en-CA"/>
        </w:rPr>
        <w:t>client’s</w:t>
      </w:r>
      <w:r w:rsidR="0058655A" w:rsidRPr="00BF015A">
        <w:rPr>
          <w:lang w:val="en-CA" w:eastAsia="en-CA"/>
        </w:rPr>
        <w:t xml:space="preserve"> accounts </w:t>
      </w:r>
      <w:r w:rsidR="0058655A" w:rsidRPr="00BF015A">
        <w:rPr>
          <w:b/>
          <w:lang w:val="en-CA" w:eastAsia="en-CA"/>
        </w:rPr>
        <w:t xml:space="preserve">// </w:t>
      </w:r>
      <w:r w:rsidR="0058655A" w:rsidRPr="00BF015A">
        <w:rPr>
          <w:lang w:val="en-CA" w:eastAsia="en-CA"/>
        </w:rPr>
        <w:t xml:space="preserve">general description of registered firms products </w:t>
      </w:r>
      <w:r w:rsidR="0058655A" w:rsidRPr="00BF015A">
        <w:rPr>
          <w:b/>
          <w:lang w:val="en-CA" w:eastAsia="en-CA"/>
        </w:rPr>
        <w:t xml:space="preserve">// </w:t>
      </w:r>
      <w:r w:rsidR="00BF015A" w:rsidRPr="00BF015A">
        <w:rPr>
          <w:lang w:val="en-CA" w:eastAsia="en-CA"/>
        </w:rPr>
        <w:t>R</w:t>
      </w:r>
      <w:r w:rsidRPr="00BF015A">
        <w:rPr>
          <w:lang w:val="en-CA" w:eastAsia="en-CA"/>
        </w:rPr>
        <w:t xml:space="preserve">elationship w/ investment </w:t>
      </w:r>
      <w:r w:rsidR="005721B0" w:rsidRPr="00BF015A">
        <w:rPr>
          <w:b/>
          <w:lang w:val="en-CA" w:eastAsia="en-CA"/>
        </w:rPr>
        <w:t xml:space="preserve">// </w:t>
      </w:r>
      <w:r w:rsidRPr="00BF015A">
        <w:rPr>
          <w:lang w:val="en-CA" w:eastAsia="en-CA"/>
        </w:rPr>
        <w:t>Fair allocation of investment opportunities</w:t>
      </w:r>
      <w:r w:rsidR="005721B0" w:rsidRPr="00BF015A">
        <w:rPr>
          <w:lang w:val="en-CA" w:eastAsia="en-CA"/>
        </w:rPr>
        <w:t xml:space="preserve"> </w:t>
      </w:r>
      <w:r w:rsidR="005721B0" w:rsidRPr="00BF015A">
        <w:rPr>
          <w:b/>
          <w:lang w:val="en-CA" w:eastAsia="en-CA"/>
        </w:rPr>
        <w:t xml:space="preserve">// </w:t>
      </w:r>
      <w:r w:rsidR="00CB4E26">
        <w:rPr>
          <w:lang w:val="en-CA" w:eastAsia="en-CA"/>
        </w:rPr>
        <w:t xml:space="preserve">transaction charges the client my face </w:t>
      </w:r>
      <w:r w:rsidR="00CB4E26">
        <w:rPr>
          <w:b/>
          <w:lang w:val="en-CA" w:eastAsia="en-CA"/>
        </w:rPr>
        <w:t xml:space="preserve">// </w:t>
      </w:r>
      <w:r w:rsidRPr="00BF015A">
        <w:rPr>
          <w:lang w:val="en-CA" w:eastAsia="en-CA"/>
        </w:rPr>
        <w:t>Reports to clients</w:t>
      </w:r>
    </w:p>
    <w:p w:rsidR="00616EA4" w:rsidRDefault="00616EA4" w:rsidP="00FF0B61">
      <w:pPr>
        <w:spacing w:after="120" w:line="240" w:lineRule="auto"/>
        <w:jc w:val="both"/>
        <w:rPr>
          <w:lang w:val="en-CA" w:eastAsia="en-CA"/>
        </w:rPr>
      </w:pPr>
      <w:r w:rsidRPr="00342DA8">
        <w:rPr>
          <w:b/>
          <w:u w:val="single"/>
          <w:lang w:val="en-CA" w:eastAsia="en-CA"/>
        </w:rPr>
        <w:t>CHANGE OF REGISTRATION INFORMATION</w:t>
      </w:r>
      <w:r>
        <w:rPr>
          <w:b/>
          <w:lang w:val="en-CA" w:eastAsia="en-CA"/>
        </w:rPr>
        <w:t xml:space="preserve"> (</w:t>
      </w:r>
      <w:r w:rsidRPr="00616EA4">
        <w:rPr>
          <w:b/>
          <w:color w:val="7030A0"/>
          <w:lang w:val="en-CA" w:eastAsia="en-CA"/>
        </w:rPr>
        <w:t>NI 33-109 s.3.1</w:t>
      </w:r>
      <w:r>
        <w:rPr>
          <w:b/>
          <w:lang w:val="en-CA" w:eastAsia="en-CA"/>
        </w:rPr>
        <w:t xml:space="preserve">): </w:t>
      </w:r>
      <w:r w:rsidR="00982E35">
        <w:rPr>
          <w:lang w:val="en-CA" w:eastAsia="en-CA"/>
        </w:rPr>
        <w:t xml:space="preserve">Must notify Exe Dir of any changes to info previously submitted for review: </w:t>
      </w:r>
      <w:r w:rsidRPr="007A1683">
        <w:rPr>
          <w:b/>
          <w:color w:val="7030A0"/>
          <w:lang w:val="en-CA" w:eastAsia="en-CA"/>
        </w:rPr>
        <w:t xml:space="preserve">(1) </w:t>
      </w:r>
      <w:r w:rsidRPr="00616EA4">
        <w:rPr>
          <w:lang w:val="en-CA" w:eastAsia="en-CA"/>
        </w:rPr>
        <w:t>Changes must be submitted within 30 days, (</w:t>
      </w:r>
      <w:r w:rsidRPr="007A1683">
        <w:rPr>
          <w:b/>
          <w:color w:val="7030A0"/>
          <w:lang w:val="en-CA" w:eastAsia="en-CA"/>
        </w:rPr>
        <w:t xml:space="preserve">2) </w:t>
      </w:r>
      <w:r w:rsidRPr="00616EA4">
        <w:rPr>
          <w:lang w:val="en-CA" w:eastAsia="en-CA"/>
        </w:rPr>
        <w:t xml:space="preserve">Notice of change must be made using Form 33-109F5, </w:t>
      </w:r>
      <w:r w:rsidRPr="007A1683">
        <w:rPr>
          <w:b/>
          <w:color w:val="7030A0"/>
          <w:lang w:val="en-CA" w:eastAsia="en-CA"/>
        </w:rPr>
        <w:t>(4)</w:t>
      </w:r>
      <w:r w:rsidRPr="00616EA4">
        <w:rPr>
          <w:lang w:val="en-CA" w:eastAsia="en-CA"/>
        </w:rPr>
        <w:t xml:space="preserve"> Regarding name of agent for service: Changes must take 10 days</w:t>
      </w:r>
      <w:r w:rsidRPr="007A1683">
        <w:rPr>
          <w:b/>
          <w:color w:val="7030A0"/>
          <w:lang w:val="en-CA" w:eastAsia="en-CA"/>
        </w:rPr>
        <w:t xml:space="preserve">, (6) </w:t>
      </w:r>
      <w:r w:rsidRPr="00616EA4">
        <w:rPr>
          <w:lang w:val="en-CA" w:eastAsia="en-CA"/>
        </w:rPr>
        <w:t>Notice</w:t>
      </w:r>
    </w:p>
    <w:p w:rsidR="00DB2E26" w:rsidRPr="00DB2E26" w:rsidRDefault="00DB2E26" w:rsidP="00FF0B61">
      <w:pPr>
        <w:pStyle w:val="Heading1"/>
        <w:spacing w:after="0"/>
        <w:rPr>
          <w:lang w:val="en-CA" w:eastAsia="en-CA"/>
        </w:rPr>
      </w:pPr>
      <w:bookmarkStart w:id="70" w:name="_Toc468980441"/>
      <w:r w:rsidRPr="00C72EF8">
        <w:rPr>
          <w:lang w:val="en-CA" w:eastAsia="en-CA"/>
        </w:rPr>
        <w:t>Insider Trading</w:t>
      </w:r>
      <w:bookmarkEnd w:id="70"/>
      <w:r>
        <w:rPr>
          <w:lang w:val="en-CA" w:eastAsia="en-CA"/>
        </w:rPr>
        <w:t xml:space="preserve"> </w:t>
      </w:r>
    </w:p>
    <w:p w:rsidR="00130D1D" w:rsidRPr="00130D1D" w:rsidRDefault="00130D1D" w:rsidP="00FF0B61">
      <w:pPr>
        <w:pStyle w:val="Normal1"/>
        <w:widowControl w:val="0"/>
        <w:spacing w:line="240" w:lineRule="auto"/>
        <w:rPr>
          <w:rFonts w:asciiTheme="minorHAnsi" w:hAnsiTheme="minorHAnsi"/>
          <w:sz w:val="18"/>
          <w:szCs w:val="20"/>
        </w:rPr>
      </w:pPr>
      <w:r w:rsidRPr="00130D1D">
        <w:rPr>
          <w:rFonts w:asciiTheme="minorHAnsi" w:hAnsiTheme="minorHAnsi"/>
          <w:b/>
          <w:sz w:val="18"/>
          <w:szCs w:val="20"/>
          <w:u w:val="single"/>
        </w:rPr>
        <w:t xml:space="preserve">Policy: </w:t>
      </w:r>
      <w:r w:rsidR="008D5344">
        <w:rPr>
          <w:rFonts w:asciiTheme="minorHAnsi" w:hAnsiTheme="minorHAnsi"/>
          <w:b/>
          <w:sz w:val="18"/>
          <w:szCs w:val="20"/>
          <w:u w:val="single"/>
        </w:rPr>
        <w:t>F</w:t>
      </w:r>
      <w:r w:rsidRPr="00130D1D">
        <w:rPr>
          <w:rFonts w:asciiTheme="minorHAnsi" w:hAnsiTheme="minorHAnsi"/>
          <w:b/>
          <w:sz w:val="18"/>
          <w:szCs w:val="20"/>
          <w:u w:val="single"/>
        </w:rPr>
        <w:t>airness</w:t>
      </w:r>
    </w:p>
    <w:p w:rsidR="00130D1D" w:rsidRPr="00130D1D" w:rsidRDefault="00130D1D" w:rsidP="00FF0B61">
      <w:pPr>
        <w:pStyle w:val="Normal1"/>
        <w:widowControl w:val="0"/>
        <w:numPr>
          <w:ilvl w:val="0"/>
          <w:numId w:val="78"/>
        </w:numPr>
        <w:spacing w:line="240" w:lineRule="auto"/>
        <w:contextualSpacing/>
        <w:rPr>
          <w:rFonts w:asciiTheme="minorHAnsi" w:hAnsiTheme="minorHAnsi"/>
          <w:sz w:val="18"/>
          <w:szCs w:val="20"/>
        </w:rPr>
      </w:pPr>
      <w:r w:rsidRPr="00130D1D">
        <w:rPr>
          <w:rFonts w:asciiTheme="minorHAnsi" w:hAnsiTheme="minorHAnsi"/>
          <w:sz w:val="18"/>
          <w:szCs w:val="20"/>
        </w:rPr>
        <w:t xml:space="preserve">Risk-free trades are not allowed because they undermine this basic concept </w:t>
      </w:r>
    </w:p>
    <w:p w:rsidR="00130D1D" w:rsidRPr="003F3F1C" w:rsidRDefault="00130D1D" w:rsidP="00FF0B61">
      <w:pPr>
        <w:pStyle w:val="Normal1"/>
        <w:widowControl w:val="0"/>
        <w:numPr>
          <w:ilvl w:val="0"/>
          <w:numId w:val="78"/>
        </w:numPr>
        <w:spacing w:line="240" w:lineRule="auto"/>
        <w:contextualSpacing/>
        <w:rPr>
          <w:rFonts w:asciiTheme="minorHAnsi" w:hAnsiTheme="minorHAnsi"/>
          <w:sz w:val="18"/>
          <w:szCs w:val="20"/>
        </w:rPr>
      </w:pPr>
      <w:r w:rsidRPr="00130D1D">
        <w:rPr>
          <w:rFonts w:asciiTheme="minorHAnsi" w:hAnsiTheme="minorHAnsi"/>
          <w:sz w:val="18"/>
          <w:szCs w:val="20"/>
        </w:rPr>
        <w:t>Therefore, the IT prohibition is based on a theory o</w:t>
      </w:r>
      <w:r w:rsidR="003F3F1C">
        <w:rPr>
          <w:rFonts w:asciiTheme="minorHAnsi" w:hAnsiTheme="minorHAnsi"/>
          <w:sz w:val="18"/>
          <w:szCs w:val="20"/>
        </w:rPr>
        <w:t xml:space="preserve">f “equal access” to information. </w:t>
      </w:r>
      <w:r w:rsidRPr="003F3F1C">
        <w:rPr>
          <w:rFonts w:asciiTheme="minorHAnsi" w:hAnsiTheme="minorHAnsi"/>
          <w:sz w:val="18"/>
          <w:szCs w:val="20"/>
        </w:rPr>
        <w:t>Insiders should be required to a report if they are in a position to receive or have access to MNPI before it is disclosed and/or are in a position to have control over the issuer</w:t>
      </w:r>
    </w:p>
    <w:p w:rsidR="00130D1D" w:rsidRPr="00130D1D" w:rsidRDefault="00130D1D" w:rsidP="00FF0B61">
      <w:pPr>
        <w:pStyle w:val="Normal1"/>
        <w:widowControl w:val="0"/>
        <w:spacing w:line="240" w:lineRule="auto"/>
        <w:rPr>
          <w:rFonts w:asciiTheme="minorHAnsi" w:hAnsiTheme="minorHAnsi"/>
          <w:sz w:val="18"/>
          <w:szCs w:val="20"/>
        </w:rPr>
      </w:pPr>
    </w:p>
    <w:p w:rsidR="00130D1D" w:rsidRPr="00130D1D" w:rsidRDefault="00130D1D" w:rsidP="00FF0B61">
      <w:pPr>
        <w:pStyle w:val="Normal1"/>
        <w:widowControl w:val="0"/>
        <w:spacing w:line="240" w:lineRule="auto"/>
        <w:rPr>
          <w:rFonts w:asciiTheme="minorHAnsi" w:hAnsiTheme="minorHAnsi"/>
          <w:sz w:val="18"/>
          <w:szCs w:val="20"/>
        </w:rPr>
      </w:pPr>
      <w:r w:rsidRPr="00130D1D">
        <w:rPr>
          <w:rFonts w:asciiTheme="minorHAnsi" w:hAnsiTheme="minorHAnsi"/>
          <w:b/>
          <w:sz w:val="18"/>
          <w:szCs w:val="20"/>
          <w:u w:val="single"/>
        </w:rPr>
        <w:t>Critiques:</w:t>
      </w:r>
    </w:p>
    <w:p w:rsidR="00130D1D" w:rsidRPr="004C2E0D" w:rsidRDefault="00130D1D" w:rsidP="00FF0B61">
      <w:pPr>
        <w:pStyle w:val="Normal1"/>
        <w:widowControl w:val="0"/>
        <w:numPr>
          <w:ilvl w:val="0"/>
          <w:numId w:val="78"/>
        </w:numPr>
        <w:spacing w:line="240" w:lineRule="auto"/>
        <w:contextualSpacing/>
        <w:rPr>
          <w:rFonts w:asciiTheme="minorHAnsi" w:hAnsiTheme="minorHAnsi"/>
          <w:sz w:val="18"/>
          <w:szCs w:val="18"/>
        </w:rPr>
      </w:pPr>
      <w:r w:rsidRPr="00130D1D">
        <w:rPr>
          <w:rFonts w:asciiTheme="minorHAnsi" w:hAnsiTheme="minorHAnsi"/>
          <w:sz w:val="18"/>
          <w:szCs w:val="20"/>
        </w:rPr>
        <w:t xml:space="preserve">If IT allowed, share prices might more correctly reflect the value of the securities because to some extent would reflect ALL </w:t>
      </w:r>
      <w:r w:rsidRPr="00DC3B7D">
        <w:rPr>
          <w:rFonts w:asciiTheme="minorHAnsi" w:hAnsiTheme="minorHAnsi"/>
          <w:sz w:val="18"/>
          <w:szCs w:val="18"/>
        </w:rPr>
        <w:t>information</w:t>
      </w:r>
      <w:r w:rsidR="004C2E0D">
        <w:rPr>
          <w:rFonts w:asciiTheme="minorHAnsi" w:hAnsiTheme="minorHAnsi"/>
          <w:sz w:val="18"/>
          <w:szCs w:val="18"/>
        </w:rPr>
        <w:t xml:space="preserve"> </w:t>
      </w:r>
      <w:r w:rsidR="004C2E0D">
        <w:rPr>
          <w:rFonts w:asciiTheme="minorHAnsi" w:hAnsiTheme="minorHAnsi"/>
          <w:b/>
          <w:sz w:val="18"/>
          <w:szCs w:val="18"/>
        </w:rPr>
        <w:t xml:space="preserve">// </w:t>
      </w:r>
      <w:r w:rsidRPr="004C2E0D">
        <w:rPr>
          <w:rFonts w:asciiTheme="minorHAnsi" w:hAnsiTheme="minorHAnsi"/>
          <w:sz w:val="18"/>
          <w:szCs w:val="18"/>
        </w:rPr>
        <w:t>These arguments have not carried the day in Canada (nor would they go far as a defense)</w:t>
      </w:r>
    </w:p>
    <w:p w:rsidR="00467E0A" w:rsidRDefault="00C92586" w:rsidP="00FF0B61">
      <w:pPr>
        <w:pStyle w:val="ListParagraph"/>
        <w:numPr>
          <w:ilvl w:val="0"/>
          <w:numId w:val="79"/>
        </w:numPr>
        <w:rPr>
          <w:lang w:val="en-CA" w:eastAsia="en-CA"/>
        </w:rPr>
      </w:pPr>
      <w:r w:rsidRPr="00C92586">
        <w:rPr>
          <w:b/>
          <w:i/>
          <w:lang w:val="en-CA" w:eastAsia="en-CA"/>
        </w:rPr>
        <w:t>W</w:t>
      </w:r>
      <w:r w:rsidR="00467E0A" w:rsidRPr="00C92586">
        <w:rPr>
          <w:b/>
          <w:i/>
          <w:lang w:val="en-CA" w:eastAsia="en-CA"/>
        </w:rPr>
        <w:t>hy complicated</w:t>
      </w:r>
      <w:r w:rsidR="00467E0A">
        <w:rPr>
          <w:lang w:val="en-CA" w:eastAsia="en-CA"/>
        </w:rPr>
        <w:t>: How much the fine is depends mor</w:t>
      </w:r>
      <w:r w:rsidR="009B2694">
        <w:rPr>
          <w:lang w:val="en-CA" w:eastAsia="en-CA"/>
        </w:rPr>
        <w:t>e on how much money is involved</w:t>
      </w:r>
      <w:r w:rsidR="00467E0A">
        <w:rPr>
          <w:lang w:val="en-CA" w:eastAsia="en-CA"/>
        </w:rPr>
        <w:t xml:space="preserve"> rather than how culpable an in</w:t>
      </w:r>
      <w:r w:rsidR="00F247C6">
        <w:rPr>
          <w:lang w:val="en-CA" w:eastAsia="en-CA"/>
        </w:rPr>
        <w:t>dividual was (e.g. 9 year sentences); Scalping – easier to go after insider traders than ppl who caused financial crisis</w:t>
      </w:r>
      <w:r w:rsidR="00397F46">
        <w:rPr>
          <w:lang w:val="en-CA" w:eastAsia="en-CA"/>
        </w:rPr>
        <w:t xml:space="preserve">; Never person at the top of insider trading who get big sentence, it is the lower down ppl who can be scapegoated; </w:t>
      </w:r>
      <w:r w:rsidR="00DD1CAB">
        <w:rPr>
          <w:lang w:val="en-CA" w:eastAsia="en-CA"/>
        </w:rPr>
        <w:t xml:space="preserve">Canada is lenient on insider trading – difficult to prove </w:t>
      </w:r>
      <w:r w:rsidR="00152B8D">
        <w:rPr>
          <w:lang w:val="en-CA" w:eastAsia="en-CA"/>
        </w:rPr>
        <w:t>as use circumstantial E</w:t>
      </w:r>
      <w:r w:rsidR="00254EED">
        <w:rPr>
          <w:lang w:val="en-CA" w:eastAsia="en-CA"/>
        </w:rPr>
        <w:t xml:space="preserve">. </w:t>
      </w:r>
      <w:r w:rsidR="00DD1CAB">
        <w:rPr>
          <w:lang w:val="en-CA" w:eastAsia="en-CA"/>
        </w:rPr>
        <w:t xml:space="preserve">  </w:t>
      </w:r>
    </w:p>
    <w:p w:rsidR="00B46FF3" w:rsidRPr="00B46FF3" w:rsidRDefault="00B46FF3" w:rsidP="00FF0B61">
      <w:pPr>
        <w:spacing w:line="240" w:lineRule="auto"/>
        <w:rPr>
          <w:lang w:val="en-CA" w:eastAsia="en-CA"/>
        </w:rPr>
      </w:pPr>
      <w:r>
        <w:rPr>
          <w:b/>
          <w:u w:val="single"/>
          <w:lang w:val="en-CA" w:eastAsia="en-CA"/>
        </w:rPr>
        <w:t>Difference b/w Illegal and Legal IT:</w:t>
      </w:r>
      <w:r>
        <w:rPr>
          <w:b/>
          <w:lang w:val="en-CA" w:eastAsia="en-CA"/>
        </w:rPr>
        <w:t xml:space="preserve"> </w:t>
      </w:r>
      <w:r>
        <w:rPr>
          <w:lang w:val="en-CA" w:eastAsia="en-CA"/>
        </w:rPr>
        <w:t xml:space="preserve">The insider’s (or special relationship person’s) state of knowledge at the time of the impugned activity. </w:t>
      </w:r>
    </w:p>
    <w:p w:rsidR="009B2694" w:rsidRPr="00904747" w:rsidRDefault="00F77802" w:rsidP="00FF0B61">
      <w:pPr>
        <w:pStyle w:val="Heading2"/>
        <w:spacing w:line="240" w:lineRule="auto"/>
        <w:rPr>
          <w:lang w:val="en-CA" w:eastAsia="en-CA"/>
        </w:rPr>
      </w:pPr>
      <w:bookmarkStart w:id="71" w:name="_Toc468980442"/>
      <w:r w:rsidRPr="00904747">
        <w:rPr>
          <w:lang w:val="en-CA" w:eastAsia="en-CA"/>
        </w:rPr>
        <w:t>Legal</w:t>
      </w:r>
      <w:r w:rsidR="00FF2FD7" w:rsidRPr="00904747">
        <w:rPr>
          <w:lang w:val="en-CA" w:eastAsia="en-CA"/>
        </w:rPr>
        <w:t xml:space="preserve"> Insider Trading</w:t>
      </w:r>
      <w:r w:rsidR="009B2694" w:rsidRPr="00904747">
        <w:rPr>
          <w:lang w:val="en-CA" w:eastAsia="en-CA"/>
        </w:rPr>
        <w:t xml:space="preserve"> (Reporting Issuer)</w:t>
      </w:r>
      <w:bookmarkEnd w:id="71"/>
    </w:p>
    <w:p w:rsidR="00B46FF3" w:rsidRDefault="00DE6D66" w:rsidP="00FF0B61">
      <w:pPr>
        <w:pStyle w:val="Normal1"/>
        <w:widowControl w:val="0"/>
        <w:spacing w:line="240" w:lineRule="auto"/>
        <w:contextualSpacing/>
        <w:rPr>
          <w:rFonts w:asciiTheme="minorHAnsi" w:hAnsiTheme="minorHAnsi"/>
          <w:sz w:val="18"/>
          <w:szCs w:val="20"/>
        </w:rPr>
      </w:pPr>
      <w:r w:rsidRPr="00DE6D66">
        <w:rPr>
          <w:rFonts w:asciiTheme="minorHAnsi" w:hAnsiTheme="minorHAnsi"/>
          <w:b/>
          <w:color w:val="auto"/>
          <w:sz w:val="18"/>
          <w:szCs w:val="20"/>
          <w:u w:val="single"/>
        </w:rPr>
        <w:t>Criteria</w:t>
      </w:r>
      <w:r w:rsidR="00C440AB" w:rsidRPr="00904747">
        <w:rPr>
          <w:rFonts w:asciiTheme="minorHAnsi" w:hAnsiTheme="minorHAnsi"/>
          <w:sz w:val="18"/>
          <w:szCs w:val="20"/>
        </w:rPr>
        <w:t xml:space="preserve">: </w:t>
      </w:r>
      <w:r w:rsidR="00C440AB" w:rsidRPr="00904747">
        <w:rPr>
          <w:rFonts w:asciiTheme="minorHAnsi" w:hAnsiTheme="minorHAnsi"/>
          <w:b/>
          <w:sz w:val="18"/>
          <w:szCs w:val="20"/>
        </w:rPr>
        <w:t xml:space="preserve">1) </w:t>
      </w:r>
      <w:r w:rsidR="00B46FF3" w:rsidRPr="00904747">
        <w:rPr>
          <w:rFonts w:asciiTheme="minorHAnsi" w:hAnsiTheme="minorHAnsi"/>
          <w:sz w:val="18"/>
          <w:szCs w:val="20"/>
        </w:rPr>
        <w:t xml:space="preserve">Person is an </w:t>
      </w:r>
      <w:r w:rsidR="00B46FF3" w:rsidRPr="00904747">
        <w:rPr>
          <w:rFonts w:asciiTheme="minorHAnsi" w:hAnsiTheme="minorHAnsi"/>
          <w:b/>
          <w:i/>
          <w:sz w:val="18"/>
          <w:szCs w:val="20"/>
        </w:rPr>
        <w:t>insider</w:t>
      </w:r>
      <w:r w:rsidR="00C440AB" w:rsidRPr="00904747">
        <w:rPr>
          <w:rFonts w:asciiTheme="minorHAnsi" w:hAnsiTheme="minorHAnsi"/>
          <w:b/>
          <w:i/>
          <w:sz w:val="18"/>
          <w:szCs w:val="20"/>
        </w:rPr>
        <w:t xml:space="preserve">; </w:t>
      </w:r>
      <w:r w:rsidR="00C440AB" w:rsidRPr="00904747">
        <w:rPr>
          <w:rFonts w:asciiTheme="minorHAnsi" w:hAnsiTheme="minorHAnsi"/>
          <w:b/>
          <w:sz w:val="18"/>
          <w:szCs w:val="20"/>
        </w:rPr>
        <w:t xml:space="preserve">2) </w:t>
      </w:r>
      <w:r w:rsidR="00B46FF3" w:rsidRPr="00904747">
        <w:rPr>
          <w:rFonts w:asciiTheme="minorHAnsi" w:hAnsiTheme="minorHAnsi"/>
          <w:sz w:val="18"/>
          <w:szCs w:val="20"/>
        </w:rPr>
        <w:t xml:space="preserve">Does </w:t>
      </w:r>
      <w:r w:rsidR="00B46FF3" w:rsidRPr="00904747">
        <w:rPr>
          <w:rFonts w:asciiTheme="minorHAnsi" w:hAnsiTheme="minorHAnsi"/>
          <w:b/>
          <w:sz w:val="18"/>
          <w:szCs w:val="20"/>
          <w:u w:val="single"/>
        </w:rPr>
        <w:t>not have</w:t>
      </w:r>
      <w:r w:rsidR="00B46FF3" w:rsidRPr="00904747">
        <w:rPr>
          <w:rFonts w:asciiTheme="minorHAnsi" w:hAnsiTheme="minorHAnsi"/>
          <w:sz w:val="18"/>
          <w:szCs w:val="20"/>
        </w:rPr>
        <w:t xml:space="preserve"> materia</w:t>
      </w:r>
      <w:r w:rsidR="003D1B31">
        <w:rPr>
          <w:rFonts w:asciiTheme="minorHAnsi" w:hAnsiTheme="minorHAnsi"/>
          <w:sz w:val="18"/>
          <w:szCs w:val="20"/>
        </w:rPr>
        <w:t>l non-public information</w:t>
      </w:r>
      <w:r w:rsidR="00C440AB" w:rsidRPr="00904747">
        <w:rPr>
          <w:rFonts w:asciiTheme="minorHAnsi" w:hAnsiTheme="minorHAnsi"/>
          <w:sz w:val="18"/>
          <w:szCs w:val="20"/>
        </w:rPr>
        <w:t xml:space="preserve">; </w:t>
      </w:r>
      <w:r w:rsidR="00C440AB" w:rsidRPr="00904747">
        <w:rPr>
          <w:rFonts w:asciiTheme="minorHAnsi" w:hAnsiTheme="minorHAnsi"/>
          <w:b/>
          <w:sz w:val="18"/>
          <w:szCs w:val="20"/>
        </w:rPr>
        <w:t xml:space="preserve">3) </w:t>
      </w:r>
      <w:r w:rsidR="00B46FF3" w:rsidRPr="00904747">
        <w:rPr>
          <w:rFonts w:asciiTheme="minorHAnsi" w:hAnsiTheme="minorHAnsi"/>
          <w:sz w:val="18"/>
          <w:szCs w:val="20"/>
        </w:rPr>
        <w:t xml:space="preserve">If a </w:t>
      </w:r>
      <w:r w:rsidR="00724DF2">
        <w:rPr>
          <w:rFonts w:asciiTheme="minorHAnsi" w:hAnsiTheme="minorHAnsi"/>
          <w:b/>
          <w:sz w:val="18"/>
          <w:szCs w:val="20"/>
        </w:rPr>
        <w:t>“</w:t>
      </w:r>
      <w:r w:rsidR="00B46FF3" w:rsidRPr="00724DF2">
        <w:rPr>
          <w:rFonts w:asciiTheme="minorHAnsi" w:hAnsiTheme="minorHAnsi"/>
          <w:b/>
          <w:sz w:val="18"/>
          <w:szCs w:val="20"/>
        </w:rPr>
        <w:t>reporting insider</w:t>
      </w:r>
      <w:r w:rsidR="00724DF2">
        <w:rPr>
          <w:rFonts w:asciiTheme="minorHAnsi" w:hAnsiTheme="minorHAnsi"/>
          <w:sz w:val="18"/>
          <w:szCs w:val="20"/>
        </w:rPr>
        <w:t>”</w:t>
      </w:r>
      <w:r w:rsidR="00B46FF3" w:rsidRPr="00904747">
        <w:rPr>
          <w:rFonts w:asciiTheme="minorHAnsi" w:hAnsiTheme="minorHAnsi"/>
          <w:sz w:val="18"/>
          <w:szCs w:val="20"/>
        </w:rPr>
        <w:t xml:space="preserve">, files an </w:t>
      </w:r>
      <w:r w:rsidR="00B46FF3" w:rsidRPr="00904747">
        <w:rPr>
          <w:rFonts w:asciiTheme="minorHAnsi" w:hAnsiTheme="minorHAnsi"/>
          <w:b/>
          <w:i/>
          <w:sz w:val="18"/>
          <w:szCs w:val="20"/>
        </w:rPr>
        <w:t>insider trading report</w:t>
      </w:r>
      <w:r w:rsidR="00B46FF3" w:rsidRPr="00B46FF3">
        <w:rPr>
          <w:rFonts w:asciiTheme="minorHAnsi" w:hAnsiTheme="minorHAnsi"/>
          <w:sz w:val="18"/>
          <w:szCs w:val="20"/>
        </w:rPr>
        <w:t xml:space="preserve"> </w:t>
      </w:r>
    </w:p>
    <w:p w:rsidR="00CF2F3D" w:rsidRPr="00CF2F3D" w:rsidRDefault="00CF2F3D" w:rsidP="00FF0B61">
      <w:pPr>
        <w:pStyle w:val="Normal1"/>
        <w:widowControl w:val="0"/>
        <w:numPr>
          <w:ilvl w:val="0"/>
          <w:numId w:val="79"/>
        </w:numPr>
        <w:spacing w:line="240" w:lineRule="auto"/>
        <w:contextualSpacing/>
        <w:rPr>
          <w:rFonts w:asciiTheme="minorHAnsi" w:hAnsiTheme="minorHAnsi"/>
          <w:sz w:val="18"/>
          <w:szCs w:val="20"/>
        </w:rPr>
      </w:pPr>
      <w:r w:rsidRPr="00CF2F3D">
        <w:rPr>
          <w:rFonts w:asciiTheme="minorHAnsi" w:hAnsiTheme="minorHAnsi"/>
          <w:b/>
          <w:color w:val="7030A0"/>
          <w:sz w:val="18"/>
          <w:szCs w:val="20"/>
        </w:rPr>
        <w:t>NI 55-102</w:t>
      </w:r>
      <w:r w:rsidRPr="00CF2F3D">
        <w:rPr>
          <w:rFonts w:asciiTheme="minorHAnsi" w:eastAsia="Nova Mono" w:hAnsiTheme="minorHAnsi"/>
          <w:color w:val="7030A0"/>
          <w:sz w:val="18"/>
          <w:szCs w:val="20"/>
        </w:rPr>
        <w:t xml:space="preserve"> </w:t>
      </w:r>
      <w:r w:rsidRPr="00B22BAD">
        <w:rPr>
          <w:rFonts w:asciiTheme="minorHAnsi" w:eastAsia="Nova Mono" w:hAnsiTheme="minorHAnsi"/>
          <w:b/>
          <w:sz w:val="18"/>
          <w:szCs w:val="20"/>
        </w:rPr>
        <w:t>→</w:t>
      </w:r>
      <w:r w:rsidRPr="00CF2F3D">
        <w:rPr>
          <w:rFonts w:asciiTheme="minorHAnsi" w:eastAsia="Nova Mono" w:hAnsiTheme="minorHAnsi"/>
          <w:sz w:val="18"/>
          <w:szCs w:val="20"/>
        </w:rPr>
        <w:t xml:space="preserve"> </w:t>
      </w:r>
      <w:r w:rsidRPr="00CF2F3D">
        <w:rPr>
          <w:rFonts w:asciiTheme="minorHAnsi" w:hAnsiTheme="minorHAnsi"/>
          <w:i/>
          <w:sz w:val="18"/>
          <w:szCs w:val="20"/>
        </w:rPr>
        <w:t>prima facie</w:t>
      </w:r>
      <w:r w:rsidRPr="00CF2F3D">
        <w:rPr>
          <w:rFonts w:asciiTheme="minorHAnsi" w:hAnsiTheme="minorHAnsi"/>
          <w:sz w:val="18"/>
          <w:szCs w:val="20"/>
        </w:rPr>
        <w:t xml:space="preserve"> all insiders must file an “insider profile” on SEDI + an ITR as a signal to the market</w:t>
      </w:r>
    </w:p>
    <w:p w:rsidR="00CF2F3D" w:rsidRDefault="00CF2F3D" w:rsidP="00FF0B61">
      <w:pPr>
        <w:pStyle w:val="Normal1"/>
        <w:widowControl w:val="0"/>
        <w:spacing w:line="240" w:lineRule="auto"/>
        <w:contextualSpacing/>
        <w:rPr>
          <w:rFonts w:asciiTheme="minorHAnsi" w:hAnsiTheme="minorHAnsi"/>
          <w:sz w:val="18"/>
          <w:szCs w:val="20"/>
        </w:rPr>
      </w:pPr>
    </w:p>
    <w:p w:rsidR="009E6B3F" w:rsidRDefault="000473B4" w:rsidP="00FF0B61">
      <w:pPr>
        <w:spacing w:after="0" w:line="240" w:lineRule="auto"/>
        <w:rPr>
          <w:b/>
        </w:rPr>
      </w:pPr>
      <w:r w:rsidRPr="00511CFD">
        <w:rPr>
          <w:b/>
        </w:rPr>
        <w:t>“Insider”</w:t>
      </w:r>
      <w:r w:rsidR="00C55F1D" w:rsidRPr="00511CFD">
        <w:rPr>
          <w:b/>
        </w:rPr>
        <w:t xml:space="preserve"> (</w:t>
      </w:r>
      <w:r w:rsidR="00C55F1D" w:rsidRPr="00511CFD">
        <w:rPr>
          <w:b/>
          <w:color w:val="C45911" w:themeColor="accent2" w:themeShade="BF"/>
        </w:rPr>
        <w:t>BCSA s.1(1)</w:t>
      </w:r>
      <w:r w:rsidR="00C55F1D" w:rsidRPr="00511CFD">
        <w:rPr>
          <w:b/>
        </w:rPr>
        <w:t xml:space="preserve">): </w:t>
      </w:r>
    </w:p>
    <w:p w:rsidR="007A0F44" w:rsidRDefault="007A0F44" w:rsidP="00FF0B61">
      <w:pPr>
        <w:pStyle w:val="ListParagraph"/>
        <w:numPr>
          <w:ilvl w:val="0"/>
          <w:numId w:val="79"/>
        </w:numPr>
        <w:spacing w:after="0"/>
        <w:rPr>
          <w:szCs w:val="20"/>
        </w:rPr>
      </w:pPr>
      <w:r w:rsidRPr="009E6B3F">
        <w:rPr>
          <w:szCs w:val="20"/>
        </w:rPr>
        <w:t xml:space="preserve">A </w:t>
      </w:r>
      <w:r w:rsidRPr="009E6B3F">
        <w:rPr>
          <w:b/>
          <w:szCs w:val="20"/>
        </w:rPr>
        <w:t>DIR or OFR</w:t>
      </w:r>
      <w:r w:rsidR="0002743F">
        <w:rPr>
          <w:szCs w:val="20"/>
        </w:rPr>
        <w:t xml:space="preserve"> of the issuer</w:t>
      </w:r>
      <w:r w:rsidR="009C03FC">
        <w:rPr>
          <w:szCs w:val="20"/>
        </w:rPr>
        <w:t xml:space="preserve"> (or subsidiaries)</w:t>
      </w:r>
      <w:r w:rsidR="0002743F">
        <w:rPr>
          <w:szCs w:val="20"/>
        </w:rPr>
        <w:t xml:space="preserve"> (</w:t>
      </w:r>
      <w:r w:rsidR="0002743F" w:rsidRPr="009C03FC">
        <w:rPr>
          <w:b/>
          <w:szCs w:val="20"/>
        </w:rPr>
        <w:t>incls</w:t>
      </w:r>
      <w:r w:rsidR="009C03FC">
        <w:rPr>
          <w:b/>
          <w:szCs w:val="20"/>
        </w:rPr>
        <w:t>:</w:t>
      </w:r>
      <w:r w:rsidR="0002743F">
        <w:rPr>
          <w:szCs w:val="20"/>
        </w:rPr>
        <w:t xml:space="preserve"> Person who lack title but act in a similar capacity)</w:t>
      </w:r>
    </w:p>
    <w:p w:rsidR="007A0F44" w:rsidRDefault="007A0F44" w:rsidP="00FF0B61">
      <w:pPr>
        <w:pStyle w:val="ListParagraph"/>
        <w:numPr>
          <w:ilvl w:val="0"/>
          <w:numId w:val="94"/>
        </w:numPr>
        <w:spacing w:after="0"/>
        <w:rPr>
          <w:szCs w:val="20"/>
        </w:rPr>
      </w:pPr>
      <w:r w:rsidRPr="007A0F44">
        <w:rPr>
          <w:szCs w:val="20"/>
        </w:rPr>
        <w:t xml:space="preserve">A </w:t>
      </w:r>
      <w:r w:rsidR="00905E3E">
        <w:rPr>
          <w:b/>
          <w:szCs w:val="20"/>
        </w:rPr>
        <w:t>DIR</w:t>
      </w:r>
      <w:r w:rsidRPr="007A0F44">
        <w:rPr>
          <w:b/>
          <w:szCs w:val="20"/>
        </w:rPr>
        <w:t xml:space="preserve"> or </w:t>
      </w:r>
      <w:r w:rsidR="00905E3E">
        <w:rPr>
          <w:b/>
          <w:szCs w:val="20"/>
        </w:rPr>
        <w:t>OFR</w:t>
      </w:r>
      <w:r w:rsidRPr="007A0F44">
        <w:rPr>
          <w:b/>
          <w:szCs w:val="20"/>
        </w:rPr>
        <w:t xml:space="preserve"> of a person that is itself an insider or subsidiary</w:t>
      </w:r>
      <w:r w:rsidRPr="007A0F44">
        <w:rPr>
          <w:szCs w:val="20"/>
        </w:rPr>
        <w:t xml:space="preserve"> of the issuer;</w:t>
      </w:r>
    </w:p>
    <w:p w:rsidR="00A27AC6" w:rsidRPr="00A27AC6" w:rsidRDefault="00A27AC6" w:rsidP="00FF0B61">
      <w:pPr>
        <w:pStyle w:val="Normal1"/>
        <w:widowControl w:val="0"/>
        <w:numPr>
          <w:ilvl w:val="1"/>
          <w:numId w:val="94"/>
        </w:numPr>
        <w:spacing w:line="240" w:lineRule="auto"/>
        <w:contextualSpacing/>
        <w:rPr>
          <w:rFonts w:asciiTheme="minorHAnsi" w:hAnsiTheme="minorHAnsi"/>
          <w:sz w:val="18"/>
          <w:szCs w:val="20"/>
        </w:rPr>
      </w:pPr>
      <w:r w:rsidRPr="00E15269">
        <w:rPr>
          <w:rFonts w:asciiTheme="minorHAnsi" w:hAnsiTheme="minorHAnsi"/>
          <w:b/>
          <w:i/>
          <w:sz w:val="18"/>
          <w:szCs w:val="20"/>
        </w:rPr>
        <w:lastRenderedPageBreak/>
        <w:t>Subsidiary:</w:t>
      </w:r>
      <w:r w:rsidRPr="00A27AC6">
        <w:rPr>
          <w:rFonts w:asciiTheme="minorHAnsi" w:hAnsiTheme="minorHAnsi"/>
          <w:sz w:val="18"/>
          <w:szCs w:val="20"/>
        </w:rPr>
        <w:t xml:space="preserve"> in</w:t>
      </w:r>
      <w:r>
        <w:rPr>
          <w:rFonts w:asciiTheme="minorHAnsi" w:hAnsiTheme="minorHAnsi"/>
          <w:sz w:val="18"/>
          <w:szCs w:val="20"/>
        </w:rPr>
        <w:t>cludes all chains of corp</w:t>
      </w:r>
      <w:r w:rsidRPr="00A27AC6">
        <w:rPr>
          <w:rFonts w:asciiTheme="minorHAnsi" w:hAnsiTheme="minorHAnsi"/>
          <w:sz w:val="18"/>
          <w:szCs w:val="20"/>
        </w:rPr>
        <w:t>s under the control of the issuer + control is legal in that the issuer has more t</w:t>
      </w:r>
      <w:r w:rsidR="00E15269">
        <w:rPr>
          <w:rFonts w:asciiTheme="minorHAnsi" w:hAnsiTheme="minorHAnsi"/>
          <w:sz w:val="18"/>
          <w:szCs w:val="20"/>
        </w:rPr>
        <w:t>han 50% of the other corp</w:t>
      </w:r>
      <w:r w:rsidRPr="00A27AC6">
        <w:rPr>
          <w:rFonts w:asciiTheme="minorHAnsi" w:hAnsiTheme="minorHAnsi"/>
          <w:sz w:val="18"/>
          <w:szCs w:val="20"/>
        </w:rPr>
        <w:t xml:space="preserve">’s shares </w:t>
      </w:r>
    </w:p>
    <w:p w:rsidR="007A0F44" w:rsidRPr="007A0F44" w:rsidRDefault="007A0F44" w:rsidP="00FF0B61">
      <w:pPr>
        <w:pStyle w:val="ListParagraph"/>
        <w:numPr>
          <w:ilvl w:val="0"/>
          <w:numId w:val="94"/>
        </w:numPr>
        <w:spacing w:after="0"/>
        <w:rPr>
          <w:szCs w:val="20"/>
        </w:rPr>
      </w:pPr>
      <w:r w:rsidRPr="007A0F44">
        <w:rPr>
          <w:szCs w:val="20"/>
        </w:rPr>
        <w:t xml:space="preserve">A person that has indirect or direct control over, or beneficial ownership of, </w:t>
      </w:r>
      <w:r w:rsidRPr="007A0F44">
        <w:rPr>
          <w:b/>
          <w:szCs w:val="20"/>
        </w:rPr>
        <w:t>more than 10% of voting rights</w:t>
      </w:r>
      <w:r w:rsidRPr="007A0F44">
        <w:rPr>
          <w:szCs w:val="20"/>
        </w:rPr>
        <w:t xml:space="preserve"> attached to all the issuer’</w:t>
      </w:r>
      <w:r w:rsidR="00213F7E">
        <w:rPr>
          <w:szCs w:val="20"/>
        </w:rPr>
        <w:t>s outstanding voting securities (</w:t>
      </w:r>
      <w:r w:rsidR="00213F7E">
        <w:rPr>
          <w:b/>
          <w:i/>
          <w:szCs w:val="20"/>
        </w:rPr>
        <w:t xml:space="preserve">excludes: </w:t>
      </w:r>
      <w:r w:rsidR="00213F7E">
        <w:rPr>
          <w:szCs w:val="20"/>
        </w:rPr>
        <w:t>securities held by UW’s during a distribution)</w:t>
      </w:r>
    </w:p>
    <w:p w:rsidR="007A0F44" w:rsidRPr="007A0F44" w:rsidRDefault="007A0F44" w:rsidP="00FF0B61">
      <w:pPr>
        <w:pStyle w:val="ListParagraph"/>
        <w:numPr>
          <w:ilvl w:val="0"/>
          <w:numId w:val="94"/>
        </w:numPr>
        <w:spacing w:after="0"/>
        <w:rPr>
          <w:szCs w:val="20"/>
        </w:rPr>
      </w:pPr>
      <w:r w:rsidRPr="007A0F44">
        <w:rPr>
          <w:szCs w:val="20"/>
        </w:rPr>
        <w:t xml:space="preserve">An </w:t>
      </w:r>
      <w:r w:rsidRPr="007A0F44">
        <w:rPr>
          <w:b/>
          <w:szCs w:val="20"/>
        </w:rPr>
        <w:t xml:space="preserve">issuer that has purchased, redeemed or otherwise acquired </w:t>
      </w:r>
      <w:r w:rsidRPr="009C03FC">
        <w:rPr>
          <w:b/>
          <w:szCs w:val="20"/>
          <w:u w:val="single"/>
        </w:rPr>
        <w:t>its own securities</w:t>
      </w:r>
      <w:r w:rsidRPr="007A0F44">
        <w:rPr>
          <w:szCs w:val="20"/>
        </w:rPr>
        <w:t xml:space="preserve">; or, </w:t>
      </w:r>
    </w:p>
    <w:p w:rsidR="007A0F44" w:rsidRDefault="007A0F44" w:rsidP="00FF0B61">
      <w:pPr>
        <w:pStyle w:val="ListParagraph"/>
        <w:numPr>
          <w:ilvl w:val="0"/>
          <w:numId w:val="94"/>
        </w:numPr>
        <w:spacing w:after="0"/>
        <w:rPr>
          <w:szCs w:val="20"/>
        </w:rPr>
      </w:pPr>
      <w:r w:rsidRPr="007A0F44">
        <w:rPr>
          <w:szCs w:val="20"/>
        </w:rPr>
        <w:t>A person</w:t>
      </w:r>
      <w:r w:rsidRPr="000B20F0">
        <w:rPr>
          <w:szCs w:val="20"/>
          <w:u w:val="single"/>
        </w:rPr>
        <w:t xml:space="preserve"> </w:t>
      </w:r>
      <w:r w:rsidRPr="000B20F0">
        <w:rPr>
          <w:b/>
          <w:szCs w:val="20"/>
          <w:u w:val="single"/>
        </w:rPr>
        <w:t>designated</w:t>
      </w:r>
      <w:r w:rsidRPr="007A0F44">
        <w:rPr>
          <w:b/>
          <w:szCs w:val="20"/>
        </w:rPr>
        <w:t xml:space="preserve"> as an insider by the regulator</w:t>
      </w:r>
      <w:r w:rsidRPr="007A0F44">
        <w:rPr>
          <w:szCs w:val="20"/>
        </w:rPr>
        <w:t xml:space="preserve"> “in the public interest” under BCSA s. 3.2.</w:t>
      </w:r>
    </w:p>
    <w:p w:rsidR="00ED07AD" w:rsidRPr="009B470C" w:rsidRDefault="00ED07AD" w:rsidP="00FF0B61">
      <w:pPr>
        <w:spacing w:after="0" w:line="240" w:lineRule="auto"/>
        <w:rPr>
          <w:szCs w:val="20"/>
        </w:rPr>
      </w:pPr>
    </w:p>
    <w:p w:rsidR="008A72B9" w:rsidRDefault="008A72B9" w:rsidP="00FF0B61">
      <w:pPr>
        <w:spacing w:after="0" w:line="240" w:lineRule="auto"/>
        <w:rPr>
          <w:b/>
        </w:rPr>
      </w:pPr>
      <w:r>
        <w:rPr>
          <w:b/>
        </w:rPr>
        <w:t xml:space="preserve"> “</w:t>
      </w:r>
      <w:r w:rsidR="00AA1484">
        <w:rPr>
          <w:b/>
        </w:rPr>
        <w:t>Reporting Insider</w:t>
      </w:r>
      <w:r>
        <w:rPr>
          <w:b/>
        </w:rPr>
        <w:t>”</w:t>
      </w:r>
      <w:r w:rsidR="00B313BC">
        <w:rPr>
          <w:b/>
        </w:rPr>
        <w:t xml:space="preserve"> (</w:t>
      </w:r>
      <w:r w:rsidR="00B313BC" w:rsidRPr="00B313BC">
        <w:rPr>
          <w:b/>
          <w:color w:val="7030A0"/>
        </w:rPr>
        <w:t>NI 55-104</w:t>
      </w:r>
      <w:r w:rsidR="00B313BC">
        <w:rPr>
          <w:b/>
        </w:rPr>
        <w:t>)</w:t>
      </w:r>
      <w:r w:rsidR="00B73E95">
        <w:rPr>
          <w:b/>
        </w:rPr>
        <w:t xml:space="preserve"> </w:t>
      </w:r>
      <w:r w:rsidR="00B73E95" w:rsidRPr="00B73E95">
        <w:rPr>
          <w:b/>
        </w:rPr>
        <w:sym w:font="Wingdings" w:char="F0E0"/>
      </w:r>
      <w:r w:rsidR="00B73E95">
        <w:rPr>
          <w:b/>
        </w:rPr>
        <w:t xml:space="preserve"> </w:t>
      </w:r>
      <w:r w:rsidR="00535DA8">
        <w:rPr>
          <w:b/>
        </w:rPr>
        <w:t xml:space="preserve">Must </w:t>
      </w:r>
      <w:r w:rsidR="00B73E95">
        <w:rPr>
          <w:b/>
        </w:rPr>
        <w:t>File ITR’s</w:t>
      </w:r>
      <w:r w:rsidR="003D1B31">
        <w:rPr>
          <w:b/>
        </w:rPr>
        <w:t xml:space="preserve"> (below)</w:t>
      </w:r>
    </w:p>
    <w:p w:rsidR="00B313BC" w:rsidRPr="00B313BC" w:rsidRDefault="00B313BC" w:rsidP="00FF0B61">
      <w:pPr>
        <w:pStyle w:val="Normal1"/>
        <w:widowControl w:val="0"/>
        <w:numPr>
          <w:ilvl w:val="0"/>
          <w:numId w:val="79"/>
        </w:numPr>
        <w:spacing w:line="240" w:lineRule="auto"/>
        <w:contextualSpacing/>
        <w:rPr>
          <w:rFonts w:asciiTheme="minorHAnsi" w:hAnsiTheme="minorHAnsi"/>
          <w:sz w:val="18"/>
          <w:szCs w:val="20"/>
        </w:rPr>
      </w:pPr>
      <w:r w:rsidRPr="00B313BC">
        <w:rPr>
          <w:rFonts w:asciiTheme="minorHAnsi" w:hAnsiTheme="minorHAnsi"/>
          <w:sz w:val="18"/>
          <w:szCs w:val="20"/>
        </w:rPr>
        <w:t xml:space="preserve">A </w:t>
      </w:r>
      <w:r w:rsidRPr="009B470C">
        <w:rPr>
          <w:rFonts w:asciiTheme="minorHAnsi" w:hAnsiTheme="minorHAnsi"/>
          <w:b/>
          <w:sz w:val="18"/>
          <w:szCs w:val="20"/>
        </w:rPr>
        <w:t>DIR, CEO, CFO or COO</w:t>
      </w:r>
      <w:r w:rsidRPr="00B313BC">
        <w:rPr>
          <w:rFonts w:asciiTheme="minorHAnsi" w:hAnsiTheme="minorHAnsi"/>
          <w:sz w:val="18"/>
          <w:szCs w:val="20"/>
        </w:rPr>
        <w:t xml:space="preserve"> of the </w:t>
      </w:r>
      <w:r w:rsidR="00221056">
        <w:rPr>
          <w:rFonts w:asciiTheme="minorHAnsi" w:hAnsiTheme="minorHAnsi"/>
          <w:sz w:val="18"/>
          <w:szCs w:val="20"/>
        </w:rPr>
        <w:t>RI</w:t>
      </w:r>
      <w:r w:rsidRPr="00B313BC">
        <w:rPr>
          <w:rFonts w:asciiTheme="minorHAnsi" w:hAnsiTheme="minorHAnsi"/>
          <w:sz w:val="18"/>
          <w:szCs w:val="20"/>
        </w:rPr>
        <w:t xml:space="preserve">, of a “major subsidiary” of the reporting issuer, or of a “significant SH” of the </w:t>
      </w:r>
      <w:r w:rsidR="00221056">
        <w:rPr>
          <w:rFonts w:asciiTheme="minorHAnsi" w:hAnsiTheme="minorHAnsi"/>
          <w:sz w:val="18"/>
          <w:szCs w:val="20"/>
        </w:rPr>
        <w:t>RI</w:t>
      </w:r>
    </w:p>
    <w:p w:rsidR="00B313BC" w:rsidRPr="00221056" w:rsidRDefault="00B313BC" w:rsidP="00FF0B61">
      <w:pPr>
        <w:pStyle w:val="Normal1"/>
        <w:widowControl w:val="0"/>
        <w:numPr>
          <w:ilvl w:val="1"/>
          <w:numId w:val="79"/>
        </w:numPr>
        <w:spacing w:line="240" w:lineRule="auto"/>
        <w:contextualSpacing/>
        <w:rPr>
          <w:rFonts w:asciiTheme="minorHAnsi" w:hAnsiTheme="minorHAnsi"/>
          <w:color w:val="auto"/>
          <w:sz w:val="18"/>
          <w:szCs w:val="20"/>
        </w:rPr>
      </w:pPr>
      <w:r w:rsidRPr="00221056">
        <w:rPr>
          <w:rFonts w:asciiTheme="minorHAnsi" w:hAnsiTheme="minorHAnsi"/>
          <w:b/>
          <w:i/>
          <w:color w:val="auto"/>
          <w:sz w:val="18"/>
          <w:szCs w:val="20"/>
          <w:u w:val="single"/>
        </w:rPr>
        <w:t>Major subsidiary</w:t>
      </w:r>
      <w:r w:rsidRPr="00221056">
        <w:rPr>
          <w:rFonts w:asciiTheme="minorHAnsi" w:hAnsiTheme="minorHAnsi"/>
          <w:color w:val="auto"/>
          <w:sz w:val="18"/>
          <w:szCs w:val="20"/>
        </w:rPr>
        <w:t>: includes a subsidiary which accounts for over 30% of the assets or revenue of the issuer.</w:t>
      </w:r>
    </w:p>
    <w:p w:rsidR="00B313BC" w:rsidRPr="00B313BC" w:rsidRDefault="00B313BC" w:rsidP="00FF0B61">
      <w:pPr>
        <w:pStyle w:val="Normal1"/>
        <w:widowControl w:val="0"/>
        <w:numPr>
          <w:ilvl w:val="0"/>
          <w:numId w:val="79"/>
        </w:numPr>
        <w:spacing w:line="240" w:lineRule="auto"/>
        <w:contextualSpacing/>
        <w:rPr>
          <w:rFonts w:asciiTheme="minorHAnsi" w:hAnsiTheme="minorHAnsi"/>
          <w:sz w:val="18"/>
          <w:szCs w:val="20"/>
        </w:rPr>
      </w:pPr>
      <w:r>
        <w:rPr>
          <w:rFonts w:asciiTheme="minorHAnsi" w:hAnsiTheme="minorHAnsi"/>
          <w:sz w:val="18"/>
          <w:szCs w:val="20"/>
        </w:rPr>
        <w:t>A</w:t>
      </w:r>
      <w:r w:rsidRPr="00B313BC">
        <w:rPr>
          <w:rFonts w:asciiTheme="minorHAnsi" w:hAnsiTheme="minorHAnsi"/>
          <w:sz w:val="18"/>
          <w:szCs w:val="20"/>
        </w:rPr>
        <w:t xml:space="preserve"> </w:t>
      </w:r>
      <w:r w:rsidRPr="00016365">
        <w:rPr>
          <w:rFonts w:asciiTheme="minorHAnsi" w:hAnsiTheme="minorHAnsi"/>
          <w:sz w:val="18"/>
          <w:szCs w:val="20"/>
          <w:u w:val="single"/>
        </w:rPr>
        <w:t>significant SH</w:t>
      </w:r>
      <w:r w:rsidRPr="00B313BC">
        <w:rPr>
          <w:rFonts w:asciiTheme="minorHAnsi" w:hAnsiTheme="minorHAnsi"/>
          <w:sz w:val="18"/>
          <w:szCs w:val="20"/>
        </w:rPr>
        <w:t xml:space="preserve"> of the reporting issuer</w:t>
      </w:r>
      <w:r>
        <w:rPr>
          <w:rFonts w:asciiTheme="minorHAnsi" w:hAnsiTheme="minorHAnsi"/>
          <w:sz w:val="18"/>
          <w:szCs w:val="20"/>
        </w:rPr>
        <w:t xml:space="preserve"> </w:t>
      </w:r>
      <w:r w:rsidRPr="00221056">
        <w:rPr>
          <w:rFonts w:asciiTheme="minorHAnsi" w:hAnsiTheme="minorHAnsi"/>
          <w:color w:val="auto"/>
          <w:sz w:val="18"/>
          <w:szCs w:val="20"/>
        </w:rPr>
        <w:t>(</w:t>
      </w:r>
      <w:r w:rsidRPr="00221056">
        <w:rPr>
          <w:rFonts w:asciiTheme="minorHAnsi" w:hAnsiTheme="minorHAnsi"/>
          <w:b/>
          <w:i/>
          <w:color w:val="auto"/>
          <w:sz w:val="18"/>
          <w:szCs w:val="20"/>
        </w:rPr>
        <w:t>More than 10%)</w:t>
      </w:r>
    </w:p>
    <w:p w:rsidR="00B313BC" w:rsidRPr="00B313BC" w:rsidRDefault="00693AA0" w:rsidP="00FF0B61">
      <w:pPr>
        <w:pStyle w:val="Normal1"/>
        <w:widowControl w:val="0"/>
        <w:numPr>
          <w:ilvl w:val="0"/>
          <w:numId w:val="79"/>
        </w:numPr>
        <w:spacing w:line="240" w:lineRule="auto"/>
        <w:contextualSpacing/>
        <w:rPr>
          <w:rFonts w:asciiTheme="minorHAnsi" w:hAnsiTheme="minorHAnsi"/>
          <w:sz w:val="18"/>
          <w:szCs w:val="20"/>
        </w:rPr>
      </w:pPr>
      <w:r>
        <w:rPr>
          <w:rFonts w:asciiTheme="minorHAnsi" w:hAnsiTheme="minorHAnsi"/>
          <w:sz w:val="18"/>
          <w:szCs w:val="20"/>
        </w:rPr>
        <w:t>A</w:t>
      </w:r>
      <w:r w:rsidR="00B313BC" w:rsidRPr="00B313BC">
        <w:rPr>
          <w:rFonts w:asciiTheme="minorHAnsi" w:hAnsiTheme="minorHAnsi"/>
          <w:sz w:val="18"/>
          <w:szCs w:val="20"/>
        </w:rPr>
        <w:t xml:space="preserve"> person “responsible for a principal business unit, division or function of the reporting issuer”</w:t>
      </w:r>
    </w:p>
    <w:p w:rsidR="00B313BC" w:rsidRPr="00B313BC" w:rsidRDefault="00693AA0" w:rsidP="00FF0B61">
      <w:pPr>
        <w:pStyle w:val="Normal1"/>
        <w:widowControl w:val="0"/>
        <w:numPr>
          <w:ilvl w:val="0"/>
          <w:numId w:val="79"/>
        </w:numPr>
        <w:spacing w:line="240" w:lineRule="auto"/>
        <w:contextualSpacing/>
        <w:rPr>
          <w:rFonts w:asciiTheme="minorHAnsi" w:hAnsiTheme="minorHAnsi"/>
          <w:sz w:val="18"/>
          <w:szCs w:val="20"/>
        </w:rPr>
      </w:pPr>
      <w:r>
        <w:rPr>
          <w:rFonts w:asciiTheme="minorHAnsi" w:hAnsiTheme="minorHAnsi"/>
          <w:sz w:val="18"/>
          <w:szCs w:val="20"/>
        </w:rPr>
        <w:t>A</w:t>
      </w:r>
      <w:r w:rsidR="00B313BC" w:rsidRPr="00B313BC">
        <w:rPr>
          <w:rFonts w:asciiTheme="minorHAnsi" w:hAnsiTheme="minorHAnsi"/>
          <w:sz w:val="18"/>
          <w:szCs w:val="20"/>
        </w:rPr>
        <w:t>n individual who performs functions similar to functions performed to those listed above</w:t>
      </w:r>
    </w:p>
    <w:p w:rsidR="00B313BC" w:rsidRPr="00B313BC" w:rsidRDefault="00693AA0" w:rsidP="00FF0B61">
      <w:pPr>
        <w:pStyle w:val="Normal1"/>
        <w:widowControl w:val="0"/>
        <w:numPr>
          <w:ilvl w:val="0"/>
          <w:numId w:val="79"/>
        </w:numPr>
        <w:spacing w:line="240" w:lineRule="auto"/>
        <w:contextualSpacing/>
        <w:rPr>
          <w:rFonts w:asciiTheme="minorHAnsi" w:hAnsiTheme="minorHAnsi"/>
          <w:sz w:val="18"/>
          <w:szCs w:val="20"/>
        </w:rPr>
      </w:pPr>
      <w:r>
        <w:rPr>
          <w:rFonts w:asciiTheme="minorHAnsi" w:hAnsiTheme="minorHAnsi"/>
          <w:sz w:val="18"/>
          <w:szCs w:val="20"/>
        </w:rPr>
        <w:t>T</w:t>
      </w:r>
      <w:r w:rsidR="00B313BC" w:rsidRPr="00B313BC">
        <w:rPr>
          <w:rFonts w:asciiTheme="minorHAnsi" w:hAnsiTheme="minorHAnsi"/>
          <w:sz w:val="18"/>
          <w:szCs w:val="20"/>
        </w:rPr>
        <w:t xml:space="preserve">he </w:t>
      </w:r>
      <w:r w:rsidR="00B313BC" w:rsidRPr="00016365">
        <w:rPr>
          <w:rFonts w:asciiTheme="minorHAnsi" w:hAnsiTheme="minorHAnsi"/>
          <w:sz w:val="18"/>
          <w:szCs w:val="20"/>
          <w:u w:val="single"/>
        </w:rPr>
        <w:t>reporting issuer</w:t>
      </w:r>
      <w:r w:rsidR="00B313BC" w:rsidRPr="00B313BC">
        <w:rPr>
          <w:rFonts w:asciiTheme="minorHAnsi" w:hAnsiTheme="minorHAnsi"/>
          <w:sz w:val="18"/>
          <w:szCs w:val="20"/>
        </w:rPr>
        <w:t xml:space="preserve"> itself</w:t>
      </w:r>
    </w:p>
    <w:p w:rsidR="00B313BC" w:rsidRDefault="00B313BC" w:rsidP="00FF0B61">
      <w:pPr>
        <w:pStyle w:val="Normal1"/>
        <w:widowControl w:val="0"/>
        <w:numPr>
          <w:ilvl w:val="0"/>
          <w:numId w:val="79"/>
        </w:numPr>
        <w:spacing w:line="240" w:lineRule="auto"/>
        <w:contextualSpacing/>
        <w:rPr>
          <w:rFonts w:asciiTheme="minorHAnsi" w:hAnsiTheme="minorHAnsi"/>
          <w:sz w:val="18"/>
          <w:szCs w:val="20"/>
        </w:rPr>
      </w:pPr>
      <w:r w:rsidRPr="00B313BC">
        <w:rPr>
          <w:rFonts w:asciiTheme="minorHAnsi" w:hAnsiTheme="minorHAnsi"/>
          <w:sz w:val="18"/>
          <w:szCs w:val="20"/>
        </w:rPr>
        <w:t xml:space="preserve">An insider who, in the </w:t>
      </w:r>
      <w:r w:rsidRPr="00016365">
        <w:rPr>
          <w:rFonts w:asciiTheme="minorHAnsi" w:hAnsiTheme="minorHAnsi"/>
          <w:b/>
          <w:i/>
          <w:sz w:val="18"/>
          <w:szCs w:val="20"/>
        </w:rPr>
        <w:t>ordinary course of biz</w:t>
      </w:r>
      <w:r w:rsidRPr="00B313BC">
        <w:rPr>
          <w:rFonts w:asciiTheme="minorHAnsi" w:hAnsiTheme="minorHAnsi"/>
          <w:sz w:val="18"/>
          <w:szCs w:val="20"/>
        </w:rPr>
        <w:t xml:space="preserve">, </w:t>
      </w:r>
      <w:r w:rsidRPr="00016365">
        <w:rPr>
          <w:rFonts w:asciiTheme="minorHAnsi" w:hAnsiTheme="minorHAnsi"/>
          <w:sz w:val="18"/>
          <w:szCs w:val="20"/>
          <w:u w:val="single"/>
        </w:rPr>
        <w:t>receives or has access to information as to material facts or material changes</w:t>
      </w:r>
      <w:r w:rsidRPr="00B313BC">
        <w:rPr>
          <w:rFonts w:asciiTheme="minorHAnsi" w:hAnsiTheme="minorHAnsi"/>
          <w:sz w:val="18"/>
          <w:szCs w:val="20"/>
        </w:rPr>
        <w:t xml:space="preserve"> concerning the reporting issuer before the material facts or material changes are generally disclosed; </w:t>
      </w:r>
      <w:r w:rsidR="00016365">
        <w:rPr>
          <w:rFonts w:asciiTheme="minorHAnsi" w:hAnsiTheme="minorHAnsi"/>
          <w:b/>
          <w:sz w:val="18"/>
          <w:szCs w:val="20"/>
        </w:rPr>
        <w:t>OR</w:t>
      </w:r>
      <w:r w:rsidR="00016365">
        <w:rPr>
          <w:rFonts w:asciiTheme="minorHAnsi" w:hAnsiTheme="minorHAnsi"/>
          <w:sz w:val="18"/>
          <w:szCs w:val="20"/>
        </w:rPr>
        <w:t xml:space="preserve"> </w:t>
      </w:r>
      <w:r w:rsidRPr="00B313BC">
        <w:rPr>
          <w:rFonts w:asciiTheme="minorHAnsi" w:hAnsiTheme="minorHAnsi"/>
          <w:sz w:val="18"/>
          <w:szCs w:val="20"/>
        </w:rPr>
        <w:t xml:space="preserve">directly or indirectly exercises, or has </w:t>
      </w:r>
      <w:r w:rsidRPr="00D111AC">
        <w:rPr>
          <w:rFonts w:asciiTheme="minorHAnsi" w:hAnsiTheme="minorHAnsi"/>
          <w:b/>
          <w:i/>
          <w:sz w:val="18"/>
          <w:szCs w:val="20"/>
        </w:rPr>
        <w:t>the ability to exercise, significant power or influence over the b</w:t>
      </w:r>
      <w:r w:rsidR="00D111AC">
        <w:rPr>
          <w:rFonts w:asciiTheme="minorHAnsi" w:hAnsiTheme="minorHAnsi"/>
          <w:b/>
          <w:i/>
          <w:sz w:val="18"/>
          <w:szCs w:val="20"/>
        </w:rPr>
        <w:t>iz</w:t>
      </w:r>
      <w:r w:rsidRPr="00B313BC">
        <w:rPr>
          <w:rFonts w:asciiTheme="minorHAnsi" w:hAnsiTheme="minorHAnsi"/>
          <w:sz w:val="18"/>
          <w:szCs w:val="20"/>
        </w:rPr>
        <w:t xml:space="preserve">, operations, capital or development of the </w:t>
      </w:r>
      <w:r w:rsidR="00D111AC">
        <w:rPr>
          <w:rFonts w:asciiTheme="minorHAnsi" w:hAnsiTheme="minorHAnsi"/>
          <w:sz w:val="18"/>
          <w:szCs w:val="20"/>
        </w:rPr>
        <w:t>RI</w:t>
      </w:r>
      <w:r w:rsidRPr="00B313BC">
        <w:rPr>
          <w:rFonts w:asciiTheme="minorHAnsi" w:hAnsiTheme="minorHAnsi"/>
          <w:sz w:val="18"/>
          <w:szCs w:val="20"/>
        </w:rPr>
        <w:t xml:space="preserve"> </w:t>
      </w:r>
    </w:p>
    <w:p w:rsidR="009B470C" w:rsidRDefault="009B470C" w:rsidP="00FF0B61">
      <w:pPr>
        <w:pStyle w:val="Normal1"/>
        <w:widowControl w:val="0"/>
        <w:spacing w:line="240" w:lineRule="auto"/>
        <w:contextualSpacing/>
        <w:rPr>
          <w:rFonts w:asciiTheme="minorHAnsi" w:hAnsiTheme="minorHAnsi"/>
          <w:sz w:val="18"/>
          <w:szCs w:val="20"/>
        </w:rPr>
      </w:pPr>
    </w:p>
    <w:p w:rsidR="009B470C" w:rsidRPr="00883F98" w:rsidRDefault="009B470C" w:rsidP="00FF0B61">
      <w:pPr>
        <w:spacing w:after="0" w:line="240" w:lineRule="auto"/>
        <w:rPr>
          <w:szCs w:val="20"/>
        </w:rPr>
      </w:pPr>
      <w:r w:rsidRPr="008D39BB">
        <w:rPr>
          <w:b/>
          <w:szCs w:val="20"/>
          <w:u w:val="single"/>
        </w:rPr>
        <w:t>Insider reporting requirements:</w:t>
      </w:r>
      <w:r w:rsidRPr="008D39BB">
        <w:rPr>
          <w:szCs w:val="20"/>
        </w:rPr>
        <w:t xml:space="preserve"> </w:t>
      </w:r>
      <w:r>
        <w:rPr>
          <w:szCs w:val="20"/>
        </w:rPr>
        <w:t xml:space="preserve">Only </w:t>
      </w:r>
      <w:r>
        <w:rPr>
          <w:b/>
          <w:i/>
          <w:szCs w:val="20"/>
        </w:rPr>
        <w:t xml:space="preserve">Reporting Insiders </w:t>
      </w:r>
      <w:r>
        <w:rPr>
          <w:szCs w:val="20"/>
        </w:rPr>
        <w:t>must file ITR’s</w:t>
      </w:r>
    </w:p>
    <w:p w:rsidR="009B470C" w:rsidRPr="00560043" w:rsidRDefault="009B470C" w:rsidP="00FF0B61">
      <w:pPr>
        <w:pStyle w:val="ListParagraph"/>
        <w:numPr>
          <w:ilvl w:val="0"/>
          <w:numId w:val="95"/>
        </w:numPr>
        <w:spacing w:before="60" w:after="60"/>
        <w:rPr>
          <w:szCs w:val="20"/>
        </w:rPr>
      </w:pPr>
      <w:r w:rsidRPr="00560043">
        <w:rPr>
          <w:b/>
          <w:szCs w:val="20"/>
        </w:rPr>
        <w:t>W</w:t>
      </w:r>
      <w:r>
        <w:rPr>
          <w:b/>
          <w:szCs w:val="20"/>
        </w:rPr>
        <w:t>/in</w:t>
      </w:r>
      <w:r w:rsidRPr="00560043">
        <w:rPr>
          <w:b/>
          <w:szCs w:val="20"/>
        </w:rPr>
        <w:t xml:space="preserve"> </w:t>
      </w:r>
      <w:r w:rsidRPr="00AF315F">
        <w:rPr>
          <w:b/>
          <w:i/>
          <w:szCs w:val="20"/>
        </w:rPr>
        <w:t>10 calendar days of becoming an insider of a RI</w:t>
      </w:r>
      <w:r w:rsidRPr="00560043">
        <w:rPr>
          <w:b/>
          <w:szCs w:val="20"/>
        </w:rPr>
        <w:t xml:space="preserve">, the insider must file an </w:t>
      </w:r>
      <w:r w:rsidRPr="00560043">
        <w:rPr>
          <w:b/>
          <w:szCs w:val="20"/>
          <w:u w:val="single"/>
        </w:rPr>
        <w:t>initial Insider Trading Report (ITR)</w:t>
      </w:r>
      <w:r w:rsidRPr="00560043">
        <w:rPr>
          <w:szCs w:val="20"/>
        </w:rPr>
        <w:t xml:space="preserve"> </w:t>
      </w:r>
      <w:r>
        <w:rPr>
          <w:szCs w:val="20"/>
        </w:rPr>
        <w:t>(</w:t>
      </w:r>
      <w:r>
        <w:rPr>
          <w:b/>
          <w:color w:val="7030A0"/>
          <w:szCs w:val="20"/>
        </w:rPr>
        <w:t>s. 3.2</w:t>
      </w:r>
      <w:r w:rsidRPr="00FE1662">
        <w:rPr>
          <w:b/>
          <w:color w:val="7030A0"/>
          <w:szCs w:val="20"/>
        </w:rPr>
        <w:t xml:space="preserve"> NI 55-104</w:t>
      </w:r>
      <w:r>
        <w:rPr>
          <w:szCs w:val="20"/>
        </w:rPr>
        <w:t>;</w:t>
      </w:r>
      <w:r w:rsidRPr="00560043">
        <w:rPr>
          <w:szCs w:val="20"/>
        </w:rPr>
        <w:t xml:space="preserve"> </w:t>
      </w:r>
      <w:r w:rsidRPr="00FE1662">
        <w:rPr>
          <w:b/>
          <w:color w:val="C45911" w:themeColor="accent2" w:themeShade="BF"/>
          <w:szCs w:val="20"/>
        </w:rPr>
        <w:t>BCSA 87</w:t>
      </w:r>
      <w:r>
        <w:rPr>
          <w:szCs w:val="20"/>
        </w:rPr>
        <w:t>).</w:t>
      </w:r>
    </w:p>
    <w:p w:rsidR="009B470C" w:rsidRPr="009B470C" w:rsidRDefault="009B470C" w:rsidP="00FF0B61">
      <w:pPr>
        <w:pStyle w:val="ListParagraph"/>
        <w:numPr>
          <w:ilvl w:val="0"/>
          <w:numId w:val="95"/>
        </w:numPr>
        <w:spacing w:before="60" w:after="60"/>
        <w:rPr>
          <w:szCs w:val="20"/>
        </w:rPr>
      </w:pPr>
      <w:r w:rsidRPr="00560043">
        <w:rPr>
          <w:b/>
          <w:szCs w:val="20"/>
        </w:rPr>
        <w:t>W</w:t>
      </w:r>
      <w:r>
        <w:rPr>
          <w:b/>
          <w:szCs w:val="20"/>
        </w:rPr>
        <w:t>/in</w:t>
      </w:r>
      <w:r w:rsidRPr="00560043">
        <w:rPr>
          <w:b/>
          <w:szCs w:val="20"/>
        </w:rPr>
        <w:t xml:space="preserve"> </w:t>
      </w:r>
      <w:r w:rsidRPr="00AF315F">
        <w:rPr>
          <w:b/>
          <w:i/>
          <w:szCs w:val="20"/>
        </w:rPr>
        <w:t>5 days of any subsequent change</w:t>
      </w:r>
      <w:r w:rsidRPr="00560043">
        <w:rPr>
          <w:b/>
          <w:szCs w:val="20"/>
        </w:rPr>
        <w:t xml:space="preserve"> (e.g. exercising an option, or buying or selling securities of the reporting issuer), </w:t>
      </w:r>
      <w:r w:rsidRPr="001A28BC">
        <w:rPr>
          <w:b/>
          <w:szCs w:val="20"/>
        </w:rPr>
        <w:t>the insider must file a new ITR</w:t>
      </w:r>
      <w:r w:rsidRPr="001A28BC">
        <w:rPr>
          <w:szCs w:val="20"/>
        </w:rPr>
        <w:t>,</w:t>
      </w:r>
      <w:r>
        <w:rPr>
          <w:szCs w:val="20"/>
        </w:rPr>
        <w:t xml:space="preserve"> disclosing the change (</w:t>
      </w:r>
      <w:r>
        <w:rPr>
          <w:b/>
          <w:color w:val="7030A0"/>
          <w:szCs w:val="20"/>
        </w:rPr>
        <w:t>s. 3.3</w:t>
      </w:r>
      <w:r w:rsidRPr="009B5463">
        <w:rPr>
          <w:b/>
          <w:color w:val="7030A0"/>
          <w:szCs w:val="20"/>
        </w:rPr>
        <w:t xml:space="preserve"> NI 55-104</w:t>
      </w:r>
      <w:r>
        <w:rPr>
          <w:szCs w:val="20"/>
        </w:rPr>
        <w:t xml:space="preserve">; </w:t>
      </w:r>
      <w:r w:rsidRPr="009B5463">
        <w:rPr>
          <w:b/>
          <w:color w:val="C45911" w:themeColor="accent2" w:themeShade="BF"/>
          <w:szCs w:val="20"/>
        </w:rPr>
        <w:t>BCSA 87</w:t>
      </w:r>
      <w:r>
        <w:rPr>
          <w:szCs w:val="20"/>
        </w:rPr>
        <w:t>).</w:t>
      </w:r>
      <w:r w:rsidRPr="00560043">
        <w:rPr>
          <w:szCs w:val="20"/>
        </w:rPr>
        <w:t xml:space="preserve"> </w:t>
      </w:r>
    </w:p>
    <w:p w:rsidR="00DC0499" w:rsidRPr="00ED64B4" w:rsidRDefault="00DC0499" w:rsidP="00FF0B61">
      <w:pPr>
        <w:spacing w:before="120" w:after="0" w:line="240" w:lineRule="auto"/>
        <w:rPr>
          <w:b/>
          <w:szCs w:val="20"/>
        </w:rPr>
      </w:pPr>
      <w:r w:rsidRPr="00ED64B4">
        <w:rPr>
          <w:b/>
          <w:szCs w:val="20"/>
          <w:u w:val="single"/>
        </w:rPr>
        <w:t xml:space="preserve">Exemptions to the </w:t>
      </w:r>
      <w:r w:rsidR="00ED64B4">
        <w:rPr>
          <w:b/>
          <w:szCs w:val="20"/>
          <w:u w:val="single"/>
        </w:rPr>
        <w:t>ITR Requirements</w:t>
      </w:r>
      <w:r w:rsidR="00ED64B4">
        <w:rPr>
          <w:b/>
          <w:szCs w:val="20"/>
        </w:rPr>
        <w:t xml:space="preserve"> (</w:t>
      </w:r>
      <w:r w:rsidR="00ED64B4" w:rsidRPr="00ED64B4">
        <w:rPr>
          <w:b/>
          <w:color w:val="7030A0"/>
          <w:szCs w:val="20"/>
        </w:rPr>
        <w:t>NI 55-104</w:t>
      </w:r>
      <w:r w:rsidR="00ED64B4">
        <w:rPr>
          <w:b/>
          <w:szCs w:val="20"/>
        </w:rPr>
        <w:t>)</w:t>
      </w:r>
    </w:p>
    <w:p w:rsidR="008D3436" w:rsidRPr="00ED64B4" w:rsidRDefault="00CF2F3D" w:rsidP="00FF0B61">
      <w:pPr>
        <w:pStyle w:val="Normal1"/>
        <w:widowControl w:val="0"/>
        <w:numPr>
          <w:ilvl w:val="0"/>
          <w:numId w:val="79"/>
        </w:numPr>
        <w:spacing w:line="240" w:lineRule="auto"/>
        <w:contextualSpacing/>
        <w:rPr>
          <w:rFonts w:asciiTheme="minorHAnsi" w:hAnsiTheme="minorHAnsi"/>
          <w:sz w:val="18"/>
          <w:szCs w:val="20"/>
        </w:rPr>
      </w:pPr>
      <w:r w:rsidRPr="00ED64B4">
        <w:rPr>
          <w:rFonts w:asciiTheme="minorHAnsi" w:hAnsiTheme="minorHAnsi"/>
          <w:sz w:val="18"/>
          <w:szCs w:val="20"/>
        </w:rPr>
        <w:t xml:space="preserve">Automatic Securities Purchase Plan </w:t>
      </w:r>
      <w:r w:rsidR="00ED64B4" w:rsidRPr="00ED64B4">
        <w:rPr>
          <w:rFonts w:asciiTheme="minorHAnsi" w:hAnsiTheme="minorHAnsi"/>
          <w:b/>
          <w:sz w:val="18"/>
          <w:szCs w:val="20"/>
        </w:rPr>
        <w:t xml:space="preserve">// </w:t>
      </w:r>
      <w:r w:rsidR="00ED64B4" w:rsidRPr="00ED64B4">
        <w:rPr>
          <w:rFonts w:asciiTheme="minorHAnsi" w:hAnsiTheme="minorHAnsi"/>
          <w:sz w:val="18"/>
          <w:szCs w:val="20"/>
        </w:rPr>
        <w:t xml:space="preserve">Issuer Events </w:t>
      </w:r>
      <w:r w:rsidR="00ED64B4" w:rsidRPr="00ED64B4">
        <w:rPr>
          <w:rFonts w:asciiTheme="minorHAnsi" w:hAnsiTheme="minorHAnsi"/>
          <w:b/>
          <w:sz w:val="18"/>
          <w:szCs w:val="20"/>
        </w:rPr>
        <w:t xml:space="preserve">// </w:t>
      </w:r>
      <w:r w:rsidR="00ED64B4" w:rsidRPr="00ED64B4">
        <w:rPr>
          <w:rFonts w:asciiTheme="minorHAnsi" w:hAnsiTheme="minorHAnsi"/>
          <w:sz w:val="18"/>
          <w:szCs w:val="20"/>
        </w:rPr>
        <w:t xml:space="preserve">Issuer Grants as Compensation </w:t>
      </w:r>
      <w:r w:rsidR="00ED64B4" w:rsidRPr="00ED64B4">
        <w:rPr>
          <w:rFonts w:asciiTheme="minorHAnsi" w:hAnsiTheme="minorHAnsi"/>
          <w:b/>
          <w:sz w:val="18"/>
          <w:szCs w:val="20"/>
        </w:rPr>
        <w:t xml:space="preserve">// </w:t>
      </w:r>
      <w:r w:rsidR="00ED64B4" w:rsidRPr="00ED64B4">
        <w:rPr>
          <w:rFonts w:asciiTheme="minorHAnsi" w:hAnsiTheme="minorHAnsi"/>
          <w:sz w:val="18"/>
          <w:szCs w:val="20"/>
        </w:rPr>
        <w:t xml:space="preserve">Normal Course Issuer Bids and Publicly Disclosed Transactions </w:t>
      </w:r>
      <w:r w:rsidR="00ED64B4" w:rsidRPr="00ED64B4">
        <w:rPr>
          <w:rFonts w:asciiTheme="minorHAnsi" w:hAnsiTheme="minorHAnsi"/>
          <w:b/>
          <w:sz w:val="18"/>
          <w:szCs w:val="20"/>
        </w:rPr>
        <w:t xml:space="preserve">// </w:t>
      </w:r>
      <w:r w:rsidR="00ED64B4" w:rsidRPr="00ED64B4">
        <w:rPr>
          <w:rFonts w:asciiTheme="minorHAnsi" w:hAnsiTheme="minorHAnsi"/>
          <w:sz w:val="18"/>
          <w:szCs w:val="20"/>
        </w:rPr>
        <w:t>Insiders of U.S. Issuers</w:t>
      </w:r>
    </w:p>
    <w:p w:rsidR="00ED64B4" w:rsidRPr="00ED64B4" w:rsidRDefault="00ED64B4" w:rsidP="00FF0B61">
      <w:pPr>
        <w:pStyle w:val="Normal1"/>
        <w:widowControl w:val="0"/>
        <w:numPr>
          <w:ilvl w:val="0"/>
          <w:numId w:val="79"/>
        </w:numPr>
        <w:spacing w:line="240" w:lineRule="auto"/>
        <w:contextualSpacing/>
        <w:rPr>
          <w:rFonts w:asciiTheme="minorHAnsi" w:hAnsiTheme="minorHAnsi"/>
          <w:sz w:val="18"/>
          <w:szCs w:val="20"/>
        </w:rPr>
      </w:pPr>
      <w:r w:rsidRPr="00ED64B4">
        <w:rPr>
          <w:rFonts w:asciiTheme="minorHAnsi" w:hAnsiTheme="minorHAnsi"/>
          <w:b/>
          <w:i/>
          <w:sz w:val="18"/>
          <w:szCs w:val="20"/>
        </w:rPr>
        <w:t>General Exemptions</w:t>
      </w:r>
      <w:r w:rsidRPr="00ED64B4">
        <w:rPr>
          <w:rFonts w:asciiTheme="minorHAnsi" w:hAnsiTheme="minorHAnsi"/>
          <w:b/>
          <w:sz w:val="18"/>
          <w:szCs w:val="20"/>
        </w:rPr>
        <w:t xml:space="preserve">: </w:t>
      </w:r>
      <w:r w:rsidR="00D176DD">
        <w:rPr>
          <w:rFonts w:asciiTheme="minorHAnsi" w:hAnsiTheme="minorHAnsi"/>
          <w:b/>
          <w:sz w:val="18"/>
          <w:szCs w:val="20"/>
        </w:rPr>
        <w:t xml:space="preserve">e.g. </w:t>
      </w:r>
      <w:r w:rsidR="00D176DD">
        <w:rPr>
          <w:rFonts w:asciiTheme="minorHAnsi" w:hAnsiTheme="minorHAnsi"/>
          <w:sz w:val="18"/>
          <w:szCs w:val="20"/>
        </w:rPr>
        <w:t>If a RI has no beneficial ownership, or control or direction over, any security of the issuer, or any interest in a related financial instrument, that RI has no filing obligation (</w:t>
      </w:r>
      <w:r w:rsidR="00D176DD" w:rsidRPr="00D176DD">
        <w:rPr>
          <w:rFonts w:asciiTheme="minorHAnsi" w:hAnsiTheme="minorHAnsi"/>
          <w:b/>
          <w:color w:val="7030A0"/>
          <w:sz w:val="18"/>
          <w:szCs w:val="20"/>
        </w:rPr>
        <w:t>NI 55-104 s.9.4</w:t>
      </w:r>
      <w:r w:rsidR="00D176DD">
        <w:rPr>
          <w:rFonts w:asciiTheme="minorHAnsi" w:hAnsiTheme="minorHAnsi"/>
          <w:b/>
          <w:sz w:val="18"/>
          <w:szCs w:val="20"/>
        </w:rPr>
        <w:t>)</w:t>
      </w:r>
    </w:p>
    <w:p w:rsidR="008D3436" w:rsidRPr="00ED64B4" w:rsidRDefault="00CF2F3D" w:rsidP="00FF0B61">
      <w:pPr>
        <w:pStyle w:val="Normal1"/>
        <w:widowControl w:val="0"/>
        <w:numPr>
          <w:ilvl w:val="0"/>
          <w:numId w:val="79"/>
        </w:numPr>
        <w:spacing w:line="240" w:lineRule="auto"/>
        <w:contextualSpacing/>
        <w:rPr>
          <w:rFonts w:asciiTheme="minorHAnsi" w:hAnsiTheme="minorHAnsi"/>
          <w:sz w:val="18"/>
          <w:szCs w:val="20"/>
        </w:rPr>
      </w:pPr>
      <w:r w:rsidRPr="00ED64B4">
        <w:rPr>
          <w:rFonts w:asciiTheme="minorHAnsi" w:hAnsiTheme="minorHAnsi"/>
          <w:b/>
          <w:i/>
          <w:sz w:val="18"/>
          <w:szCs w:val="20"/>
        </w:rPr>
        <w:t>Discretionary Exemption:</w:t>
      </w:r>
      <w:r w:rsidRPr="00ED64B4">
        <w:rPr>
          <w:rFonts w:asciiTheme="minorHAnsi" w:hAnsiTheme="minorHAnsi"/>
          <w:sz w:val="18"/>
          <w:szCs w:val="20"/>
        </w:rPr>
        <w:t xml:space="preserve"> </w:t>
      </w:r>
      <w:r w:rsidR="001900DA" w:rsidRPr="00ED64B4">
        <w:rPr>
          <w:rFonts w:asciiTheme="minorHAnsi" w:hAnsiTheme="minorHAnsi"/>
          <w:sz w:val="18"/>
          <w:szCs w:val="20"/>
        </w:rPr>
        <w:t xml:space="preserve">under </w:t>
      </w:r>
      <w:r w:rsidR="001900DA" w:rsidRPr="00ED64B4">
        <w:rPr>
          <w:rFonts w:asciiTheme="minorHAnsi" w:hAnsiTheme="minorHAnsi"/>
          <w:b/>
          <w:color w:val="C45911" w:themeColor="accent2" w:themeShade="BF"/>
          <w:sz w:val="18"/>
          <w:szCs w:val="20"/>
        </w:rPr>
        <w:t>BCSA 91</w:t>
      </w:r>
      <w:r w:rsidR="001900DA" w:rsidRPr="00ED64B4">
        <w:rPr>
          <w:rFonts w:asciiTheme="minorHAnsi" w:hAnsiTheme="minorHAnsi"/>
          <w:sz w:val="18"/>
          <w:szCs w:val="20"/>
        </w:rPr>
        <w:t xml:space="preserve">, the regulator may grant a discretionary exemption to insiders where it would not be prejudicial to the public interest to do so; insiders may apply for a discretionary exemption. </w:t>
      </w:r>
    </w:p>
    <w:p w:rsidR="008D3436" w:rsidRPr="00ED64B4" w:rsidRDefault="008D3436" w:rsidP="00FF0B61">
      <w:pPr>
        <w:pStyle w:val="Normal1"/>
        <w:widowControl w:val="0"/>
        <w:numPr>
          <w:ilvl w:val="1"/>
          <w:numId w:val="79"/>
        </w:numPr>
        <w:spacing w:line="240" w:lineRule="auto"/>
        <w:contextualSpacing/>
        <w:rPr>
          <w:rFonts w:asciiTheme="minorHAnsi" w:hAnsiTheme="minorHAnsi"/>
          <w:sz w:val="18"/>
          <w:szCs w:val="20"/>
        </w:rPr>
      </w:pPr>
      <w:r w:rsidRPr="00ED64B4">
        <w:rPr>
          <w:rFonts w:asciiTheme="minorHAnsi" w:hAnsiTheme="minorHAnsi"/>
          <w:b/>
          <w:i/>
          <w:color w:val="1006E0"/>
          <w:sz w:val="18"/>
          <w:szCs w:val="20"/>
        </w:rPr>
        <w:t>Re British American Oil Company Ltd</w:t>
      </w:r>
      <w:r w:rsidRPr="00ED64B4">
        <w:rPr>
          <w:rFonts w:asciiTheme="minorHAnsi" w:hAnsiTheme="minorHAnsi"/>
          <w:b/>
          <w:color w:val="1006E0"/>
          <w:sz w:val="18"/>
          <w:szCs w:val="20"/>
        </w:rPr>
        <w:t>.</w:t>
      </w:r>
      <w:r w:rsidRPr="00ED64B4">
        <w:rPr>
          <w:rFonts w:asciiTheme="minorHAnsi" w:hAnsiTheme="minorHAnsi"/>
          <w:color w:val="1006E0"/>
          <w:sz w:val="18"/>
          <w:szCs w:val="20"/>
        </w:rPr>
        <w:t xml:space="preserve"> </w:t>
      </w:r>
      <w:r w:rsidRPr="00ED64B4">
        <w:rPr>
          <w:rFonts w:asciiTheme="minorHAnsi" w:hAnsiTheme="minorHAnsi"/>
          <w:sz w:val="18"/>
          <w:szCs w:val="20"/>
        </w:rPr>
        <w:t>“…in the complex of companies there are only certain groups of individuals who are privy to what might be viewed as executive or policy knowledge which would</w:t>
      </w:r>
      <w:r w:rsidR="00750ECD" w:rsidRPr="00ED64B4">
        <w:rPr>
          <w:rFonts w:asciiTheme="minorHAnsi" w:hAnsiTheme="minorHAnsi"/>
          <w:sz w:val="18"/>
          <w:szCs w:val="20"/>
        </w:rPr>
        <w:t xml:space="preserve"> affect their market decisions” </w:t>
      </w:r>
      <w:r w:rsidR="00750ECD" w:rsidRPr="00ED64B4">
        <w:rPr>
          <w:rFonts w:asciiTheme="minorHAnsi" w:hAnsiTheme="minorHAnsi"/>
          <w:b/>
          <w:sz w:val="18"/>
          <w:szCs w:val="20"/>
        </w:rPr>
        <w:t>// Held: Everyone who fit w/in the definition of “insider” but was not privy to material non-publi</w:t>
      </w:r>
      <w:r w:rsidR="00E2716B" w:rsidRPr="00ED64B4">
        <w:rPr>
          <w:rFonts w:asciiTheme="minorHAnsi" w:hAnsiTheme="minorHAnsi"/>
          <w:b/>
          <w:sz w:val="18"/>
          <w:szCs w:val="20"/>
        </w:rPr>
        <w:t>c info was granted an exemption from ITR req’</w:t>
      </w:r>
      <w:r w:rsidR="00915FEC" w:rsidRPr="00ED64B4">
        <w:rPr>
          <w:rFonts w:asciiTheme="minorHAnsi" w:hAnsiTheme="minorHAnsi"/>
          <w:b/>
          <w:sz w:val="18"/>
          <w:szCs w:val="20"/>
        </w:rPr>
        <w:t>s.</w:t>
      </w:r>
    </w:p>
    <w:p w:rsidR="00B313BC" w:rsidRDefault="00B313BC" w:rsidP="00FF0B61">
      <w:pPr>
        <w:pStyle w:val="ListParagraph"/>
        <w:spacing w:after="0"/>
        <w:rPr>
          <w:b/>
        </w:rPr>
      </w:pPr>
    </w:p>
    <w:p w:rsidR="00E82E8E" w:rsidRPr="00D52122" w:rsidRDefault="00D52122" w:rsidP="00FF0B61">
      <w:pPr>
        <w:spacing w:line="240" w:lineRule="auto"/>
        <w:rPr>
          <w:b/>
        </w:rPr>
      </w:pPr>
      <w:r w:rsidRPr="00AA7C0F">
        <w:rPr>
          <w:b/>
        </w:rPr>
        <w:t>Halt Order (</w:t>
      </w:r>
      <w:r w:rsidRPr="00AA7C0F">
        <w:rPr>
          <w:b/>
          <w:color w:val="C45911" w:themeColor="accent2" w:themeShade="BF"/>
        </w:rPr>
        <w:t>BCSA 89(1)</w:t>
      </w:r>
      <w:r w:rsidRPr="00AA7C0F">
        <w:rPr>
          <w:b/>
        </w:rPr>
        <w:t xml:space="preserve">): </w:t>
      </w:r>
      <w:r w:rsidR="00E82E8E" w:rsidRPr="00AA7C0F">
        <w:t>If the commission thinks there is something sketchy going on, b/c of insider trading, they can cease trade securities. Can do so on emergency basis w/o opportunity</w:t>
      </w:r>
      <w:r w:rsidR="00E82E8E">
        <w:t xml:space="preserve"> to be</w:t>
      </w:r>
      <w:r>
        <w:t xml:space="preserve"> heard and hold it for 15 days.</w:t>
      </w:r>
    </w:p>
    <w:p w:rsidR="00B74E1C" w:rsidRPr="00EC5C7B" w:rsidRDefault="00EC5C7B" w:rsidP="00FF0B61">
      <w:pPr>
        <w:spacing w:line="240" w:lineRule="auto"/>
        <w:rPr>
          <w:b/>
        </w:rPr>
      </w:pPr>
      <w:r>
        <w:rPr>
          <w:b/>
        </w:rPr>
        <w:t xml:space="preserve">Consequences of </w:t>
      </w:r>
      <w:r w:rsidRPr="00C13B10">
        <w:rPr>
          <w:b/>
          <w:u w:val="single"/>
        </w:rPr>
        <w:t>failure to file insider reports</w:t>
      </w:r>
      <w:r>
        <w:rPr>
          <w:b/>
        </w:rPr>
        <w:t xml:space="preserve"> (</w:t>
      </w:r>
      <w:r>
        <w:rPr>
          <w:b/>
          <w:color w:val="C45911" w:themeColor="accent2" w:themeShade="BF"/>
        </w:rPr>
        <w:t xml:space="preserve">BCSA 155): </w:t>
      </w:r>
      <w:r w:rsidR="00AF257E">
        <w:t>I</w:t>
      </w:r>
      <w:r w:rsidRPr="00EC5C7B">
        <w:rPr>
          <w:szCs w:val="20"/>
        </w:rPr>
        <w:t xml:space="preserve">ssuer has committed an offence and may be liable, under s. 155(2), to a fine of not more </w:t>
      </w:r>
      <w:r w:rsidRPr="00AF257E">
        <w:rPr>
          <w:szCs w:val="20"/>
          <w:u w:val="single"/>
        </w:rPr>
        <w:t>than $3 million</w:t>
      </w:r>
      <w:r w:rsidRPr="00EC5C7B">
        <w:rPr>
          <w:szCs w:val="20"/>
        </w:rPr>
        <w:t xml:space="preserve">, or to </w:t>
      </w:r>
      <w:r w:rsidRPr="00AF257E">
        <w:rPr>
          <w:szCs w:val="20"/>
          <w:u w:val="single"/>
        </w:rPr>
        <w:t>no more than 3 years imprisonment</w:t>
      </w:r>
      <w:r w:rsidRPr="00EC5C7B">
        <w:rPr>
          <w:szCs w:val="20"/>
        </w:rPr>
        <w:t>, or both. The regulator may also make an order for compliance under s. 157(1), or an enforcement order, including a cease trade order, under s. 161.</w:t>
      </w:r>
    </w:p>
    <w:p w:rsidR="00F77802" w:rsidRDefault="00F77802" w:rsidP="00FF0B61">
      <w:pPr>
        <w:pStyle w:val="Heading2"/>
        <w:spacing w:line="240" w:lineRule="auto"/>
      </w:pPr>
      <w:bookmarkStart w:id="72" w:name="_Toc468980443"/>
      <w:r w:rsidRPr="007D2DC0">
        <w:t>Illegal</w:t>
      </w:r>
      <w:r w:rsidR="00FF2FD7" w:rsidRPr="007D2DC0">
        <w:t xml:space="preserve"> Insider Trading</w:t>
      </w:r>
      <w:r w:rsidR="00943B19" w:rsidRPr="007D2DC0">
        <w:t>/Tipping</w:t>
      </w:r>
      <w:r w:rsidR="002B7666">
        <w:t>/Recommending</w:t>
      </w:r>
      <w:bookmarkEnd w:id="72"/>
    </w:p>
    <w:p w:rsidR="008C7D0B" w:rsidRDefault="007D6E05" w:rsidP="00FF0B61">
      <w:pPr>
        <w:pStyle w:val="Normal1"/>
        <w:widowControl w:val="0"/>
        <w:spacing w:line="240" w:lineRule="auto"/>
        <w:rPr>
          <w:rFonts w:asciiTheme="minorHAnsi" w:hAnsiTheme="minorHAnsi"/>
          <w:sz w:val="18"/>
          <w:szCs w:val="20"/>
        </w:rPr>
      </w:pPr>
      <w:r>
        <w:rPr>
          <w:rFonts w:asciiTheme="minorHAnsi" w:hAnsiTheme="minorHAnsi"/>
          <w:b/>
          <w:sz w:val="18"/>
          <w:szCs w:val="20"/>
          <w:u w:val="single"/>
        </w:rPr>
        <w:t xml:space="preserve">[1] </w:t>
      </w:r>
      <w:r w:rsidR="00943B19">
        <w:rPr>
          <w:rFonts w:asciiTheme="minorHAnsi" w:hAnsiTheme="minorHAnsi"/>
          <w:b/>
          <w:sz w:val="18"/>
          <w:szCs w:val="20"/>
          <w:u w:val="single"/>
        </w:rPr>
        <w:t>Illegal Insider Trading</w:t>
      </w:r>
      <w:r w:rsidR="008C7D0B" w:rsidRPr="00824C3B">
        <w:rPr>
          <w:rFonts w:asciiTheme="minorHAnsi" w:hAnsiTheme="minorHAnsi"/>
          <w:b/>
          <w:sz w:val="18"/>
          <w:szCs w:val="20"/>
          <w:u w:val="single"/>
        </w:rPr>
        <w:t>:</w:t>
      </w:r>
      <w:r w:rsidR="008C7D0B" w:rsidRPr="008C7D0B">
        <w:rPr>
          <w:rFonts w:asciiTheme="minorHAnsi" w:hAnsiTheme="minorHAnsi"/>
          <w:sz w:val="18"/>
          <w:szCs w:val="20"/>
        </w:rPr>
        <w:t xml:space="preserve"> when the persons/companies in a special relationship to the reporting issuer trade with knowledge of a material fact/change that hasn’t been generally disclosed.</w:t>
      </w:r>
    </w:p>
    <w:p w:rsidR="008C7D0B" w:rsidRDefault="008C7D0B" w:rsidP="00FF0B61">
      <w:pPr>
        <w:spacing w:after="0" w:line="240" w:lineRule="auto"/>
        <w:rPr>
          <w:szCs w:val="20"/>
        </w:rPr>
      </w:pPr>
    </w:p>
    <w:p w:rsidR="001F5C52" w:rsidRPr="001F5C52" w:rsidRDefault="001F5C52" w:rsidP="00FF0B61">
      <w:pPr>
        <w:spacing w:after="0" w:line="240" w:lineRule="auto"/>
        <w:rPr>
          <w:szCs w:val="20"/>
        </w:rPr>
      </w:pPr>
      <w:r w:rsidRPr="001F5C52">
        <w:rPr>
          <w:szCs w:val="20"/>
        </w:rPr>
        <w:t xml:space="preserve">For there to be a claim against X for </w:t>
      </w:r>
      <w:r w:rsidRPr="004A1832">
        <w:rPr>
          <w:b/>
          <w:szCs w:val="20"/>
        </w:rPr>
        <w:t>illegal insider trading</w:t>
      </w:r>
      <w:r w:rsidRPr="001F5C52">
        <w:rPr>
          <w:szCs w:val="20"/>
        </w:rPr>
        <w:t xml:space="preserve"> under </w:t>
      </w:r>
      <w:r w:rsidR="00307BD7" w:rsidRPr="00941582">
        <w:rPr>
          <w:b/>
          <w:color w:val="C45911" w:themeColor="accent2" w:themeShade="BF"/>
          <w:szCs w:val="20"/>
        </w:rPr>
        <w:t>BCSA</w:t>
      </w:r>
      <w:r w:rsidRPr="00941582">
        <w:rPr>
          <w:b/>
          <w:color w:val="C45911" w:themeColor="accent2" w:themeShade="BF"/>
          <w:szCs w:val="20"/>
        </w:rPr>
        <w:t xml:space="preserve"> 57.2</w:t>
      </w:r>
      <w:r w:rsidRPr="001F5C52">
        <w:rPr>
          <w:szCs w:val="20"/>
        </w:rPr>
        <w:t xml:space="preserve">, </w:t>
      </w:r>
      <w:r w:rsidR="00824C3B" w:rsidRPr="00AD385B">
        <w:rPr>
          <w:b/>
          <w:szCs w:val="20"/>
          <w:u w:val="single"/>
        </w:rPr>
        <w:t xml:space="preserve">3 </w:t>
      </w:r>
      <w:r w:rsidRPr="00AD385B">
        <w:rPr>
          <w:b/>
          <w:szCs w:val="20"/>
          <w:u w:val="single"/>
        </w:rPr>
        <w:t>elements must be met</w:t>
      </w:r>
      <w:r w:rsidR="003D24AB">
        <w:rPr>
          <w:b/>
          <w:szCs w:val="20"/>
          <w:u w:val="single"/>
        </w:rPr>
        <w:t xml:space="preserve"> (on BofP)</w:t>
      </w:r>
      <w:r w:rsidRPr="00AD385B">
        <w:rPr>
          <w:szCs w:val="20"/>
          <w:u w:val="single"/>
        </w:rPr>
        <w:t>:</w:t>
      </w:r>
    </w:p>
    <w:p w:rsidR="001F5C52" w:rsidRPr="001F5C52" w:rsidRDefault="001F5C52" w:rsidP="00FF0B61">
      <w:pPr>
        <w:pStyle w:val="ListParagraph"/>
        <w:numPr>
          <w:ilvl w:val="0"/>
          <w:numId w:val="96"/>
        </w:numPr>
        <w:spacing w:after="0"/>
        <w:rPr>
          <w:b/>
          <w:szCs w:val="20"/>
        </w:rPr>
      </w:pPr>
      <w:r w:rsidRPr="001F5C52">
        <w:rPr>
          <w:b/>
          <w:szCs w:val="20"/>
        </w:rPr>
        <w:t>Special relationship:</w:t>
      </w:r>
      <w:r w:rsidRPr="001F5C52">
        <w:rPr>
          <w:szCs w:val="20"/>
        </w:rPr>
        <w:t xml:space="preserve"> X must be in a special relationship with the </w:t>
      </w:r>
      <w:r w:rsidR="00307BD7">
        <w:rPr>
          <w:szCs w:val="20"/>
        </w:rPr>
        <w:t>RI</w:t>
      </w:r>
      <w:r w:rsidRPr="001F5C52">
        <w:rPr>
          <w:szCs w:val="20"/>
        </w:rPr>
        <w:t>;</w:t>
      </w:r>
    </w:p>
    <w:p w:rsidR="001F5C52" w:rsidRPr="001F5C52" w:rsidRDefault="00824C3B" w:rsidP="00FF0B61">
      <w:pPr>
        <w:pStyle w:val="ListParagraph"/>
        <w:numPr>
          <w:ilvl w:val="0"/>
          <w:numId w:val="96"/>
        </w:numPr>
        <w:spacing w:after="0"/>
        <w:rPr>
          <w:b/>
          <w:szCs w:val="20"/>
        </w:rPr>
      </w:pPr>
      <w:r>
        <w:rPr>
          <w:b/>
          <w:szCs w:val="20"/>
        </w:rPr>
        <w:t xml:space="preserve">Traded on </w:t>
      </w:r>
      <w:r w:rsidR="001F5C52" w:rsidRPr="001F5C52">
        <w:rPr>
          <w:b/>
          <w:szCs w:val="20"/>
        </w:rPr>
        <w:t xml:space="preserve">Material information: </w:t>
      </w:r>
      <w:r w:rsidR="001F5C52" w:rsidRPr="001F5C52">
        <w:rPr>
          <w:szCs w:val="20"/>
        </w:rPr>
        <w:t xml:space="preserve">the knowledge on which X purchased or sold the </w:t>
      </w:r>
      <w:r w:rsidR="00307BD7">
        <w:rPr>
          <w:szCs w:val="20"/>
        </w:rPr>
        <w:t>RI’s</w:t>
      </w:r>
      <w:r w:rsidR="001F5C52" w:rsidRPr="001F5C52">
        <w:rPr>
          <w:szCs w:val="20"/>
        </w:rPr>
        <w:t xml:space="preserve"> securities must meet the materiality threshold (</w:t>
      </w:r>
      <w:r w:rsidR="001F5C52" w:rsidRPr="00EF3FF0">
        <w:rPr>
          <w:b/>
          <w:szCs w:val="20"/>
        </w:rPr>
        <w:t>i.e. it must be a material fact, or a material change</w:t>
      </w:r>
      <w:r w:rsidR="001F5C52" w:rsidRPr="001F5C52">
        <w:rPr>
          <w:szCs w:val="20"/>
        </w:rPr>
        <w:t xml:space="preserve">); and, </w:t>
      </w:r>
    </w:p>
    <w:p w:rsidR="004D37C1" w:rsidRPr="00943B19" w:rsidRDefault="001F5C52" w:rsidP="00FF0B61">
      <w:pPr>
        <w:pStyle w:val="ListParagraph"/>
        <w:numPr>
          <w:ilvl w:val="0"/>
          <w:numId w:val="96"/>
        </w:numPr>
        <w:spacing w:after="0"/>
        <w:rPr>
          <w:b/>
          <w:szCs w:val="20"/>
        </w:rPr>
      </w:pPr>
      <w:r w:rsidRPr="001F5C52">
        <w:rPr>
          <w:b/>
          <w:szCs w:val="20"/>
        </w:rPr>
        <w:t xml:space="preserve">Not generally disclosed: </w:t>
      </w:r>
      <w:r w:rsidR="00BF42BB">
        <w:rPr>
          <w:szCs w:val="20"/>
        </w:rPr>
        <w:t>the info</w:t>
      </w:r>
      <w:r w:rsidRPr="001F5C52">
        <w:rPr>
          <w:szCs w:val="20"/>
        </w:rPr>
        <w:t xml:space="preserve"> relied on by X in the purchase or sale of the reporting issuer’s securities must not be information that has been generally disclosed.</w:t>
      </w:r>
    </w:p>
    <w:p w:rsidR="00943B19" w:rsidRDefault="00943B19" w:rsidP="00FF0B61">
      <w:pPr>
        <w:spacing w:after="0" w:line="240" w:lineRule="auto"/>
        <w:rPr>
          <w:b/>
          <w:szCs w:val="20"/>
        </w:rPr>
      </w:pPr>
    </w:p>
    <w:p w:rsidR="00943B19" w:rsidRPr="00840CA0" w:rsidRDefault="007D6E05" w:rsidP="00FF0B61">
      <w:pPr>
        <w:pStyle w:val="Normal1"/>
        <w:widowControl w:val="0"/>
        <w:spacing w:line="240" w:lineRule="auto"/>
        <w:rPr>
          <w:rFonts w:asciiTheme="minorHAnsi" w:hAnsiTheme="minorHAnsi"/>
          <w:sz w:val="18"/>
          <w:szCs w:val="20"/>
        </w:rPr>
      </w:pPr>
      <w:r>
        <w:rPr>
          <w:rFonts w:asciiTheme="minorHAnsi" w:hAnsiTheme="minorHAnsi"/>
          <w:b/>
          <w:sz w:val="18"/>
          <w:szCs w:val="20"/>
          <w:u w:val="single"/>
        </w:rPr>
        <w:t xml:space="preserve">[2] </w:t>
      </w:r>
      <w:r w:rsidR="00943B19" w:rsidRPr="00943B19">
        <w:rPr>
          <w:rFonts w:asciiTheme="minorHAnsi" w:hAnsiTheme="minorHAnsi"/>
          <w:b/>
          <w:sz w:val="18"/>
          <w:szCs w:val="20"/>
          <w:u w:val="single"/>
        </w:rPr>
        <w:t>Illegal Tipping:</w:t>
      </w:r>
      <w:r w:rsidR="00943B19">
        <w:rPr>
          <w:rFonts w:asciiTheme="minorHAnsi" w:hAnsiTheme="minorHAnsi"/>
          <w:b/>
          <w:sz w:val="18"/>
          <w:szCs w:val="20"/>
        </w:rPr>
        <w:t xml:space="preserve"> </w:t>
      </w:r>
      <w:r w:rsidR="00943B19" w:rsidRPr="00943B19">
        <w:rPr>
          <w:rFonts w:asciiTheme="minorHAnsi" w:hAnsiTheme="minorHAnsi"/>
          <w:sz w:val="18"/>
          <w:szCs w:val="20"/>
        </w:rPr>
        <w:t>For</w:t>
      </w:r>
      <w:r w:rsidR="00943B19" w:rsidRPr="00840CA0">
        <w:rPr>
          <w:rFonts w:asciiTheme="minorHAnsi" w:hAnsiTheme="minorHAnsi"/>
          <w:sz w:val="18"/>
          <w:szCs w:val="20"/>
        </w:rPr>
        <w:t xml:space="preserve"> there to be a claim against </w:t>
      </w:r>
      <w:r w:rsidR="00943B19" w:rsidRPr="00840CA0">
        <w:rPr>
          <w:rFonts w:asciiTheme="minorHAnsi" w:hAnsiTheme="minorHAnsi"/>
          <w:i/>
          <w:sz w:val="18"/>
          <w:szCs w:val="20"/>
        </w:rPr>
        <w:t>x</w:t>
      </w:r>
      <w:r w:rsidR="00943B19" w:rsidRPr="00840CA0">
        <w:rPr>
          <w:rFonts w:asciiTheme="minorHAnsi" w:hAnsiTheme="minorHAnsi"/>
          <w:sz w:val="18"/>
          <w:szCs w:val="20"/>
        </w:rPr>
        <w:t xml:space="preserve"> for tipping under</w:t>
      </w:r>
      <w:r w:rsidR="00943B19" w:rsidRPr="00840CA0">
        <w:rPr>
          <w:rFonts w:asciiTheme="minorHAnsi" w:hAnsiTheme="minorHAnsi"/>
          <w:b/>
          <w:color w:val="C45911" w:themeColor="accent2" w:themeShade="BF"/>
          <w:sz w:val="18"/>
          <w:szCs w:val="20"/>
        </w:rPr>
        <w:t xml:space="preserve"> BCSA 57.2(3)</w:t>
      </w:r>
      <w:r w:rsidR="00943B19" w:rsidRPr="00840CA0">
        <w:rPr>
          <w:rFonts w:asciiTheme="minorHAnsi" w:hAnsiTheme="minorHAnsi"/>
          <w:sz w:val="18"/>
          <w:szCs w:val="20"/>
        </w:rPr>
        <w:t xml:space="preserve">, </w:t>
      </w:r>
      <w:r w:rsidR="00943B19" w:rsidRPr="00EF3FF0">
        <w:rPr>
          <w:rFonts w:asciiTheme="minorHAnsi" w:hAnsiTheme="minorHAnsi"/>
          <w:b/>
          <w:sz w:val="18"/>
          <w:szCs w:val="20"/>
          <w:u w:val="single"/>
        </w:rPr>
        <w:t>three elements must be met</w:t>
      </w:r>
      <w:r w:rsidR="00EF3FF0" w:rsidRPr="00EF3FF0">
        <w:rPr>
          <w:rFonts w:asciiTheme="minorHAnsi" w:hAnsiTheme="minorHAnsi"/>
          <w:b/>
          <w:sz w:val="18"/>
          <w:szCs w:val="20"/>
          <w:u w:val="single"/>
        </w:rPr>
        <w:t xml:space="preserve"> (BofP)</w:t>
      </w:r>
      <w:r w:rsidR="00943B19" w:rsidRPr="00EF3FF0">
        <w:rPr>
          <w:rFonts w:asciiTheme="minorHAnsi" w:hAnsiTheme="minorHAnsi"/>
          <w:b/>
          <w:sz w:val="18"/>
          <w:szCs w:val="20"/>
          <w:u w:val="single"/>
        </w:rPr>
        <w:t>:</w:t>
      </w:r>
    </w:p>
    <w:p w:rsidR="00943B19" w:rsidRPr="00840CA0" w:rsidRDefault="00943B19" w:rsidP="00FF0B61">
      <w:pPr>
        <w:pStyle w:val="Normal1"/>
        <w:widowControl w:val="0"/>
        <w:numPr>
          <w:ilvl w:val="0"/>
          <w:numId w:val="102"/>
        </w:numPr>
        <w:spacing w:line="240" w:lineRule="auto"/>
        <w:ind w:hanging="360"/>
        <w:contextualSpacing/>
        <w:rPr>
          <w:rFonts w:asciiTheme="minorHAnsi" w:hAnsiTheme="minorHAnsi"/>
          <w:sz w:val="18"/>
          <w:szCs w:val="20"/>
        </w:rPr>
      </w:pPr>
      <w:r w:rsidRPr="00840CA0">
        <w:rPr>
          <w:rFonts w:asciiTheme="minorHAnsi" w:hAnsiTheme="minorHAnsi"/>
          <w:b/>
          <w:sz w:val="18"/>
          <w:szCs w:val="20"/>
        </w:rPr>
        <w:t>The tipper (x) must be in special relationship with the reporting issuer;</w:t>
      </w:r>
    </w:p>
    <w:p w:rsidR="00943B19" w:rsidRPr="00840CA0" w:rsidRDefault="00943B19" w:rsidP="00FF0B61">
      <w:pPr>
        <w:pStyle w:val="Normal1"/>
        <w:widowControl w:val="0"/>
        <w:numPr>
          <w:ilvl w:val="0"/>
          <w:numId w:val="102"/>
        </w:numPr>
        <w:spacing w:line="240" w:lineRule="auto"/>
        <w:ind w:hanging="360"/>
        <w:contextualSpacing/>
        <w:rPr>
          <w:rFonts w:asciiTheme="minorHAnsi" w:hAnsiTheme="minorHAnsi"/>
          <w:b/>
          <w:sz w:val="18"/>
          <w:szCs w:val="20"/>
        </w:rPr>
      </w:pPr>
      <w:r w:rsidRPr="00840CA0">
        <w:rPr>
          <w:rFonts w:asciiTheme="minorHAnsi" w:hAnsiTheme="minorHAnsi"/>
          <w:b/>
          <w:sz w:val="18"/>
          <w:szCs w:val="20"/>
        </w:rPr>
        <w:t>The tipper (x) informs the tippee (y) of a material fact or material change other than in the necessary course of business</w:t>
      </w:r>
    </w:p>
    <w:p w:rsidR="00943B19" w:rsidRDefault="00943B19" w:rsidP="00FF0B61">
      <w:pPr>
        <w:pStyle w:val="Normal1"/>
        <w:widowControl w:val="0"/>
        <w:numPr>
          <w:ilvl w:val="0"/>
          <w:numId w:val="102"/>
        </w:numPr>
        <w:spacing w:line="240" w:lineRule="auto"/>
        <w:ind w:hanging="360"/>
        <w:contextualSpacing/>
        <w:rPr>
          <w:rFonts w:asciiTheme="minorHAnsi" w:hAnsiTheme="minorHAnsi"/>
          <w:b/>
          <w:sz w:val="18"/>
          <w:szCs w:val="20"/>
        </w:rPr>
      </w:pPr>
      <w:r w:rsidRPr="00840CA0">
        <w:rPr>
          <w:rFonts w:asciiTheme="minorHAnsi" w:hAnsiTheme="minorHAnsi"/>
          <w:b/>
          <w:sz w:val="18"/>
          <w:szCs w:val="20"/>
        </w:rPr>
        <w:t>The information has not been generally disclosed</w:t>
      </w:r>
    </w:p>
    <w:p w:rsidR="00943B19" w:rsidRPr="00840CA0" w:rsidRDefault="00943B19" w:rsidP="00FF0B61">
      <w:pPr>
        <w:pStyle w:val="Normal1"/>
        <w:widowControl w:val="0"/>
        <w:spacing w:line="240" w:lineRule="auto"/>
        <w:ind w:left="720"/>
        <w:contextualSpacing/>
        <w:rPr>
          <w:rFonts w:asciiTheme="minorHAnsi" w:hAnsiTheme="minorHAnsi"/>
          <w:b/>
          <w:sz w:val="18"/>
          <w:szCs w:val="20"/>
        </w:rPr>
      </w:pPr>
    </w:p>
    <w:p w:rsidR="00943B19" w:rsidRPr="00664246" w:rsidRDefault="00943B19" w:rsidP="00FF0B61">
      <w:pPr>
        <w:pStyle w:val="Normal1"/>
        <w:widowControl w:val="0"/>
        <w:numPr>
          <w:ilvl w:val="0"/>
          <w:numId w:val="103"/>
        </w:numPr>
        <w:spacing w:line="240" w:lineRule="auto"/>
        <w:ind w:left="142" w:hanging="142"/>
        <w:contextualSpacing/>
        <w:rPr>
          <w:rFonts w:asciiTheme="minorHAnsi" w:hAnsiTheme="minorHAnsi"/>
          <w:sz w:val="18"/>
          <w:szCs w:val="20"/>
          <w:highlight w:val="white"/>
        </w:rPr>
      </w:pPr>
      <w:r w:rsidRPr="00664246">
        <w:rPr>
          <w:rFonts w:asciiTheme="minorHAnsi" w:hAnsiTheme="minorHAnsi"/>
          <w:sz w:val="18"/>
          <w:szCs w:val="20"/>
          <w:highlight w:val="white"/>
        </w:rPr>
        <w:t xml:space="preserve">A tippee </w:t>
      </w:r>
      <w:r>
        <w:rPr>
          <w:rFonts w:asciiTheme="minorHAnsi" w:hAnsiTheme="minorHAnsi"/>
          <w:sz w:val="18"/>
          <w:szCs w:val="20"/>
          <w:highlight w:val="white"/>
        </w:rPr>
        <w:t xml:space="preserve">(y) </w:t>
      </w:r>
      <w:r w:rsidRPr="00664246">
        <w:rPr>
          <w:rFonts w:asciiTheme="minorHAnsi" w:hAnsiTheme="minorHAnsi"/>
          <w:sz w:val="18"/>
          <w:szCs w:val="20"/>
          <w:highlight w:val="white"/>
        </w:rPr>
        <w:t xml:space="preserve">can also be a tipper if she is also in a special relationship with the issuer and passes material undisclosed information along to another person – </w:t>
      </w:r>
      <w:r w:rsidRPr="00EF3FF0">
        <w:rPr>
          <w:rFonts w:asciiTheme="minorHAnsi" w:hAnsiTheme="minorHAnsi"/>
          <w:b/>
          <w:i/>
          <w:sz w:val="18"/>
          <w:szCs w:val="20"/>
          <w:highlight w:val="white"/>
        </w:rPr>
        <w:t>chain can continue indefinitely</w:t>
      </w:r>
    </w:p>
    <w:p w:rsidR="00943B19" w:rsidRPr="00664246" w:rsidRDefault="00943B19" w:rsidP="00FF0B61">
      <w:pPr>
        <w:pStyle w:val="Normal1"/>
        <w:widowControl w:val="0"/>
        <w:numPr>
          <w:ilvl w:val="1"/>
          <w:numId w:val="103"/>
        </w:numPr>
        <w:spacing w:line="240" w:lineRule="auto"/>
        <w:ind w:left="709"/>
        <w:contextualSpacing/>
        <w:rPr>
          <w:rFonts w:asciiTheme="minorHAnsi" w:hAnsiTheme="minorHAnsi"/>
          <w:sz w:val="18"/>
          <w:szCs w:val="20"/>
          <w:highlight w:val="white"/>
        </w:rPr>
      </w:pPr>
      <w:r w:rsidRPr="00664246">
        <w:rPr>
          <w:rFonts w:asciiTheme="minorHAnsi" w:hAnsiTheme="minorHAnsi"/>
          <w:sz w:val="18"/>
          <w:szCs w:val="20"/>
          <w:highlight w:val="white"/>
        </w:rPr>
        <w:t>Tipper (x) will be guilty even if the recipient doesn't know the tipper is in a special relationship</w:t>
      </w:r>
    </w:p>
    <w:p w:rsidR="00943B19" w:rsidRPr="00664246" w:rsidRDefault="00943B19" w:rsidP="00FF0B61">
      <w:pPr>
        <w:pStyle w:val="Normal1"/>
        <w:widowControl w:val="0"/>
        <w:numPr>
          <w:ilvl w:val="1"/>
          <w:numId w:val="103"/>
        </w:numPr>
        <w:spacing w:line="240" w:lineRule="auto"/>
        <w:ind w:left="709"/>
        <w:contextualSpacing/>
        <w:rPr>
          <w:rFonts w:asciiTheme="minorHAnsi" w:hAnsiTheme="minorHAnsi"/>
          <w:sz w:val="18"/>
          <w:szCs w:val="20"/>
          <w:highlight w:val="white"/>
        </w:rPr>
      </w:pPr>
      <w:r w:rsidRPr="00664246">
        <w:rPr>
          <w:rFonts w:asciiTheme="minorHAnsi" w:hAnsiTheme="minorHAnsi"/>
          <w:sz w:val="18"/>
          <w:szCs w:val="20"/>
          <w:highlight w:val="white"/>
        </w:rPr>
        <w:t>For the tippee (y) to be guilty he</w:t>
      </w:r>
      <w:r>
        <w:rPr>
          <w:rFonts w:asciiTheme="minorHAnsi" w:hAnsiTheme="minorHAnsi"/>
          <w:sz w:val="18"/>
          <w:szCs w:val="20"/>
          <w:highlight w:val="white"/>
        </w:rPr>
        <w:t xml:space="preserve"> must </w:t>
      </w:r>
      <w:r w:rsidRPr="008D5603">
        <w:rPr>
          <w:rFonts w:asciiTheme="minorHAnsi" w:hAnsiTheme="minorHAnsi"/>
          <w:i/>
          <w:sz w:val="18"/>
          <w:szCs w:val="20"/>
          <w:highlight w:val="white"/>
        </w:rPr>
        <w:t>know that the tipper (x) was in a Special Relationship</w:t>
      </w:r>
      <w:r w:rsidRPr="00664246">
        <w:rPr>
          <w:rFonts w:asciiTheme="minorHAnsi" w:hAnsiTheme="minorHAnsi"/>
          <w:sz w:val="18"/>
          <w:szCs w:val="20"/>
          <w:highlight w:val="white"/>
        </w:rPr>
        <w:t xml:space="preserve"> </w:t>
      </w:r>
      <w:r w:rsidRPr="008D5603">
        <w:rPr>
          <w:rFonts w:asciiTheme="minorHAnsi" w:hAnsiTheme="minorHAnsi"/>
          <w:b/>
          <w:sz w:val="18"/>
          <w:szCs w:val="20"/>
          <w:highlight w:val="white"/>
        </w:rPr>
        <w:t>OR</w:t>
      </w:r>
      <w:r>
        <w:rPr>
          <w:rFonts w:asciiTheme="minorHAnsi" w:hAnsiTheme="minorHAnsi"/>
          <w:b/>
          <w:sz w:val="18"/>
          <w:szCs w:val="20"/>
          <w:highlight w:val="white"/>
        </w:rPr>
        <w:t xml:space="preserve"> </w:t>
      </w:r>
      <w:r w:rsidRPr="008D5603">
        <w:rPr>
          <w:rFonts w:asciiTheme="minorHAnsi" w:hAnsiTheme="minorHAnsi"/>
          <w:i/>
          <w:sz w:val="18"/>
          <w:szCs w:val="20"/>
          <w:highlight w:val="white"/>
        </w:rPr>
        <w:t>reasonably ought to have known</w:t>
      </w:r>
      <w:r w:rsidRPr="00664246">
        <w:rPr>
          <w:rFonts w:asciiTheme="minorHAnsi" w:hAnsiTheme="minorHAnsi"/>
          <w:sz w:val="18"/>
          <w:szCs w:val="20"/>
          <w:highlight w:val="white"/>
        </w:rPr>
        <w:t xml:space="preserve"> about </w:t>
      </w:r>
      <w:r w:rsidRPr="00664246">
        <w:rPr>
          <w:rFonts w:asciiTheme="minorHAnsi" w:hAnsiTheme="minorHAnsi"/>
          <w:sz w:val="18"/>
          <w:szCs w:val="20"/>
          <w:highlight w:val="white"/>
        </w:rPr>
        <w:lastRenderedPageBreak/>
        <w:t>the special relationship</w:t>
      </w:r>
    </w:p>
    <w:p w:rsidR="00943B19" w:rsidRDefault="00943B19" w:rsidP="00FF0B61">
      <w:pPr>
        <w:pStyle w:val="Normal1"/>
        <w:widowControl w:val="0"/>
        <w:numPr>
          <w:ilvl w:val="2"/>
          <w:numId w:val="103"/>
        </w:numPr>
        <w:spacing w:line="240" w:lineRule="auto"/>
        <w:ind w:left="1276"/>
        <w:contextualSpacing/>
        <w:rPr>
          <w:rFonts w:asciiTheme="minorHAnsi" w:hAnsiTheme="minorHAnsi"/>
          <w:sz w:val="18"/>
          <w:szCs w:val="20"/>
          <w:highlight w:val="white"/>
        </w:rPr>
      </w:pPr>
      <w:r w:rsidRPr="00665025">
        <w:rPr>
          <w:rFonts w:asciiTheme="minorHAnsi" w:hAnsiTheme="minorHAnsi"/>
          <w:b/>
          <w:sz w:val="18"/>
          <w:szCs w:val="20"/>
          <w:highlight w:val="white"/>
        </w:rPr>
        <w:t xml:space="preserve">Per </w:t>
      </w:r>
      <w:r w:rsidRPr="00665025">
        <w:rPr>
          <w:rFonts w:asciiTheme="minorHAnsi" w:hAnsiTheme="minorHAnsi"/>
          <w:b/>
          <w:color w:val="C45911" w:themeColor="accent2" w:themeShade="BF"/>
          <w:sz w:val="18"/>
          <w:szCs w:val="20"/>
          <w:highlight w:val="white"/>
        </w:rPr>
        <w:t xml:space="preserve">s.3(e) </w:t>
      </w:r>
      <w:r w:rsidRPr="00665025">
        <w:rPr>
          <w:rFonts w:asciiTheme="minorHAnsi" w:hAnsiTheme="minorHAnsi"/>
          <w:b/>
          <w:sz w:val="18"/>
          <w:szCs w:val="20"/>
          <w:highlight w:val="white"/>
        </w:rPr>
        <w:t>the tippee is also in a special relationship</w:t>
      </w:r>
      <w:r w:rsidRPr="00664246">
        <w:rPr>
          <w:rFonts w:asciiTheme="minorHAnsi" w:hAnsiTheme="minorHAnsi"/>
          <w:sz w:val="18"/>
          <w:szCs w:val="20"/>
          <w:highlight w:val="white"/>
        </w:rPr>
        <w:t xml:space="preserve"> with the issuer because he or she got material information from someone in a special relationship + knew/ought to have known about the special relationship</w:t>
      </w:r>
    </w:p>
    <w:p w:rsidR="007D2DC0" w:rsidRDefault="007D2DC0" w:rsidP="00FF0B61">
      <w:pPr>
        <w:pStyle w:val="Normal1"/>
        <w:widowControl w:val="0"/>
        <w:spacing w:line="240" w:lineRule="auto"/>
        <w:contextualSpacing/>
        <w:rPr>
          <w:rFonts w:asciiTheme="minorHAnsi" w:hAnsiTheme="minorHAnsi"/>
          <w:b/>
          <w:color w:val="auto"/>
          <w:sz w:val="18"/>
          <w:szCs w:val="20"/>
        </w:rPr>
      </w:pPr>
    </w:p>
    <w:p w:rsidR="007D2DC0" w:rsidRDefault="007D2DC0" w:rsidP="00FF0B61">
      <w:pPr>
        <w:pStyle w:val="Normal1"/>
        <w:widowControl w:val="0"/>
        <w:spacing w:line="240" w:lineRule="auto"/>
        <w:contextualSpacing/>
        <w:rPr>
          <w:rFonts w:asciiTheme="minorHAnsi" w:hAnsiTheme="minorHAnsi"/>
          <w:b/>
          <w:color w:val="auto"/>
          <w:sz w:val="18"/>
          <w:szCs w:val="20"/>
          <w:u w:val="single"/>
        </w:rPr>
      </w:pPr>
      <w:r>
        <w:rPr>
          <w:rFonts w:asciiTheme="minorHAnsi" w:hAnsiTheme="minorHAnsi"/>
          <w:b/>
          <w:color w:val="auto"/>
          <w:sz w:val="18"/>
          <w:szCs w:val="20"/>
          <w:u w:val="single"/>
        </w:rPr>
        <w:t>ALSO CONSIDER:</w:t>
      </w:r>
    </w:p>
    <w:p w:rsidR="007D2DC0" w:rsidRPr="00DC70EA" w:rsidRDefault="007D2DC0" w:rsidP="00FF0B61">
      <w:pPr>
        <w:pStyle w:val="Normal1"/>
        <w:widowControl w:val="0"/>
        <w:spacing w:line="240" w:lineRule="auto"/>
        <w:contextualSpacing/>
        <w:rPr>
          <w:rFonts w:asciiTheme="minorHAnsi" w:hAnsiTheme="minorHAnsi"/>
          <w:sz w:val="18"/>
          <w:szCs w:val="20"/>
        </w:rPr>
      </w:pPr>
      <w:r w:rsidRPr="00DC70EA">
        <w:rPr>
          <w:rFonts w:asciiTheme="minorHAnsi" w:hAnsiTheme="minorHAnsi"/>
          <w:b/>
          <w:color w:val="auto"/>
          <w:sz w:val="18"/>
          <w:szCs w:val="20"/>
        </w:rPr>
        <w:t>Takeover/Business Combo</w:t>
      </w:r>
      <w:r>
        <w:rPr>
          <w:rFonts w:asciiTheme="minorHAnsi" w:hAnsiTheme="minorHAnsi"/>
          <w:b/>
          <w:color w:val="auto"/>
          <w:sz w:val="18"/>
          <w:szCs w:val="20"/>
        </w:rPr>
        <w:t xml:space="preserve"> (</w:t>
      </w:r>
      <w:r>
        <w:rPr>
          <w:rFonts w:asciiTheme="minorHAnsi" w:hAnsiTheme="minorHAnsi"/>
          <w:b/>
          <w:color w:val="C45911" w:themeColor="accent2" w:themeShade="BF"/>
          <w:sz w:val="18"/>
          <w:szCs w:val="20"/>
        </w:rPr>
        <w:t xml:space="preserve">BCSA </w:t>
      </w:r>
      <w:r w:rsidRPr="00DC70EA">
        <w:rPr>
          <w:rFonts w:asciiTheme="minorHAnsi" w:hAnsiTheme="minorHAnsi"/>
          <w:b/>
          <w:color w:val="C45911" w:themeColor="accent2" w:themeShade="BF"/>
          <w:sz w:val="18"/>
          <w:szCs w:val="20"/>
        </w:rPr>
        <w:t>57.2(4)</w:t>
      </w:r>
      <w:r>
        <w:rPr>
          <w:rFonts w:asciiTheme="minorHAnsi" w:hAnsiTheme="minorHAnsi"/>
          <w:b/>
          <w:color w:val="C45911" w:themeColor="accent2" w:themeShade="BF"/>
          <w:sz w:val="18"/>
          <w:szCs w:val="20"/>
        </w:rPr>
        <w:t>)</w:t>
      </w:r>
      <w:r w:rsidRPr="00DC70EA">
        <w:rPr>
          <w:rFonts w:asciiTheme="minorHAnsi" w:hAnsiTheme="minorHAnsi"/>
          <w:b/>
          <w:color w:val="auto"/>
          <w:sz w:val="18"/>
          <w:szCs w:val="20"/>
        </w:rPr>
        <w:t xml:space="preserve"> – </w:t>
      </w:r>
      <w:r w:rsidRPr="00DC70EA">
        <w:rPr>
          <w:rFonts w:asciiTheme="minorHAnsi" w:hAnsiTheme="minorHAnsi"/>
          <w:sz w:val="18"/>
          <w:szCs w:val="20"/>
        </w:rPr>
        <w:t>where a person is engaged in a takeover/business combination</w:t>
      </w:r>
      <w:r w:rsidRPr="00DC70EA">
        <w:rPr>
          <w:rFonts w:asciiTheme="minorHAnsi" w:hAnsiTheme="minorHAnsi"/>
          <w:b/>
          <w:color w:val="008000"/>
          <w:sz w:val="18"/>
          <w:szCs w:val="20"/>
        </w:rPr>
        <w:t xml:space="preserve"> </w:t>
      </w:r>
      <w:r w:rsidRPr="00DC70EA">
        <w:rPr>
          <w:rFonts w:asciiTheme="minorHAnsi" w:hAnsiTheme="minorHAnsi"/>
          <w:sz w:val="18"/>
          <w:szCs w:val="20"/>
        </w:rPr>
        <w:t>with the issuer and kn</w:t>
      </w:r>
      <w:r w:rsidR="002B7666">
        <w:rPr>
          <w:rFonts w:asciiTheme="minorHAnsi" w:hAnsiTheme="minorHAnsi"/>
          <w:sz w:val="18"/>
          <w:szCs w:val="20"/>
        </w:rPr>
        <w:t>ows of a material fact/change w</w:t>
      </w:r>
      <w:r w:rsidRPr="00DC70EA">
        <w:rPr>
          <w:rFonts w:asciiTheme="minorHAnsi" w:hAnsiTheme="minorHAnsi"/>
          <w:sz w:val="18"/>
          <w:szCs w:val="20"/>
        </w:rPr>
        <w:t>rt</w:t>
      </w:r>
      <w:r w:rsidR="002B7666">
        <w:rPr>
          <w:rFonts w:asciiTheme="minorHAnsi" w:hAnsiTheme="minorHAnsi"/>
          <w:sz w:val="18"/>
          <w:szCs w:val="20"/>
        </w:rPr>
        <w:t xml:space="preserve"> the</w:t>
      </w:r>
      <w:r w:rsidRPr="00DC70EA">
        <w:rPr>
          <w:rFonts w:asciiTheme="minorHAnsi" w:hAnsiTheme="minorHAnsi"/>
          <w:sz w:val="18"/>
          <w:szCs w:val="20"/>
        </w:rPr>
        <w:t xml:space="preserve"> issuer which has not been generally disclosed, they must not inform another party of that MNPI</w:t>
      </w:r>
    </w:p>
    <w:p w:rsidR="007D2DC0" w:rsidRPr="00DC70EA" w:rsidRDefault="007D2DC0" w:rsidP="00FF0B61">
      <w:pPr>
        <w:pStyle w:val="Normal1"/>
        <w:widowControl w:val="0"/>
        <w:numPr>
          <w:ilvl w:val="0"/>
          <w:numId w:val="80"/>
        </w:numPr>
        <w:spacing w:line="240" w:lineRule="auto"/>
        <w:contextualSpacing/>
        <w:rPr>
          <w:rFonts w:asciiTheme="minorHAnsi" w:hAnsiTheme="minorHAnsi"/>
          <w:color w:val="auto"/>
          <w:sz w:val="18"/>
          <w:szCs w:val="20"/>
        </w:rPr>
      </w:pPr>
      <w:r w:rsidRPr="00DC70EA">
        <w:rPr>
          <w:rFonts w:asciiTheme="minorHAnsi" w:hAnsiTheme="minorHAnsi"/>
          <w:b/>
          <w:color w:val="auto"/>
          <w:sz w:val="18"/>
          <w:szCs w:val="20"/>
        </w:rPr>
        <w:t>Exemption</w:t>
      </w:r>
      <w:r>
        <w:rPr>
          <w:rFonts w:asciiTheme="minorHAnsi" w:hAnsiTheme="minorHAnsi"/>
          <w:color w:val="auto"/>
          <w:sz w:val="18"/>
          <w:szCs w:val="20"/>
        </w:rPr>
        <w:t xml:space="preserve">: </w:t>
      </w:r>
      <w:r w:rsidRPr="00DC70EA">
        <w:rPr>
          <w:rFonts w:asciiTheme="minorHAnsi" w:hAnsiTheme="minorHAnsi"/>
          <w:color w:val="auto"/>
          <w:sz w:val="18"/>
          <w:szCs w:val="20"/>
        </w:rPr>
        <w:t>where that disclosure is part of ordinary course of business</w:t>
      </w:r>
    </w:p>
    <w:p w:rsidR="007D2DC0" w:rsidRPr="002C0E9B" w:rsidRDefault="007D2DC0" w:rsidP="00FF0B61">
      <w:pPr>
        <w:pStyle w:val="ListParagraph"/>
        <w:numPr>
          <w:ilvl w:val="0"/>
          <w:numId w:val="80"/>
        </w:numPr>
        <w:spacing w:after="0"/>
        <w:rPr>
          <w:b/>
          <w:lang w:val="en-CA" w:eastAsia="en-CA"/>
        </w:rPr>
      </w:pPr>
      <w:r>
        <w:rPr>
          <w:b/>
          <w:lang w:val="en-CA" w:eastAsia="en-CA"/>
        </w:rPr>
        <w:t xml:space="preserve">E.g. </w:t>
      </w:r>
      <w:r>
        <w:rPr>
          <w:lang w:val="en-CA" w:eastAsia="en-CA"/>
        </w:rPr>
        <w:t>One way to defend against Hostile takeover is to get another company to buy you and you might have to tell this company material non-public info (“White Knight Defense”)</w:t>
      </w:r>
    </w:p>
    <w:p w:rsidR="007D2DC0" w:rsidRPr="00DC70EA" w:rsidRDefault="007D2DC0" w:rsidP="00FF0B61">
      <w:pPr>
        <w:pStyle w:val="ListParagraph"/>
        <w:spacing w:after="0"/>
        <w:rPr>
          <w:b/>
          <w:lang w:val="en-CA" w:eastAsia="en-CA"/>
        </w:rPr>
      </w:pPr>
    </w:p>
    <w:p w:rsidR="007D2DC0" w:rsidRPr="00DC70EA" w:rsidRDefault="007D2DC0" w:rsidP="00FF0B61">
      <w:pPr>
        <w:pStyle w:val="Normal1"/>
        <w:widowControl w:val="0"/>
        <w:spacing w:line="240" w:lineRule="auto"/>
        <w:contextualSpacing/>
        <w:rPr>
          <w:rFonts w:asciiTheme="minorHAnsi" w:hAnsiTheme="minorHAnsi"/>
          <w:sz w:val="18"/>
          <w:szCs w:val="20"/>
        </w:rPr>
      </w:pPr>
      <w:r w:rsidRPr="00DC70EA">
        <w:rPr>
          <w:rFonts w:asciiTheme="minorHAnsi" w:hAnsiTheme="minorHAnsi"/>
          <w:b/>
          <w:color w:val="auto"/>
          <w:sz w:val="18"/>
          <w:szCs w:val="20"/>
        </w:rPr>
        <w:t>Recommending</w:t>
      </w:r>
      <w:r>
        <w:rPr>
          <w:rFonts w:asciiTheme="minorHAnsi" w:hAnsiTheme="minorHAnsi"/>
          <w:b/>
          <w:color w:val="auto"/>
          <w:sz w:val="18"/>
          <w:szCs w:val="20"/>
        </w:rPr>
        <w:t xml:space="preserve"> (</w:t>
      </w:r>
      <w:r>
        <w:rPr>
          <w:rFonts w:asciiTheme="minorHAnsi" w:hAnsiTheme="minorHAnsi"/>
          <w:b/>
          <w:color w:val="C45911" w:themeColor="accent2" w:themeShade="BF"/>
          <w:sz w:val="18"/>
          <w:szCs w:val="20"/>
        </w:rPr>
        <w:t xml:space="preserve">BCSA </w:t>
      </w:r>
      <w:r w:rsidRPr="00DC70EA">
        <w:rPr>
          <w:rFonts w:asciiTheme="minorHAnsi" w:hAnsiTheme="minorHAnsi"/>
          <w:b/>
          <w:color w:val="C45911" w:themeColor="accent2" w:themeShade="BF"/>
          <w:sz w:val="18"/>
          <w:szCs w:val="20"/>
        </w:rPr>
        <w:t>57.2(5)</w:t>
      </w:r>
      <w:r>
        <w:rPr>
          <w:rFonts w:asciiTheme="minorHAnsi" w:hAnsiTheme="minorHAnsi"/>
          <w:b/>
          <w:color w:val="C45911" w:themeColor="accent2" w:themeShade="BF"/>
          <w:sz w:val="18"/>
          <w:szCs w:val="20"/>
        </w:rPr>
        <w:t>)</w:t>
      </w:r>
      <w:r w:rsidRPr="00DC70EA">
        <w:rPr>
          <w:rFonts w:asciiTheme="minorHAnsi" w:hAnsiTheme="minorHAnsi"/>
          <w:b/>
          <w:color w:val="auto"/>
          <w:sz w:val="18"/>
          <w:szCs w:val="20"/>
        </w:rPr>
        <w:t xml:space="preserve"> – </w:t>
      </w:r>
      <w:r w:rsidR="002B7666">
        <w:rPr>
          <w:rFonts w:asciiTheme="minorHAnsi" w:hAnsiTheme="minorHAnsi"/>
          <w:sz w:val="18"/>
          <w:szCs w:val="20"/>
        </w:rPr>
        <w:t>P</w:t>
      </w:r>
      <w:r w:rsidRPr="00DC70EA">
        <w:rPr>
          <w:rFonts w:asciiTheme="minorHAnsi" w:hAnsiTheme="minorHAnsi"/>
          <w:sz w:val="18"/>
          <w:szCs w:val="20"/>
        </w:rPr>
        <w:t xml:space="preserve">revents recommending another </w:t>
      </w:r>
      <w:r w:rsidR="002B7666">
        <w:rPr>
          <w:rFonts w:asciiTheme="minorHAnsi" w:hAnsiTheme="minorHAnsi"/>
          <w:sz w:val="18"/>
          <w:szCs w:val="20"/>
        </w:rPr>
        <w:t xml:space="preserve">to </w:t>
      </w:r>
      <w:r w:rsidRPr="00DC70EA">
        <w:rPr>
          <w:rFonts w:asciiTheme="minorHAnsi" w:hAnsiTheme="minorHAnsi"/>
          <w:sz w:val="18"/>
          <w:szCs w:val="20"/>
        </w:rPr>
        <w:t>engage in a purchase/trade of issuer’s securities where a person is in a special relationship with the issuer and knows of a material fact/change w/r/t issuer which has not been generally disclosed</w:t>
      </w:r>
    </w:p>
    <w:p w:rsidR="007D2DC0" w:rsidRPr="00DC70EA" w:rsidRDefault="007D2DC0" w:rsidP="00FF0B61">
      <w:pPr>
        <w:pStyle w:val="Normal1"/>
        <w:widowControl w:val="0"/>
        <w:numPr>
          <w:ilvl w:val="0"/>
          <w:numId w:val="80"/>
        </w:numPr>
        <w:spacing w:line="240" w:lineRule="auto"/>
        <w:contextualSpacing/>
        <w:rPr>
          <w:rFonts w:asciiTheme="minorHAnsi" w:hAnsiTheme="minorHAnsi"/>
          <w:b/>
          <w:color w:val="auto"/>
          <w:sz w:val="18"/>
          <w:szCs w:val="20"/>
        </w:rPr>
      </w:pPr>
      <w:r w:rsidRPr="00DC70EA">
        <w:rPr>
          <w:rFonts w:asciiTheme="minorHAnsi" w:hAnsiTheme="minorHAnsi"/>
          <w:b/>
          <w:color w:val="auto"/>
          <w:sz w:val="18"/>
          <w:szCs w:val="20"/>
        </w:rPr>
        <w:t xml:space="preserve">Recommendee does not receive MNPI and is not liable </w:t>
      </w:r>
    </w:p>
    <w:p w:rsidR="007D2DC0" w:rsidRPr="00DC70EA" w:rsidRDefault="007D2DC0" w:rsidP="00FF0B61">
      <w:pPr>
        <w:pStyle w:val="ListParagraph"/>
        <w:numPr>
          <w:ilvl w:val="0"/>
          <w:numId w:val="80"/>
        </w:numPr>
        <w:spacing w:after="0"/>
        <w:rPr>
          <w:b/>
          <w:lang w:val="en-CA" w:eastAsia="en-CA"/>
        </w:rPr>
      </w:pPr>
      <w:r w:rsidRPr="00DC70EA">
        <w:rPr>
          <w:b/>
          <w:lang w:val="en-CA" w:eastAsia="en-CA"/>
        </w:rPr>
        <w:t xml:space="preserve">E.g. </w:t>
      </w:r>
      <w:r w:rsidRPr="00DC70EA">
        <w:rPr>
          <w:lang w:val="en-CA" w:eastAsia="en-CA"/>
        </w:rPr>
        <w:t xml:space="preserve">Just nudging someone and hinting to buy. </w:t>
      </w:r>
    </w:p>
    <w:p w:rsidR="004D37C1" w:rsidRPr="004D37C1" w:rsidRDefault="004D37C1" w:rsidP="00FF0B61">
      <w:pPr>
        <w:pStyle w:val="Body"/>
        <w:ind w:left="720"/>
        <w:rPr>
          <w:rFonts w:ascii="Calibri" w:hAnsi="Calibri"/>
          <w:bCs/>
          <w:position w:val="4"/>
          <w:sz w:val="18"/>
          <w:szCs w:val="18"/>
        </w:rPr>
      </w:pPr>
    </w:p>
    <w:p w:rsidR="0041301F" w:rsidRPr="0041301F" w:rsidRDefault="00836506" w:rsidP="00FF0B61">
      <w:pPr>
        <w:pStyle w:val="Heading3"/>
        <w:spacing w:line="240" w:lineRule="auto"/>
        <w:rPr>
          <w:lang w:val="en-CA" w:eastAsia="en-CA"/>
        </w:rPr>
      </w:pPr>
      <w:bookmarkStart w:id="73" w:name="_Toc468980444"/>
      <w:r w:rsidRPr="003C5790">
        <w:rPr>
          <w:lang w:val="en-CA" w:eastAsia="en-CA"/>
        </w:rPr>
        <w:t>[1]</w:t>
      </w:r>
      <w:r w:rsidR="0041301F" w:rsidRPr="003C5790">
        <w:rPr>
          <w:lang w:val="en-CA" w:eastAsia="en-CA"/>
        </w:rPr>
        <w:t xml:space="preserve">: X must be in a SPECIAL RELATIONSHIP with the reporting issuer </w:t>
      </w:r>
      <w:r w:rsidR="009375FE" w:rsidRPr="003C5790">
        <w:rPr>
          <w:lang w:val="en-CA" w:eastAsia="en-CA"/>
        </w:rPr>
        <w:t>(</w:t>
      </w:r>
      <w:r w:rsidR="009375FE" w:rsidRPr="003C5790">
        <w:rPr>
          <w:color w:val="C45911" w:themeColor="accent2" w:themeShade="BF"/>
          <w:lang w:val="en-CA" w:eastAsia="en-CA"/>
        </w:rPr>
        <w:t>BCSA 3</w:t>
      </w:r>
      <w:r w:rsidR="009375FE" w:rsidRPr="003C5790">
        <w:rPr>
          <w:lang w:val="en-CA" w:eastAsia="en-CA"/>
        </w:rPr>
        <w:t>)</w:t>
      </w:r>
      <w:r w:rsidR="005332DE" w:rsidRPr="003C5790">
        <w:rPr>
          <w:lang w:val="en-CA" w:eastAsia="en-CA"/>
        </w:rPr>
        <w:t>.</w:t>
      </w:r>
      <w:bookmarkEnd w:id="73"/>
      <w:r w:rsidR="005332DE">
        <w:rPr>
          <w:lang w:val="en-CA" w:eastAsia="en-CA"/>
        </w:rPr>
        <w:t xml:space="preserve"> </w:t>
      </w:r>
    </w:p>
    <w:p w:rsidR="005332DE" w:rsidRPr="005332DE" w:rsidRDefault="005332DE" w:rsidP="00FF0B61">
      <w:pPr>
        <w:pStyle w:val="Normal1"/>
        <w:widowControl w:val="0"/>
        <w:spacing w:line="240" w:lineRule="auto"/>
        <w:contextualSpacing/>
        <w:rPr>
          <w:rFonts w:asciiTheme="minorHAnsi" w:hAnsiTheme="minorHAnsi"/>
          <w:b/>
          <w:sz w:val="14"/>
          <w:szCs w:val="20"/>
        </w:rPr>
      </w:pPr>
      <w:r w:rsidRPr="005332DE">
        <w:rPr>
          <w:rFonts w:asciiTheme="minorHAnsi" w:hAnsiTheme="minorHAnsi"/>
          <w:b/>
          <w:sz w:val="18"/>
          <w:lang w:eastAsia="en-CA"/>
        </w:rPr>
        <w:t>In a Special Relationship:</w:t>
      </w:r>
    </w:p>
    <w:p w:rsidR="00A8188E" w:rsidRPr="00423BDE" w:rsidRDefault="00A8188E" w:rsidP="00FF0B61">
      <w:pPr>
        <w:pStyle w:val="Normal1"/>
        <w:widowControl w:val="0"/>
        <w:numPr>
          <w:ilvl w:val="0"/>
          <w:numId w:val="97"/>
        </w:numPr>
        <w:spacing w:line="240" w:lineRule="auto"/>
        <w:contextualSpacing/>
        <w:rPr>
          <w:rFonts w:asciiTheme="minorHAnsi" w:hAnsiTheme="minorHAnsi"/>
          <w:b/>
          <w:sz w:val="18"/>
          <w:szCs w:val="20"/>
        </w:rPr>
      </w:pPr>
      <w:r w:rsidRPr="00DC7CFF">
        <w:rPr>
          <w:rFonts w:asciiTheme="minorHAnsi" w:hAnsiTheme="minorHAnsi"/>
          <w:b/>
          <w:color w:val="C45911" w:themeColor="accent2" w:themeShade="BF"/>
          <w:sz w:val="18"/>
          <w:szCs w:val="20"/>
        </w:rPr>
        <w:t>s.3(a):</w:t>
      </w:r>
      <w:r w:rsidRPr="00DC7CFF">
        <w:rPr>
          <w:rFonts w:asciiTheme="minorHAnsi" w:hAnsiTheme="minorHAnsi"/>
          <w:color w:val="C45911" w:themeColor="accent2" w:themeShade="BF"/>
          <w:sz w:val="18"/>
          <w:szCs w:val="20"/>
        </w:rPr>
        <w:t xml:space="preserve"> </w:t>
      </w:r>
      <w:r w:rsidR="0010118E" w:rsidRPr="00423BDE">
        <w:rPr>
          <w:rFonts w:asciiTheme="minorHAnsi" w:hAnsiTheme="minorHAnsi"/>
          <w:b/>
          <w:color w:val="auto"/>
          <w:sz w:val="18"/>
          <w:szCs w:val="20"/>
        </w:rPr>
        <w:t xml:space="preserve">if </w:t>
      </w:r>
      <w:r w:rsidR="0010118E" w:rsidRPr="00423BDE">
        <w:rPr>
          <w:rFonts w:asciiTheme="minorHAnsi" w:hAnsiTheme="minorHAnsi"/>
          <w:b/>
          <w:sz w:val="18"/>
          <w:szCs w:val="20"/>
        </w:rPr>
        <w:t xml:space="preserve">an </w:t>
      </w:r>
      <w:r w:rsidR="00B460A1" w:rsidRPr="00423BDE">
        <w:rPr>
          <w:rFonts w:asciiTheme="minorHAnsi" w:hAnsiTheme="minorHAnsi"/>
          <w:b/>
          <w:sz w:val="18"/>
          <w:szCs w:val="20"/>
        </w:rPr>
        <w:t>“</w:t>
      </w:r>
      <w:r w:rsidR="0010118E" w:rsidRPr="00423BDE">
        <w:rPr>
          <w:rFonts w:asciiTheme="minorHAnsi" w:hAnsiTheme="minorHAnsi"/>
          <w:b/>
          <w:sz w:val="18"/>
          <w:szCs w:val="20"/>
        </w:rPr>
        <w:t>insider</w:t>
      </w:r>
      <w:r w:rsidR="00B460A1" w:rsidRPr="00423BDE">
        <w:rPr>
          <w:rFonts w:asciiTheme="minorHAnsi" w:hAnsiTheme="minorHAnsi"/>
          <w:b/>
          <w:sz w:val="18"/>
          <w:szCs w:val="20"/>
        </w:rPr>
        <w:t>”</w:t>
      </w:r>
      <w:r w:rsidRPr="00423BDE">
        <w:rPr>
          <w:rFonts w:asciiTheme="minorHAnsi" w:hAnsiTheme="minorHAnsi"/>
          <w:b/>
          <w:sz w:val="18"/>
          <w:szCs w:val="20"/>
        </w:rPr>
        <w:t xml:space="preserve">, </w:t>
      </w:r>
      <w:r w:rsidR="00B460A1" w:rsidRPr="00423BDE">
        <w:rPr>
          <w:rFonts w:asciiTheme="minorHAnsi" w:hAnsiTheme="minorHAnsi"/>
          <w:b/>
          <w:sz w:val="18"/>
          <w:szCs w:val="20"/>
        </w:rPr>
        <w:t>“</w:t>
      </w:r>
      <w:r w:rsidRPr="00423BDE">
        <w:rPr>
          <w:rFonts w:asciiTheme="minorHAnsi" w:hAnsiTheme="minorHAnsi"/>
          <w:b/>
          <w:sz w:val="18"/>
          <w:szCs w:val="20"/>
        </w:rPr>
        <w:t>affiliate</w:t>
      </w:r>
      <w:r w:rsidR="00B460A1" w:rsidRPr="00423BDE">
        <w:rPr>
          <w:rFonts w:asciiTheme="minorHAnsi" w:hAnsiTheme="minorHAnsi"/>
          <w:b/>
          <w:sz w:val="18"/>
          <w:szCs w:val="20"/>
        </w:rPr>
        <w:t>”</w:t>
      </w:r>
      <w:r w:rsidRPr="00423BDE">
        <w:rPr>
          <w:rFonts w:asciiTheme="minorHAnsi" w:hAnsiTheme="minorHAnsi"/>
          <w:b/>
          <w:sz w:val="18"/>
          <w:szCs w:val="20"/>
        </w:rPr>
        <w:t xml:space="preserve">, </w:t>
      </w:r>
      <w:r w:rsidR="0010118E" w:rsidRPr="00423BDE">
        <w:rPr>
          <w:rFonts w:asciiTheme="minorHAnsi" w:hAnsiTheme="minorHAnsi"/>
          <w:b/>
          <w:sz w:val="18"/>
          <w:szCs w:val="20"/>
        </w:rPr>
        <w:t xml:space="preserve">or </w:t>
      </w:r>
      <w:r w:rsidR="00B460A1" w:rsidRPr="00423BDE">
        <w:rPr>
          <w:rFonts w:asciiTheme="minorHAnsi" w:hAnsiTheme="minorHAnsi"/>
          <w:b/>
          <w:sz w:val="18"/>
          <w:szCs w:val="20"/>
        </w:rPr>
        <w:t>“</w:t>
      </w:r>
      <w:r w:rsidR="0010118E" w:rsidRPr="00423BDE">
        <w:rPr>
          <w:rFonts w:asciiTheme="minorHAnsi" w:hAnsiTheme="minorHAnsi"/>
          <w:b/>
          <w:sz w:val="18"/>
          <w:szCs w:val="20"/>
        </w:rPr>
        <w:t>associate</w:t>
      </w:r>
      <w:r w:rsidR="00B460A1" w:rsidRPr="00423BDE">
        <w:rPr>
          <w:rFonts w:asciiTheme="minorHAnsi" w:hAnsiTheme="minorHAnsi"/>
          <w:b/>
          <w:sz w:val="18"/>
          <w:szCs w:val="20"/>
        </w:rPr>
        <w:t>”</w:t>
      </w:r>
      <w:r w:rsidR="0010118E" w:rsidRPr="00423BDE">
        <w:rPr>
          <w:rFonts w:asciiTheme="minorHAnsi" w:hAnsiTheme="minorHAnsi"/>
          <w:b/>
          <w:sz w:val="18"/>
          <w:szCs w:val="20"/>
        </w:rPr>
        <w:t xml:space="preserve"> of:</w:t>
      </w:r>
    </w:p>
    <w:p w:rsidR="00A8188E" w:rsidRDefault="00F53B9A" w:rsidP="00FF0B61">
      <w:pPr>
        <w:pStyle w:val="Normal1"/>
        <w:widowControl w:val="0"/>
        <w:numPr>
          <w:ilvl w:val="1"/>
          <w:numId w:val="97"/>
        </w:numPr>
        <w:spacing w:line="240" w:lineRule="auto"/>
        <w:contextualSpacing/>
        <w:rPr>
          <w:rFonts w:asciiTheme="minorHAnsi" w:hAnsiTheme="minorHAnsi"/>
          <w:sz w:val="18"/>
          <w:szCs w:val="20"/>
        </w:rPr>
      </w:pPr>
      <w:r w:rsidRPr="00711F7E">
        <w:rPr>
          <w:rFonts w:asciiTheme="minorHAnsi" w:hAnsiTheme="minorHAnsi"/>
          <w:b/>
          <w:sz w:val="18"/>
          <w:szCs w:val="20"/>
        </w:rPr>
        <w:t>(i)</w:t>
      </w:r>
      <w:r>
        <w:rPr>
          <w:rFonts w:asciiTheme="minorHAnsi" w:hAnsiTheme="minorHAnsi"/>
          <w:sz w:val="18"/>
          <w:szCs w:val="20"/>
        </w:rPr>
        <w:t xml:space="preserve"> </w:t>
      </w:r>
      <w:r w:rsidR="0010118E">
        <w:rPr>
          <w:rFonts w:asciiTheme="minorHAnsi" w:hAnsiTheme="minorHAnsi"/>
          <w:sz w:val="18"/>
          <w:szCs w:val="20"/>
        </w:rPr>
        <w:t>O</w:t>
      </w:r>
      <w:r w:rsidR="00A8188E" w:rsidRPr="00A8188E">
        <w:rPr>
          <w:rFonts w:asciiTheme="minorHAnsi" w:hAnsiTheme="minorHAnsi"/>
          <w:sz w:val="18"/>
          <w:szCs w:val="20"/>
        </w:rPr>
        <w:t xml:space="preserve">f </w:t>
      </w:r>
      <w:r w:rsidR="00A8188E" w:rsidRPr="004F74FE">
        <w:rPr>
          <w:rFonts w:asciiTheme="minorHAnsi" w:hAnsiTheme="minorHAnsi"/>
          <w:sz w:val="18"/>
          <w:szCs w:val="20"/>
          <w:u w:val="single"/>
        </w:rPr>
        <w:t>th</w:t>
      </w:r>
      <w:r w:rsidRPr="004F74FE">
        <w:rPr>
          <w:rFonts w:asciiTheme="minorHAnsi" w:hAnsiTheme="minorHAnsi"/>
          <w:sz w:val="18"/>
          <w:szCs w:val="20"/>
          <w:u w:val="single"/>
        </w:rPr>
        <w:t>e issuer</w:t>
      </w:r>
      <w:r w:rsidR="008A4765">
        <w:rPr>
          <w:rFonts w:asciiTheme="minorHAnsi" w:hAnsiTheme="minorHAnsi"/>
          <w:sz w:val="18"/>
          <w:szCs w:val="20"/>
          <w:u w:val="single"/>
        </w:rPr>
        <w:t xml:space="preserve"> itself</w:t>
      </w:r>
      <w:r w:rsidR="00711F7E">
        <w:rPr>
          <w:rFonts w:asciiTheme="minorHAnsi" w:hAnsiTheme="minorHAnsi"/>
          <w:sz w:val="18"/>
          <w:szCs w:val="20"/>
        </w:rPr>
        <w:t xml:space="preserve">; </w:t>
      </w:r>
      <w:r w:rsidRPr="00711F7E">
        <w:rPr>
          <w:rFonts w:asciiTheme="minorHAnsi" w:hAnsiTheme="minorHAnsi"/>
          <w:b/>
          <w:sz w:val="18"/>
          <w:szCs w:val="20"/>
        </w:rPr>
        <w:t>(ii)</w:t>
      </w:r>
      <w:r w:rsidRPr="00711F7E">
        <w:rPr>
          <w:rFonts w:asciiTheme="minorHAnsi" w:hAnsiTheme="minorHAnsi"/>
          <w:sz w:val="18"/>
          <w:szCs w:val="20"/>
        </w:rPr>
        <w:t xml:space="preserve"> </w:t>
      </w:r>
      <w:r w:rsidR="00A8188E" w:rsidRPr="00711F7E">
        <w:rPr>
          <w:rFonts w:asciiTheme="minorHAnsi" w:hAnsiTheme="minorHAnsi"/>
          <w:sz w:val="18"/>
          <w:szCs w:val="20"/>
        </w:rPr>
        <w:t xml:space="preserve">Of a person </w:t>
      </w:r>
      <w:r w:rsidR="00A8188E" w:rsidRPr="004F74FE">
        <w:rPr>
          <w:rFonts w:asciiTheme="minorHAnsi" w:hAnsiTheme="minorHAnsi"/>
          <w:sz w:val="18"/>
          <w:szCs w:val="20"/>
          <w:u w:val="single"/>
        </w:rPr>
        <w:t>proposing to make a takeover bid</w:t>
      </w:r>
      <w:r w:rsidR="00A8188E" w:rsidRPr="00711F7E">
        <w:rPr>
          <w:rFonts w:asciiTheme="minorHAnsi" w:hAnsiTheme="minorHAnsi"/>
          <w:sz w:val="18"/>
          <w:szCs w:val="20"/>
        </w:rPr>
        <w:t xml:space="preserve"> of the issuer</w:t>
      </w:r>
      <w:r w:rsidR="008A4765">
        <w:rPr>
          <w:rFonts w:asciiTheme="minorHAnsi" w:hAnsiTheme="minorHAnsi"/>
          <w:sz w:val="18"/>
          <w:szCs w:val="20"/>
        </w:rPr>
        <w:t>’s securities</w:t>
      </w:r>
      <w:r w:rsidR="00A8188E" w:rsidRPr="00711F7E">
        <w:rPr>
          <w:rFonts w:asciiTheme="minorHAnsi" w:hAnsiTheme="minorHAnsi"/>
          <w:sz w:val="18"/>
          <w:szCs w:val="20"/>
        </w:rPr>
        <w:t xml:space="preserve">; </w:t>
      </w:r>
      <w:r w:rsidR="00E84965">
        <w:rPr>
          <w:rFonts w:asciiTheme="minorHAnsi" w:hAnsiTheme="minorHAnsi"/>
          <w:b/>
          <w:sz w:val="18"/>
          <w:szCs w:val="20"/>
        </w:rPr>
        <w:t xml:space="preserve">OR </w:t>
      </w:r>
      <w:r w:rsidRPr="00711F7E">
        <w:rPr>
          <w:rFonts w:asciiTheme="minorHAnsi" w:hAnsiTheme="minorHAnsi"/>
          <w:b/>
          <w:sz w:val="18"/>
          <w:szCs w:val="20"/>
        </w:rPr>
        <w:t>(iii)</w:t>
      </w:r>
      <w:r w:rsidRPr="00711F7E">
        <w:rPr>
          <w:rFonts w:asciiTheme="minorHAnsi" w:hAnsiTheme="minorHAnsi"/>
          <w:sz w:val="18"/>
          <w:szCs w:val="20"/>
        </w:rPr>
        <w:t xml:space="preserve"> </w:t>
      </w:r>
      <w:r w:rsidR="00A8188E" w:rsidRPr="00711F7E">
        <w:rPr>
          <w:rFonts w:asciiTheme="minorHAnsi" w:hAnsiTheme="minorHAnsi"/>
          <w:sz w:val="18"/>
          <w:szCs w:val="20"/>
        </w:rPr>
        <w:t>Of a p</w:t>
      </w:r>
      <w:r w:rsidR="00711F7E">
        <w:rPr>
          <w:rFonts w:asciiTheme="minorHAnsi" w:hAnsiTheme="minorHAnsi"/>
          <w:sz w:val="18"/>
          <w:szCs w:val="20"/>
        </w:rPr>
        <w:t xml:space="preserve">erson proposing to </w:t>
      </w:r>
      <w:r w:rsidR="00711F7E" w:rsidRPr="004F74FE">
        <w:rPr>
          <w:rFonts w:asciiTheme="minorHAnsi" w:hAnsiTheme="minorHAnsi"/>
          <w:sz w:val="18"/>
          <w:szCs w:val="20"/>
          <w:u w:val="single"/>
        </w:rPr>
        <w:t>become party</w:t>
      </w:r>
      <w:r w:rsidR="00711F7E">
        <w:rPr>
          <w:rFonts w:asciiTheme="minorHAnsi" w:hAnsiTheme="minorHAnsi"/>
          <w:sz w:val="18"/>
          <w:szCs w:val="20"/>
        </w:rPr>
        <w:t xml:space="preserve">: </w:t>
      </w:r>
      <w:r w:rsidR="00A8188E" w:rsidRPr="00711F7E">
        <w:rPr>
          <w:rFonts w:asciiTheme="minorHAnsi" w:hAnsiTheme="minorHAnsi"/>
          <w:sz w:val="18"/>
          <w:szCs w:val="20"/>
        </w:rPr>
        <w:t>to some sort of business combination (takeover, merger, amalgamation, rea</w:t>
      </w:r>
      <w:r w:rsidR="00711F7E">
        <w:rPr>
          <w:rFonts w:asciiTheme="minorHAnsi" w:hAnsiTheme="minorHAnsi"/>
          <w:sz w:val="18"/>
          <w:szCs w:val="20"/>
        </w:rPr>
        <w:t xml:space="preserve">rrangement) with the issuer, or </w:t>
      </w:r>
      <w:r w:rsidR="00A8188E" w:rsidRPr="00711F7E">
        <w:rPr>
          <w:rFonts w:asciiTheme="minorHAnsi" w:hAnsiTheme="minorHAnsi"/>
          <w:sz w:val="18"/>
          <w:szCs w:val="20"/>
        </w:rPr>
        <w:t xml:space="preserve">acquire a substantial portion of its property; </w:t>
      </w:r>
    </w:p>
    <w:p w:rsidR="00711F7E" w:rsidRPr="000673E0" w:rsidRDefault="00711F7E" w:rsidP="00FF0B61">
      <w:pPr>
        <w:pStyle w:val="Normal1"/>
        <w:widowControl w:val="0"/>
        <w:numPr>
          <w:ilvl w:val="2"/>
          <w:numId w:val="97"/>
        </w:numPr>
        <w:spacing w:line="240" w:lineRule="auto"/>
        <w:contextualSpacing/>
        <w:rPr>
          <w:rFonts w:asciiTheme="minorHAnsi" w:hAnsiTheme="minorHAnsi"/>
          <w:b/>
          <w:sz w:val="18"/>
          <w:szCs w:val="20"/>
        </w:rPr>
      </w:pPr>
      <w:r w:rsidRPr="000673E0">
        <w:rPr>
          <w:rFonts w:asciiTheme="minorHAnsi" w:hAnsiTheme="minorHAnsi"/>
          <w:b/>
          <w:sz w:val="18"/>
          <w:szCs w:val="20"/>
        </w:rPr>
        <w:t xml:space="preserve">“Insider” </w:t>
      </w:r>
      <w:r w:rsidR="00C77F74">
        <w:rPr>
          <w:rFonts w:asciiTheme="minorHAnsi" w:hAnsiTheme="minorHAnsi"/>
          <w:b/>
          <w:sz w:val="18"/>
          <w:szCs w:val="20"/>
        </w:rPr>
        <w:t>(</w:t>
      </w:r>
      <w:r w:rsidRPr="000673E0">
        <w:rPr>
          <w:rFonts w:asciiTheme="minorHAnsi" w:hAnsiTheme="minorHAnsi"/>
          <w:b/>
          <w:color w:val="C45911" w:themeColor="accent2" w:themeShade="BF"/>
          <w:sz w:val="18"/>
          <w:szCs w:val="20"/>
        </w:rPr>
        <w:t>1(1)</w:t>
      </w:r>
      <w:r w:rsidR="00C77F74">
        <w:rPr>
          <w:rFonts w:asciiTheme="minorHAnsi" w:hAnsiTheme="minorHAnsi"/>
          <w:b/>
          <w:color w:val="C45911" w:themeColor="accent2" w:themeShade="BF"/>
          <w:sz w:val="18"/>
          <w:szCs w:val="20"/>
        </w:rPr>
        <w:t>)</w:t>
      </w:r>
      <w:r w:rsidR="000673E0" w:rsidRPr="000673E0">
        <w:rPr>
          <w:rFonts w:asciiTheme="minorHAnsi" w:hAnsiTheme="minorHAnsi"/>
          <w:b/>
          <w:color w:val="C45911" w:themeColor="accent2" w:themeShade="BF"/>
          <w:sz w:val="18"/>
          <w:szCs w:val="20"/>
        </w:rPr>
        <w:t xml:space="preserve"> </w:t>
      </w:r>
      <w:r w:rsidR="000673E0" w:rsidRPr="000673E0">
        <w:rPr>
          <w:rFonts w:asciiTheme="minorHAnsi" w:hAnsiTheme="minorHAnsi"/>
          <w:b/>
          <w:color w:val="auto"/>
          <w:sz w:val="18"/>
          <w:szCs w:val="20"/>
        </w:rPr>
        <w:sym w:font="Wingdings" w:char="F0E0"/>
      </w:r>
      <w:r w:rsidR="000673E0" w:rsidRPr="000673E0">
        <w:rPr>
          <w:rFonts w:asciiTheme="minorHAnsi" w:hAnsiTheme="minorHAnsi"/>
          <w:b/>
          <w:color w:val="auto"/>
          <w:sz w:val="18"/>
          <w:szCs w:val="20"/>
        </w:rPr>
        <w:t xml:space="preserve"> See above</w:t>
      </w:r>
      <w:r w:rsidR="00037B2B">
        <w:rPr>
          <w:rFonts w:asciiTheme="minorHAnsi" w:hAnsiTheme="minorHAnsi"/>
          <w:b/>
          <w:color w:val="auto"/>
          <w:sz w:val="18"/>
          <w:szCs w:val="20"/>
        </w:rPr>
        <w:t xml:space="preserve"> (</w:t>
      </w:r>
      <w:r w:rsidR="00037B2B">
        <w:rPr>
          <w:rFonts w:asciiTheme="minorHAnsi" w:hAnsiTheme="minorHAnsi"/>
          <w:color w:val="auto"/>
          <w:sz w:val="18"/>
          <w:szCs w:val="20"/>
        </w:rPr>
        <w:t xml:space="preserve">under Legal Insider Trading) </w:t>
      </w:r>
    </w:p>
    <w:p w:rsidR="009D0414" w:rsidRPr="001459B1" w:rsidRDefault="00711F7E" w:rsidP="00FF0B61">
      <w:pPr>
        <w:pStyle w:val="ListParagraph"/>
        <w:numPr>
          <w:ilvl w:val="2"/>
          <w:numId w:val="80"/>
        </w:numPr>
        <w:rPr>
          <w:b/>
          <w:lang w:val="en-CA" w:eastAsia="en-CA"/>
        </w:rPr>
      </w:pPr>
      <w:r w:rsidRPr="001459B1">
        <w:rPr>
          <w:b/>
          <w:szCs w:val="20"/>
        </w:rPr>
        <w:t>“Affiliate</w:t>
      </w:r>
      <w:r w:rsidRPr="004735CA">
        <w:rPr>
          <w:b/>
          <w:szCs w:val="20"/>
        </w:rPr>
        <w:t>”:</w:t>
      </w:r>
      <w:r w:rsidRPr="004735CA">
        <w:rPr>
          <w:szCs w:val="20"/>
        </w:rPr>
        <w:t xml:space="preserve"> </w:t>
      </w:r>
      <w:r w:rsidR="006733B2" w:rsidRPr="001459B1">
        <w:rPr>
          <w:szCs w:val="20"/>
        </w:rPr>
        <w:t xml:space="preserve">issuer is an affiliate </w:t>
      </w:r>
      <w:r w:rsidR="009D0414" w:rsidRPr="001459B1">
        <w:rPr>
          <w:lang w:val="en-CA" w:eastAsia="en-CA"/>
        </w:rPr>
        <w:t xml:space="preserve">if </w:t>
      </w:r>
      <w:r w:rsidR="009D0414" w:rsidRPr="001459B1">
        <w:rPr>
          <w:b/>
          <w:lang w:val="en-CA" w:eastAsia="en-CA"/>
        </w:rPr>
        <w:t>a)</w:t>
      </w:r>
      <w:r w:rsidR="009D0414" w:rsidRPr="001459B1">
        <w:rPr>
          <w:lang w:val="en-CA" w:eastAsia="en-CA"/>
        </w:rPr>
        <w:t xml:space="preserve"> one is subsidiary of the other </w:t>
      </w:r>
      <w:r w:rsidR="006733B2" w:rsidRPr="001459B1">
        <w:rPr>
          <w:b/>
          <w:lang w:val="en-CA" w:eastAsia="en-CA"/>
        </w:rPr>
        <w:t>OR</w:t>
      </w:r>
      <w:r w:rsidR="009D0414" w:rsidRPr="001459B1">
        <w:rPr>
          <w:b/>
          <w:lang w:val="en-CA" w:eastAsia="en-CA"/>
        </w:rPr>
        <w:t xml:space="preserve"> b)</w:t>
      </w:r>
      <w:r w:rsidR="009D0414" w:rsidRPr="001459B1">
        <w:rPr>
          <w:lang w:val="en-CA" w:eastAsia="en-CA"/>
        </w:rPr>
        <w:t xml:space="preserve"> each is “controlled” by the same person (</w:t>
      </w:r>
      <w:r w:rsidR="009D0414" w:rsidRPr="001459B1">
        <w:rPr>
          <w:b/>
          <w:color w:val="C45911" w:themeColor="accent2" w:themeShade="BF"/>
          <w:lang w:val="en-CA" w:eastAsia="en-CA"/>
        </w:rPr>
        <w:t>1(2)(a-b)</w:t>
      </w:r>
      <w:r w:rsidR="009D0414" w:rsidRPr="001459B1">
        <w:rPr>
          <w:lang w:val="en-CA" w:eastAsia="en-CA"/>
        </w:rPr>
        <w:t>) (i.e. sister corps</w:t>
      </w:r>
      <w:r w:rsidR="003F02BD">
        <w:rPr>
          <w:lang w:val="en-CA" w:eastAsia="en-CA"/>
        </w:rPr>
        <w:t xml:space="preserve"> or one controlled by the other). </w:t>
      </w:r>
    </w:p>
    <w:p w:rsidR="009D0414" w:rsidRPr="001459B1" w:rsidRDefault="009D0414" w:rsidP="00FF0B61">
      <w:pPr>
        <w:pStyle w:val="ListParagraph"/>
        <w:numPr>
          <w:ilvl w:val="3"/>
          <w:numId w:val="80"/>
        </w:numPr>
        <w:rPr>
          <w:b/>
          <w:lang w:val="en-CA" w:eastAsia="en-CA"/>
        </w:rPr>
      </w:pPr>
      <w:r w:rsidRPr="001459B1">
        <w:rPr>
          <w:b/>
          <w:lang w:val="en-CA" w:eastAsia="en-CA"/>
        </w:rPr>
        <w:t>“Control</w:t>
      </w:r>
      <w:r w:rsidR="006733B2" w:rsidRPr="001459B1">
        <w:rPr>
          <w:b/>
          <w:lang w:val="en-CA" w:eastAsia="en-CA"/>
        </w:rPr>
        <w:t>led”</w:t>
      </w:r>
      <w:r w:rsidRPr="001459B1">
        <w:rPr>
          <w:b/>
          <w:lang w:val="en-CA" w:eastAsia="en-CA"/>
        </w:rPr>
        <w:t xml:space="preserve"> </w:t>
      </w:r>
      <w:r w:rsidR="006733B2" w:rsidRPr="001459B1">
        <w:rPr>
          <w:b/>
          <w:lang w:val="en-CA" w:eastAsia="en-CA"/>
        </w:rPr>
        <w:t>(</w:t>
      </w:r>
      <w:r w:rsidR="006733B2" w:rsidRPr="001459B1">
        <w:rPr>
          <w:b/>
          <w:color w:val="C45911" w:themeColor="accent2" w:themeShade="BF"/>
          <w:lang w:val="en-CA" w:eastAsia="en-CA"/>
        </w:rPr>
        <w:t>1(3)</w:t>
      </w:r>
      <w:r w:rsidR="006733B2" w:rsidRPr="001459B1">
        <w:rPr>
          <w:b/>
          <w:lang w:val="en-CA" w:eastAsia="en-CA"/>
        </w:rPr>
        <w:t xml:space="preserve">) </w:t>
      </w:r>
      <w:r w:rsidRPr="001459B1">
        <w:rPr>
          <w:b/>
          <w:lang w:val="en-CA" w:eastAsia="en-CA"/>
        </w:rPr>
        <w:t xml:space="preserve">– </w:t>
      </w:r>
      <w:r w:rsidRPr="001459B1">
        <w:rPr>
          <w:lang w:val="en-CA" w:eastAsia="en-CA"/>
        </w:rPr>
        <w:t xml:space="preserve">Issuer is controlled if </w:t>
      </w:r>
      <w:r w:rsidRPr="001459B1">
        <w:rPr>
          <w:b/>
          <w:color w:val="C45911" w:themeColor="accent2" w:themeShade="BF"/>
          <w:lang w:val="en-CA" w:eastAsia="en-CA"/>
        </w:rPr>
        <w:t>a)</w:t>
      </w:r>
      <w:r w:rsidRPr="001459B1">
        <w:rPr>
          <w:color w:val="C45911" w:themeColor="accent2" w:themeShade="BF"/>
          <w:lang w:val="en-CA" w:eastAsia="en-CA"/>
        </w:rPr>
        <w:t xml:space="preserve"> </w:t>
      </w:r>
      <w:r w:rsidRPr="001459B1">
        <w:rPr>
          <w:lang w:val="en-CA" w:eastAsia="en-CA"/>
        </w:rPr>
        <w:t>voting securities are held by or for benefit (would cover trusts),</w:t>
      </w:r>
      <w:r w:rsidR="006733B2" w:rsidRPr="001459B1">
        <w:rPr>
          <w:lang w:val="en-CA" w:eastAsia="en-CA"/>
        </w:rPr>
        <w:t xml:space="preserve"> </w:t>
      </w:r>
      <w:r w:rsidR="006733B2" w:rsidRPr="001459B1">
        <w:rPr>
          <w:b/>
          <w:lang w:val="en-CA" w:eastAsia="en-CA"/>
        </w:rPr>
        <w:t>AND</w:t>
      </w:r>
      <w:r w:rsidRPr="001459B1">
        <w:rPr>
          <w:lang w:val="en-CA" w:eastAsia="en-CA"/>
        </w:rPr>
        <w:t xml:space="preserve"> </w:t>
      </w:r>
      <w:r w:rsidRPr="001459B1">
        <w:rPr>
          <w:b/>
          <w:color w:val="C45911" w:themeColor="accent2" w:themeShade="BF"/>
          <w:lang w:val="en-CA" w:eastAsia="en-CA"/>
        </w:rPr>
        <w:t>b)</w:t>
      </w:r>
      <w:r w:rsidRPr="001459B1">
        <w:rPr>
          <w:color w:val="C45911" w:themeColor="accent2" w:themeShade="BF"/>
          <w:lang w:val="en-CA" w:eastAsia="en-CA"/>
        </w:rPr>
        <w:t xml:space="preserve"> </w:t>
      </w:r>
      <w:r w:rsidRPr="001459B1">
        <w:rPr>
          <w:lang w:val="en-CA" w:eastAsia="en-CA"/>
        </w:rPr>
        <w:t xml:space="preserve">the voting rights attaches to those voting securities are entitled, to elect maj or DIRs. </w:t>
      </w:r>
    </w:p>
    <w:p w:rsidR="00711F7E" w:rsidRPr="001459B1" w:rsidRDefault="001459B1" w:rsidP="00FF0B61">
      <w:pPr>
        <w:pStyle w:val="ListParagraph"/>
        <w:numPr>
          <w:ilvl w:val="4"/>
          <w:numId w:val="80"/>
        </w:numPr>
        <w:spacing w:after="0"/>
        <w:rPr>
          <w:lang w:val="en-CA" w:eastAsia="en-CA"/>
        </w:rPr>
      </w:pPr>
      <w:r w:rsidRPr="001459B1">
        <w:rPr>
          <w:b/>
          <w:lang w:val="en-CA" w:eastAsia="en-CA"/>
        </w:rPr>
        <w:t>“Beneficially</w:t>
      </w:r>
      <w:r>
        <w:rPr>
          <w:b/>
          <w:lang w:val="en-CA" w:eastAsia="en-CA"/>
        </w:rPr>
        <w:t xml:space="preserve"> Own” (</w:t>
      </w:r>
      <w:r w:rsidRPr="001459B1">
        <w:rPr>
          <w:b/>
          <w:color w:val="C45911" w:themeColor="accent2" w:themeShade="BF"/>
          <w:lang w:val="en-CA" w:eastAsia="en-CA"/>
        </w:rPr>
        <w:t>1(4)</w:t>
      </w:r>
      <w:r>
        <w:rPr>
          <w:b/>
          <w:lang w:val="en-CA" w:eastAsia="en-CA"/>
        </w:rPr>
        <w:t>):</w:t>
      </w:r>
      <w:r w:rsidRPr="001459B1">
        <w:rPr>
          <w:lang w:val="en-CA" w:eastAsia="en-CA"/>
        </w:rPr>
        <w:t xml:space="preserve"> a person beneficially owns securities that are beneficially owned by</w:t>
      </w:r>
      <w:r>
        <w:rPr>
          <w:lang w:val="en-CA" w:eastAsia="en-CA"/>
        </w:rPr>
        <w:t xml:space="preserve"> </w:t>
      </w:r>
      <w:r w:rsidRPr="001459B1">
        <w:rPr>
          <w:b/>
          <w:lang w:val="en-CA" w:eastAsia="en-CA"/>
        </w:rPr>
        <w:t>(a)</w:t>
      </w:r>
      <w:r w:rsidRPr="001459B1">
        <w:rPr>
          <w:lang w:val="en-CA" w:eastAsia="en-CA"/>
        </w:rPr>
        <w:t xml:space="preserve"> an issu</w:t>
      </w:r>
      <w:r>
        <w:rPr>
          <w:lang w:val="en-CA" w:eastAsia="en-CA"/>
        </w:rPr>
        <w:t xml:space="preserve">er </w:t>
      </w:r>
      <w:r w:rsidRPr="004735CA">
        <w:rPr>
          <w:u w:val="single"/>
          <w:lang w:val="en-CA" w:eastAsia="en-CA"/>
        </w:rPr>
        <w:t>controlled by that person</w:t>
      </w:r>
      <w:r>
        <w:rPr>
          <w:lang w:val="en-CA" w:eastAsia="en-CA"/>
        </w:rPr>
        <w:t xml:space="preserve">, </w:t>
      </w:r>
      <w:r>
        <w:rPr>
          <w:b/>
          <w:lang w:val="en-CA" w:eastAsia="en-CA"/>
        </w:rPr>
        <w:t xml:space="preserve">OR </w:t>
      </w:r>
      <w:r w:rsidRPr="001459B1">
        <w:rPr>
          <w:b/>
          <w:lang w:val="en-CA" w:eastAsia="en-CA"/>
        </w:rPr>
        <w:t>(b)</w:t>
      </w:r>
      <w:r w:rsidRPr="001459B1">
        <w:rPr>
          <w:lang w:val="en-CA" w:eastAsia="en-CA"/>
        </w:rPr>
        <w:t xml:space="preserve"> an </w:t>
      </w:r>
      <w:r w:rsidRPr="004735CA">
        <w:rPr>
          <w:u w:val="single"/>
          <w:lang w:val="en-CA" w:eastAsia="en-CA"/>
        </w:rPr>
        <w:t>affiliate of that person</w:t>
      </w:r>
      <w:r w:rsidRPr="001459B1">
        <w:rPr>
          <w:lang w:val="en-CA" w:eastAsia="en-CA"/>
        </w:rPr>
        <w:t xml:space="preserve"> or an affiliate of </w:t>
      </w:r>
      <w:r w:rsidRPr="004735CA">
        <w:rPr>
          <w:u w:val="single"/>
          <w:lang w:val="en-CA" w:eastAsia="en-CA"/>
        </w:rPr>
        <w:t>any issuer controlled by that person</w:t>
      </w:r>
      <w:r w:rsidRPr="001459B1">
        <w:rPr>
          <w:lang w:val="en-CA" w:eastAsia="en-CA"/>
        </w:rPr>
        <w:t>.</w:t>
      </w:r>
    </w:p>
    <w:p w:rsidR="00711F7E" w:rsidRPr="00C77F74" w:rsidRDefault="00711F7E" w:rsidP="00FF0B61">
      <w:pPr>
        <w:pStyle w:val="Normal1"/>
        <w:widowControl w:val="0"/>
        <w:numPr>
          <w:ilvl w:val="2"/>
          <w:numId w:val="97"/>
        </w:numPr>
        <w:spacing w:line="240" w:lineRule="auto"/>
        <w:contextualSpacing/>
        <w:rPr>
          <w:rFonts w:asciiTheme="minorHAnsi" w:hAnsiTheme="minorHAnsi"/>
          <w:sz w:val="18"/>
          <w:szCs w:val="20"/>
        </w:rPr>
      </w:pPr>
      <w:r w:rsidRPr="00C77F74">
        <w:rPr>
          <w:rFonts w:asciiTheme="minorHAnsi" w:hAnsiTheme="minorHAnsi"/>
          <w:b/>
          <w:sz w:val="18"/>
          <w:szCs w:val="20"/>
        </w:rPr>
        <w:t xml:space="preserve">“Associates” </w:t>
      </w:r>
      <w:r w:rsidR="00AF5313">
        <w:rPr>
          <w:rFonts w:asciiTheme="minorHAnsi" w:hAnsiTheme="minorHAnsi"/>
          <w:b/>
          <w:sz w:val="18"/>
          <w:szCs w:val="20"/>
        </w:rPr>
        <w:t>(</w:t>
      </w:r>
      <w:r w:rsidRPr="00C77F74">
        <w:rPr>
          <w:rFonts w:asciiTheme="minorHAnsi" w:hAnsiTheme="minorHAnsi"/>
          <w:b/>
          <w:color w:val="C45911" w:themeColor="accent2" w:themeShade="BF"/>
          <w:sz w:val="18"/>
          <w:szCs w:val="20"/>
        </w:rPr>
        <w:t>1(1)</w:t>
      </w:r>
      <w:r w:rsidR="00AF5313">
        <w:rPr>
          <w:rFonts w:asciiTheme="minorHAnsi" w:hAnsiTheme="minorHAnsi"/>
          <w:b/>
          <w:color w:val="C45911" w:themeColor="accent2" w:themeShade="BF"/>
          <w:sz w:val="18"/>
          <w:szCs w:val="20"/>
        </w:rPr>
        <w:t>)</w:t>
      </w:r>
      <w:r w:rsidRPr="00C77F74">
        <w:rPr>
          <w:rFonts w:asciiTheme="minorHAnsi" w:hAnsiTheme="minorHAnsi"/>
          <w:b/>
          <w:color w:val="C45911" w:themeColor="accent2" w:themeShade="BF"/>
          <w:sz w:val="18"/>
          <w:szCs w:val="20"/>
        </w:rPr>
        <w:t>:</w:t>
      </w:r>
      <w:r w:rsidRPr="00C77F74">
        <w:rPr>
          <w:rFonts w:asciiTheme="minorHAnsi" w:hAnsiTheme="minorHAnsi"/>
          <w:color w:val="C45911" w:themeColor="accent2" w:themeShade="BF"/>
          <w:sz w:val="18"/>
          <w:szCs w:val="20"/>
        </w:rPr>
        <w:t xml:space="preserve"> </w:t>
      </w:r>
      <w:r w:rsidR="00AF5313" w:rsidRPr="00AF5313">
        <w:rPr>
          <w:rFonts w:asciiTheme="minorHAnsi" w:hAnsiTheme="minorHAnsi"/>
          <w:b/>
          <w:color w:val="C45911" w:themeColor="accent2" w:themeShade="BF"/>
          <w:sz w:val="18"/>
          <w:szCs w:val="20"/>
        </w:rPr>
        <w:t>(a)</w:t>
      </w:r>
      <w:r w:rsidR="00AF5313">
        <w:rPr>
          <w:rFonts w:asciiTheme="minorHAnsi" w:hAnsiTheme="minorHAnsi"/>
          <w:color w:val="C45911" w:themeColor="accent2" w:themeShade="BF"/>
          <w:sz w:val="18"/>
          <w:szCs w:val="20"/>
        </w:rPr>
        <w:t xml:space="preserve"> </w:t>
      </w:r>
      <w:r w:rsidR="009D0414" w:rsidRPr="00C77F74">
        <w:rPr>
          <w:rFonts w:asciiTheme="minorHAnsi" w:hAnsiTheme="minorHAnsi"/>
          <w:b/>
          <w:sz w:val="18"/>
          <w:lang w:eastAsia="en-CA"/>
        </w:rPr>
        <w:t>partner</w:t>
      </w:r>
      <w:r w:rsidR="009D0414" w:rsidRPr="00C77F74">
        <w:rPr>
          <w:rFonts w:asciiTheme="minorHAnsi" w:hAnsiTheme="minorHAnsi"/>
          <w:sz w:val="18"/>
          <w:lang w:eastAsia="en-CA"/>
        </w:rPr>
        <w:t xml:space="preserve"> other than LP,</w:t>
      </w:r>
      <w:r w:rsidR="00AF5313">
        <w:rPr>
          <w:rFonts w:asciiTheme="minorHAnsi" w:hAnsiTheme="minorHAnsi"/>
          <w:sz w:val="18"/>
          <w:lang w:eastAsia="en-CA"/>
        </w:rPr>
        <w:t xml:space="preserve"> </w:t>
      </w:r>
      <w:r w:rsidR="00AF5313" w:rsidRPr="00AF5313">
        <w:rPr>
          <w:rFonts w:asciiTheme="minorHAnsi" w:hAnsiTheme="minorHAnsi"/>
          <w:b/>
          <w:color w:val="C45911" w:themeColor="accent2" w:themeShade="BF"/>
          <w:sz w:val="18"/>
          <w:lang w:eastAsia="en-CA"/>
        </w:rPr>
        <w:t>(b)</w:t>
      </w:r>
      <w:r w:rsidR="009D0414" w:rsidRPr="00AF5313">
        <w:rPr>
          <w:rFonts w:asciiTheme="minorHAnsi" w:hAnsiTheme="minorHAnsi"/>
          <w:color w:val="C45911" w:themeColor="accent2" w:themeShade="BF"/>
          <w:sz w:val="18"/>
          <w:lang w:eastAsia="en-CA"/>
        </w:rPr>
        <w:t xml:space="preserve"> </w:t>
      </w:r>
      <w:r w:rsidR="009D0414" w:rsidRPr="00C77F74">
        <w:rPr>
          <w:rFonts w:asciiTheme="minorHAnsi" w:hAnsiTheme="minorHAnsi"/>
          <w:sz w:val="18"/>
          <w:lang w:eastAsia="en-CA"/>
        </w:rPr>
        <w:t>a trust or estate,</w:t>
      </w:r>
      <w:r w:rsidR="00AF5313">
        <w:rPr>
          <w:rFonts w:asciiTheme="minorHAnsi" w:hAnsiTheme="minorHAnsi"/>
          <w:sz w:val="18"/>
          <w:lang w:eastAsia="en-CA"/>
        </w:rPr>
        <w:t xml:space="preserve"> </w:t>
      </w:r>
      <w:r w:rsidR="00AF5313" w:rsidRPr="00AF5313">
        <w:rPr>
          <w:rFonts w:asciiTheme="minorHAnsi" w:hAnsiTheme="minorHAnsi"/>
          <w:b/>
          <w:color w:val="C45911" w:themeColor="accent2" w:themeShade="BF"/>
          <w:sz w:val="18"/>
          <w:lang w:eastAsia="en-CA"/>
        </w:rPr>
        <w:t>(c)</w:t>
      </w:r>
      <w:r w:rsidR="009D0414" w:rsidRPr="00AF5313">
        <w:rPr>
          <w:rFonts w:asciiTheme="minorHAnsi" w:hAnsiTheme="minorHAnsi"/>
          <w:color w:val="C45911" w:themeColor="accent2" w:themeShade="BF"/>
          <w:sz w:val="18"/>
          <w:lang w:eastAsia="en-CA"/>
        </w:rPr>
        <w:t xml:space="preserve"> </w:t>
      </w:r>
      <w:r w:rsidR="009D0414" w:rsidRPr="00C77F74">
        <w:rPr>
          <w:rFonts w:asciiTheme="minorHAnsi" w:hAnsiTheme="minorHAnsi"/>
          <w:sz w:val="18"/>
          <w:lang w:eastAsia="en-CA"/>
        </w:rPr>
        <w:t xml:space="preserve">issue which you own or direct more than 10% of voting rights </w:t>
      </w:r>
      <w:r w:rsidR="00AF5313">
        <w:rPr>
          <w:rFonts w:asciiTheme="minorHAnsi" w:hAnsiTheme="minorHAnsi"/>
          <w:b/>
          <w:sz w:val="18"/>
          <w:lang w:eastAsia="en-CA"/>
        </w:rPr>
        <w:t xml:space="preserve">OR </w:t>
      </w:r>
      <w:r w:rsidR="00AF5313" w:rsidRPr="00AF5313">
        <w:rPr>
          <w:rFonts w:asciiTheme="minorHAnsi" w:hAnsiTheme="minorHAnsi"/>
          <w:b/>
          <w:color w:val="C45911" w:themeColor="accent2" w:themeShade="BF"/>
          <w:sz w:val="18"/>
          <w:lang w:eastAsia="en-CA"/>
        </w:rPr>
        <w:t xml:space="preserve">(d) </w:t>
      </w:r>
      <w:r w:rsidR="00551C0F">
        <w:rPr>
          <w:rFonts w:asciiTheme="minorHAnsi" w:hAnsiTheme="minorHAnsi"/>
          <w:sz w:val="18"/>
          <w:lang w:eastAsia="en-CA"/>
        </w:rPr>
        <w:t xml:space="preserve">a relative (if living in same house) or a spouse. </w:t>
      </w:r>
    </w:p>
    <w:p w:rsidR="00BD16D9" w:rsidRPr="00BD16D9" w:rsidRDefault="00A8188E" w:rsidP="00FF0B61">
      <w:pPr>
        <w:pStyle w:val="Normal1"/>
        <w:widowControl w:val="0"/>
        <w:numPr>
          <w:ilvl w:val="0"/>
          <w:numId w:val="97"/>
        </w:numPr>
        <w:spacing w:line="240" w:lineRule="auto"/>
        <w:contextualSpacing/>
        <w:rPr>
          <w:rFonts w:asciiTheme="minorHAnsi" w:hAnsiTheme="minorHAnsi"/>
          <w:sz w:val="18"/>
          <w:szCs w:val="20"/>
        </w:rPr>
      </w:pPr>
      <w:r w:rsidRPr="00E90DC3">
        <w:rPr>
          <w:rFonts w:asciiTheme="minorHAnsi" w:hAnsiTheme="minorHAnsi"/>
          <w:b/>
          <w:color w:val="C45911" w:themeColor="accent2" w:themeShade="BF"/>
          <w:sz w:val="18"/>
          <w:szCs w:val="20"/>
        </w:rPr>
        <w:t>s.3(b):</w:t>
      </w:r>
      <w:r w:rsidRPr="00E90DC3">
        <w:rPr>
          <w:rFonts w:asciiTheme="minorHAnsi" w:hAnsiTheme="minorHAnsi"/>
          <w:color w:val="C45911" w:themeColor="accent2" w:themeShade="BF"/>
          <w:sz w:val="18"/>
          <w:szCs w:val="20"/>
        </w:rPr>
        <w:t xml:space="preserve"> </w:t>
      </w:r>
      <w:r w:rsidRPr="00E90DC3">
        <w:rPr>
          <w:rFonts w:asciiTheme="minorHAnsi" w:hAnsiTheme="minorHAnsi"/>
          <w:sz w:val="18"/>
          <w:szCs w:val="20"/>
        </w:rPr>
        <w:t xml:space="preserve">a person </w:t>
      </w:r>
      <w:r w:rsidRPr="00E90DC3">
        <w:rPr>
          <w:rFonts w:asciiTheme="minorHAnsi" w:hAnsiTheme="minorHAnsi"/>
          <w:b/>
          <w:i/>
          <w:sz w:val="18"/>
          <w:szCs w:val="20"/>
        </w:rPr>
        <w:t>engaging in or proposing to engage in any business or professional activity</w:t>
      </w:r>
      <w:r w:rsidRPr="00E90DC3">
        <w:rPr>
          <w:rFonts w:asciiTheme="minorHAnsi" w:hAnsiTheme="minorHAnsi"/>
          <w:sz w:val="18"/>
          <w:szCs w:val="20"/>
        </w:rPr>
        <w:t xml:space="preserve"> with or on behalf of the issuer or with persons</w:t>
      </w:r>
      <w:r w:rsidRPr="00A8188E">
        <w:rPr>
          <w:rFonts w:asciiTheme="minorHAnsi" w:hAnsiTheme="minorHAnsi"/>
          <w:sz w:val="18"/>
          <w:szCs w:val="20"/>
        </w:rPr>
        <w:t xml:space="preserve"> mentioned in </w:t>
      </w:r>
      <w:r w:rsidRPr="00DC7CFF">
        <w:rPr>
          <w:rFonts w:asciiTheme="minorHAnsi" w:hAnsiTheme="minorHAnsi"/>
          <w:b/>
          <w:color w:val="C45911" w:themeColor="accent2" w:themeShade="BF"/>
          <w:sz w:val="18"/>
          <w:szCs w:val="20"/>
        </w:rPr>
        <w:t xml:space="preserve">s.3(a) </w:t>
      </w:r>
      <w:r w:rsidRPr="00A8188E">
        <w:rPr>
          <w:rFonts w:asciiTheme="minorHAnsi" w:hAnsiTheme="minorHAnsi"/>
          <w:sz w:val="18"/>
          <w:szCs w:val="20"/>
        </w:rPr>
        <w:t xml:space="preserve">is in a special relationship </w:t>
      </w:r>
      <w:r>
        <w:rPr>
          <w:rFonts w:asciiTheme="minorHAnsi" w:hAnsiTheme="minorHAnsi"/>
          <w:sz w:val="18"/>
          <w:szCs w:val="20"/>
        </w:rPr>
        <w:t>(</w:t>
      </w:r>
      <w:r w:rsidRPr="00A8188E">
        <w:rPr>
          <w:rFonts w:asciiTheme="minorHAnsi" w:hAnsiTheme="minorHAnsi"/>
          <w:b/>
          <w:color w:val="auto"/>
          <w:sz w:val="18"/>
          <w:szCs w:val="20"/>
        </w:rPr>
        <w:t>e.g. Lawyers, accountants, experts etc)</w:t>
      </w:r>
    </w:p>
    <w:p w:rsidR="00A8188E" w:rsidRPr="00E90DC3" w:rsidRDefault="00A8188E" w:rsidP="00FF0B61">
      <w:pPr>
        <w:pStyle w:val="Normal1"/>
        <w:widowControl w:val="0"/>
        <w:numPr>
          <w:ilvl w:val="0"/>
          <w:numId w:val="97"/>
        </w:numPr>
        <w:spacing w:line="240" w:lineRule="auto"/>
        <w:contextualSpacing/>
        <w:rPr>
          <w:rFonts w:asciiTheme="minorHAnsi" w:hAnsiTheme="minorHAnsi"/>
          <w:b/>
          <w:i/>
          <w:sz w:val="18"/>
          <w:szCs w:val="20"/>
        </w:rPr>
      </w:pPr>
      <w:r w:rsidRPr="00DC7CFF">
        <w:rPr>
          <w:rFonts w:asciiTheme="minorHAnsi" w:hAnsiTheme="minorHAnsi"/>
          <w:b/>
          <w:color w:val="C45911" w:themeColor="accent2" w:themeShade="BF"/>
          <w:sz w:val="18"/>
          <w:szCs w:val="20"/>
        </w:rPr>
        <w:t xml:space="preserve">s.3(c): </w:t>
      </w:r>
      <w:r>
        <w:rPr>
          <w:rFonts w:asciiTheme="minorHAnsi" w:hAnsiTheme="minorHAnsi"/>
          <w:b/>
          <w:i/>
          <w:sz w:val="18"/>
          <w:szCs w:val="20"/>
        </w:rPr>
        <w:t>EEs/DIRs/OFR</w:t>
      </w:r>
      <w:r w:rsidRPr="00A8188E">
        <w:rPr>
          <w:rFonts w:asciiTheme="minorHAnsi" w:hAnsiTheme="minorHAnsi"/>
          <w:b/>
          <w:i/>
          <w:sz w:val="18"/>
          <w:szCs w:val="20"/>
        </w:rPr>
        <w:t xml:space="preserve">s </w:t>
      </w:r>
      <w:r w:rsidRPr="00E90DC3">
        <w:rPr>
          <w:rFonts w:asciiTheme="minorHAnsi" w:hAnsiTheme="minorHAnsi"/>
          <w:b/>
          <w:i/>
          <w:sz w:val="18"/>
          <w:szCs w:val="20"/>
        </w:rPr>
        <w:t>of the issuer</w:t>
      </w:r>
      <w:r w:rsidR="00E90DC3">
        <w:rPr>
          <w:rFonts w:asciiTheme="minorHAnsi" w:hAnsiTheme="minorHAnsi"/>
          <w:sz w:val="18"/>
          <w:szCs w:val="20"/>
        </w:rPr>
        <w:t xml:space="preserve"> or an EE/DIR/OFR of</w:t>
      </w:r>
      <w:r w:rsidRPr="00E90DC3">
        <w:rPr>
          <w:rFonts w:asciiTheme="minorHAnsi" w:hAnsiTheme="minorHAnsi"/>
          <w:sz w:val="18"/>
          <w:szCs w:val="20"/>
        </w:rPr>
        <w:t xml:space="preserve"> </w:t>
      </w:r>
      <w:r w:rsidRPr="00E90DC3">
        <w:rPr>
          <w:rFonts w:asciiTheme="minorHAnsi" w:hAnsiTheme="minorHAnsi"/>
          <w:b/>
          <w:i/>
          <w:sz w:val="18"/>
          <w:szCs w:val="20"/>
        </w:rPr>
        <w:t xml:space="preserve">anyone mentioned in </w:t>
      </w:r>
      <w:r w:rsidRPr="00E90DC3">
        <w:rPr>
          <w:rFonts w:asciiTheme="minorHAnsi" w:hAnsiTheme="minorHAnsi"/>
          <w:b/>
          <w:i/>
          <w:color w:val="C45911" w:themeColor="accent2" w:themeShade="BF"/>
          <w:sz w:val="18"/>
          <w:szCs w:val="20"/>
        </w:rPr>
        <w:t xml:space="preserve">s 3(a)-(b) </w:t>
      </w:r>
      <w:r w:rsidR="00E90DC3">
        <w:rPr>
          <w:rFonts w:asciiTheme="minorHAnsi" w:hAnsiTheme="minorHAnsi"/>
          <w:color w:val="auto"/>
          <w:sz w:val="18"/>
          <w:szCs w:val="20"/>
        </w:rPr>
        <w:t>(e.g. EE of a person proposing a take-over)</w:t>
      </w:r>
    </w:p>
    <w:p w:rsidR="00A8188E" w:rsidRPr="00A8188E" w:rsidRDefault="00A8188E" w:rsidP="00FF0B61">
      <w:pPr>
        <w:pStyle w:val="Normal1"/>
        <w:widowControl w:val="0"/>
        <w:numPr>
          <w:ilvl w:val="0"/>
          <w:numId w:val="97"/>
        </w:numPr>
        <w:spacing w:line="240" w:lineRule="auto"/>
        <w:contextualSpacing/>
        <w:rPr>
          <w:rFonts w:asciiTheme="minorHAnsi" w:hAnsiTheme="minorHAnsi"/>
          <w:sz w:val="18"/>
          <w:szCs w:val="20"/>
        </w:rPr>
      </w:pPr>
      <w:r w:rsidRPr="00DC7CFF">
        <w:rPr>
          <w:rFonts w:asciiTheme="minorHAnsi" w:hAnsiTheme="minorHAnsi"/>
          <w:b/>
          <w:color w:val="C45911" w:themeColor="accent2" w:themeShade="BF"/>
          <w:sz w:val="18"/>
          <w:szCs w:val="20"/>
        </w:rPr>
        <w:t xml:space="preserve">s.3(d): </w:t>
      </w:r>
      <w:r w:rsidR="0053734E">
        <w:rPr>
          <w:rFonts w:asciiTheme="minorHAnsi" w:hAnsiTheme="minorHAnsi"/>
          <w:sz w:val="18"/>
          <w:szCs w:val="20"/>
        </w:rPr>
        <w:t>S</w:t>
      </w:r>
      <w:r w:rsidRPr="00A8188E">
        <w:rPr>
          <w:rFonts w:asciiTheme="minorHAnsi" w:hAnsiTheme="minorHAnsi"/>
          <w:sz w:val="18"/>
          <w:szCs w:val="20"/>
        </w:rPr>
        <w:t xml:space="preserve">omeone who knows a </w:t>
      </w:r>
      <w:r w:rsidRPr="00D17C6A">
        <w:rPr>
          <w:rFonts w:asciiTheme="minorHAnsi" w:hAnsiTheme="minorHAnsi"/>
          <w:b/>
          <w:i/>
          <w:sz w:val="18"/>
          <w:szCs w:val="20"/>
        </w:rPr>
        <w:t>material fact/change</w:t>
      </w:r>
      <w:r w:rsidRPr="00A8188E">
        <w:rPr>
          <w:rFonts w:asciiTheme="minorHAnsi" w:hAnsiTheme="minorHAnsi"/>
          <w:sz w:val="18"/>
          <w:szCs w:val="20"/>
        </w:rPr>
        <w:t xml:space="preserve"> of the issuer from a </w:t>
      </w:r>
      <w:r w:rsidRPr="00D17C6A">
        <w:rPr>
          <w:rFonts w:asciiTheme="minorHAnsi" w:hAnsiTheme="minorHAnsi"/>
          <w:b/>
          <w:sz w:val="18"/>
          <w:szCs w:val="20"/>
          <w:u w:val="single"/>
        </w:rPr>
        <w:t>previous</w:t>
      </w:r>
      <w:r w:rsidRPr="00D17C6A">
        <w:rPr>
          <w:rFonts w:asciiTheme="minorHAnsi" w:hAnsiTheme="minorHAnsi"/>
          <w:b/>
          <w:sz w:val="18"/>
          <w:szCs w:val="20"/>
        </w:rPr>
        <w:t xml:space="preserve"> relationship</w:t>
      </w:r>
      <w:r w:rsidRPr="00A8188E">
        <w:rPr>
          <w:rFonts w:asciiTheme="minorHAnsi" w:hAnsiTheme="minorHAnsi"/>
          <w:sz w:val="18"/>
          <w:szCs w:val="20"/>
        </w:rPr>
        <w:t xml:space="preserve"> with the issuer such as those enumerated under</w:t>
      </w:r>
      <w:r w:rsidRPr="00A8188E">
        <w:rPr>
          <w:rFonts w:asciiTheme="minorHAnsi" w:hAnsiTheme="minorHAnsi"/>
          <w:b/>
          <w:color w:val="008000"/>
          <w:sz w:val="18"/>
          <w:szCs w:val="20"/>
        </w:rPr>
        <w:t xml:space="preserve"> </w:t>
      </w:r>
      <w:r w:rsidRPr="00DC7CFF">
        <w:rPr>
          <w:rFonts w:asciiTheme="minorHAnsi" w:hAnsiTheme="minorHAnsi"/>
          <w:b/>
          <w:color w:val="C45911" w:themeColor="accent2" w:themeShade="BF"/>
          <w:sz w:val="18"/>
          <w:szCs w:val="20"/>
        </w:rPr>
        <w:t xml:space="preserve">s 3(a)-(c) </w:t>
      </w:r>
      <w:r w:rsidRPr="00A8188E">
        <w:rPr>
          <w:rFonts w:asciiTheme="minorHAnsi" w:hAnsiTheme="minorHAnsi"/>
          <w:sz w:val="18"/>
          <w:szCs w:val="20"/>
        </w:rPr>
        <w:t>is in a special relationship</w:t>
      </w:r>
      <w:r w:rsidR="00DC7CFF">
        <w:rPr>
          <w:rFonts w:asciiTheme="minorHAnsi" w:hAnsiTheme="minorHAnsi"/>
          <w:sz w:val="18"/>
          <w:szCs w:val="20"/>
        </w:rPr>
        <w:t xml:space="preserve"> </w:t>
      </w:r>
      <w:r w:rsidR="00DC7CFF" w:rsidRPr="00DC7CFF">
        <w:rPr>
          <w:rFonts w:asciiTheme="minorHAnsi" w:hAnsiTheme="minorHAnsi"/>
          <w:sz w:val="18"/>
          <w:szCs w:val="18"/>
          <w:lang w:eastAsia="en-CA"/>
        </w:rPr>
        <w:t>(</w:t>
      </w:r>
      <w:r w:rsidR="00DC7CFF" w:rsidRPr="00D17C6A">
        <w:rPr>
          <w:rFonts w:asciiTheme="minorHAnsi" w:hAnsiTheme="minorHAnsi"/>
          <w:b/>
          <w:sz w:val="18"/>
          <w:szCs w:val="18"/>
          <w:lang w:eastAsia="en-CA"/>
        </w:rPr>
        <w:t>e.g.</w:t>
      </w:r>
      <w:r w:rsidR="00DC7CFF" w:rsidRPr="00DC7CFF">
        <w:rPr>
          <w:rFonts w:asciiTheme="minorHAnsi" w:hAnsiTheme="minorHAnsi"/>
          <w:sz w:val="18"/>
          <w:szCs w:val="18"/>
          <w:lang w:eastAsia="en-CA"/>
        </w:rPr>
        <w:t xml:space="preserve"> Just quitting your job to trade does not mean you are not in a special relationship if you got that info in that capacity).</w:t>
      </w:r>
    </w:p>
    <w:p w:rsidR="00A8188E" w:rsidRPr="00A8188E" w:rsidRDefault="00A8188E" w:rsidP="00FF0B61">
      <w:pPr>
        <w:pStyle w:val="Normal1"/>
        <w:widowControl w:val="0"/>
        <w:numPr>
          <w:ilvl w:val="0"/>
          <w:numId w:val="97"/>
        </w:numPr>
        <w:spacing w:line="240" w:lineRule="auto"/>
        <w:contextualSpacing/>
        <w:rPr>
          <w:rFonts w:asciiTheme="minorHAnsi" w:hAnsiTheme="minorHAnsi"/>
          <w:sz w:val="18"/>
          <w:szCs w:val="20"/>
        </w:rPr>
      </w:pPr>
      <w:r w:rsidRPr="00DC7CFF">
        <w:rPr>
          <w:rFonts w:asciiTheme="minorHAnsi" w:hAnsiTheme="minorHAnsi"/>
          <w:b/>
          <w:color w:val="C45911" w:themeColor="accent2" w:themeShade="BF"/>
          <w:sz w:val="18"/>
          <w:szCs w:val="20"/>
        </w:rPr>
        <w:t>S 3(e):</w:t>
      </w:r>
      <w:r w:rsidRPr="00DC7CFF">
        <w:rPr>
          <w:rFonts w:asciiTheme="minorHAnsi" w:hAnsiTheme="minorHAnsi"/>
          <w:color w:val="C45911" w:themeColor="accent2" w:themeShade="BF"/>
          <w:sz w:val="18"/>
          <w:szCs w:val="20"/>
        </w:rPr>
        <w:t xml:space="preserve"> </w:t>
      </w:r>
      <w:r w:rsidR="00B02A5F" w:rsidRPr="00B02A5F">
        <w:rPr>
          <w:rFonts w:asciiTheme="minorHAnsi" w:hAnsiTheme="minorHAnsi"/>
          <w:b/>
          <w:color w:val="auto"/>
          <w:sz w:val="18"/>
          <w:szCs w:val="20"/>
        </w:rPr>
        <w:t>Tippie</w:t>
      </w:r>
      <w:r w:rsidR="008533B4">
        <w:rPr>
          <w:rFonts w:asciiTheme="minorHAnsi" w:hAnsiTheme="minorHAnsi"/>
          <w:b/>
          <w:color w:val="auto"/>
          <w:sz w:val="18"/>
          <w:szCs w:val="20"/>
        </w:rPr>
        <w:t xml:space="preserve"> Liability</w:t>
      </w:r>
      <w:r w:rsidR="00B02A5F" w:rsidRPr="00B02A5F">
        <w:rPr>
          <w:rFonts w:asciiTheme="minorHAnsi" w:hAnsiTheme="minorHAnsi"/>
          <w:b/>
          <w:color w:val="auto"/>
          <w:sz w:val="18"/>
          <w:szCs w:val="20"/>
        </w:rPr>
        <w:t xml:space="preserve"> - </w:t>
      </w:r>
      <w:r w:rsidR="00D523BF" w:rsidRPr="00B02A5F">
        <w:rPr>
          <w:rFonts w:asciiTheme="minorHAnsi" w:hAnsiTheme="minorHAnsi"/>
          <w:b/>
          <w:sz w:val="18"/>
          <w:szCs w:val="20"/>
        </w:rPr>
        <w:t xml:space="preserve">Person who </w:t>
      </w:r>
      <w:r w:rsidRPr="00B02A5F">
        <w:rPr>
          <w:rFonts w:asciiTheme="minorHAnsi" w:hAnsiTheme="minorHAnsi"/>
          <w:b/>
          <w:sz w:val="18"/>
          <w:szCs w:val="20"/>
        </w:rPr>
        <w:t>knows of a material fact/change,</w:t>
      </w:r>
      <w:r w:rsidRPr="001458A3">
        <w:rPr>
          <w:rFonts w:asciiTheme="minorHAnsi" w:hAnsiTheme="minorHAnsi"/>
          <w:sz w:val="18"/>
          <w:szCs w:val="20"/>
        </w:rPr>
        <w:t xml:space="preserve"> having acquired the knowledge from </w:t>
      </w:r>
      <w:r w:rsidRPr="00CA5E3E">
        <w:rPr>
          <w:rFonts w:asciiTheme="minorHAnsi" w:hAnsiTheme="minorHAnsi"/>
          <w:sz w:val="18"/>
          <w:szCs w:val="20"/>
          <w:u w:val="single"/>
        </w:rPr>
        <w:t>another person</w:t>
      </w:r>
      <w:r w:rsidRPr="001458A3">
        <w:rPr>
          <w:rFonts w:asciiTheme="minorHAnsi" w:hAnsiTheme="minorHAnsi"/>
          <w:sz w:val="18"/>
          <w:szCs w:val="20"/>
        </w:rPr>
        <w:t xml:space="preserve"> at the time when </w:t>
      </w:r>
      <w:r w:rsidRPr="001458A3">
        <w:rPr>
          <w:rFonts w:asciiTheme="minorHAnsi" w:hAnsiTheme="minorHAnsi"/>
          <w:b/>
          <w:sz w:val="18"/>
          <w:szCs w:val="20"/>
        </w:rPr>
        <w:t>(i)</w:t>
      </w:r>
      <w:r w:rsidRPr="001458A3">
        <w:rPr>
          <w:rFonts w:asciiTheme="minorHAnsi" w:hAnsiTheme="minorHAnsi"/>
          <w:sz w:val="18"/>
          <w:szCs w:val="20"/>
        </w:rPr>
        <w:t xml:space="preserve"> that person </w:t>
      </w:r>
      <w:r w:rsidRPr="00B02A5F">
        <w:rPr>
          <w:rFonts w:asciiTheme="minorHAnsi" w:hAnsiTheme="minorHAnsi"/>
          <w:i/>
          <w:sz w:val="18"/>
          <w:szCs w:val="20"/>
        </w:rPr>
        <w:t>was in a special relationship with the issuer</w:t>
      </w:r>
      <w:r w:rsidRPr="001458A3">
        <w:rPr>
          <w:rFonts w:asciiTheme="minorHAnsi" w:hAnsiTheme="minorHAnsi"/>
          <w:sz w:val="18"/>
          <w:szCs w:val="20"/>
        </w:rPr>
        <w:t xml:space="preserve"> </w:t>
      </w:r>
      <w:r w:rsidRPr="001458A3">
        <w:rPr>
          <w:rFonts w:asciiTheme="minorHAnsi" w:hAnsiTheme="minorHAnsi"/>
          <w:b/>
          <w:sz w:val="18"/>
          <w:szCs w:val="20"/>
        </w:rPr>
        <w:t>AND</w:t>
      </w:r>
      <w:r w:rsidRPr="001458A3">
        <w:rPr>
          <w:rFonts w:asciiTheme="minorHAnsi" w:hAnsiTheme="minorHAnsi"/>
          <w:sz w:val="18"/>
          <w:szCs w:val="20"/>
        </w:rPr>
        <w:t xml:space="preserve"> </w:t>
      </w:r>
      <w:r w:rsidRPr="001458A3">
        <w:rPr>
          <w:rFonts w:asciiTheme="minorHAnsi" w:hAnsiTheme="minorHAnsi"/>
          <w:b/>
          <w:sz w:val="18"/>
          <w:szCs w:val="20"/>
        </w:rPr>
        <w:t>(ii)</w:t>
      </w:r>
      <w:r w:rsidRPr="001458A3">
        <w:rPr>
          <w:rFonts w:asciiTheme="minorHAnsi" w:hAnsiTheme="minorHAnsi"/>
          <w:sz w:val="18"/>
          <w:szCs w:val="20"/>
        </w:rPr>
        <w:t xml:space="preserve"> they </w:t>
      </w:r>
      <w:r w:rsidRPr="00B02A5F">
        <w:rPr>
          <w:rFonts w:asciiTheme="minorHAnsi" w:hAnsiTheme="minorHAnsi"/>
          <w:i/>
          <w:sz w:val="18"/>
          <w:szCs w:val="20"/>
        </w:rPr>
        <w:t>knew or reasonably ought to have known</w:t>
      </w:r>
      <w:r w:rsidRPr="001458A3">
        <w:rPr>
          <w:rFonts w:asciiTheme="minorHAnsi" w:hAnsiTheme="minorHAnsi"/>
          <w:sz w:val="18"/>
          <w:szCs w:val="20"/>
        </w:rPr>
        <w:t xml:space="preserve"> the other person was in a special relationship with the issuer</w:t>
      </w:r>
      <w:r w:rsidR="001458A3">
        <w:rPr>
          <w:rFonts w:asciiTheme="minorHAnsi" w:hAnsiTheme="minorHAnsi"/>
          <w:sz w:val="18"/>
          <w:szCs w:val="20"/>
        </w:rPr>
        <w:t xml:space="preserve"> (</w:t>
      </w:r>
      <w:r w:rsidR="001458A3">
        <w:rPr>
          <w:rFonts w:asciiTheme="minorHAnsi" w:hAnsiTheme="minorHAnsi"/>
          <w:b/>
          <w:sz w:val="18"/>
          <w:szCs w:val="20"/>
        </w:rPr>
        <w:t xml:space="preserve">Tippee – </w:t>
      </w:r>
      <w:r w:rsidR="001458A3">
        <w:rPr>
          <w:rFonts w:asciiTheme="minorHAnsi" w:hAnsiTheme="minorHAnsi"/>
          <w:sz w:val="18"/>
          <w:szCs w:val="20"/>
        </w:rPr>
        <w:t>is in a special relationship)</w:t>
      </w:r>
    </w:p>
    <w:p w:rsidR="00027BB2" w:rsidRDefault="00027BB2" w:rsidP="00FF0B61">
      <w:pPr>
        <w:pStyle w:val="Normal1"/>
        <w:widowControl w:val="0"/>
        <w:numPr>
          <w:ilvl w:val="1"/>
          <w:numId w:val="97"/>
        </w:numPr>
        <w:spacing w:line="240" w:lineRule="auto"/>
        <w:contextualSpacing/>
        <w:rPr>
          <w:rFonts w:asciiTheme="minorHAnsi" w:hAnsiTheme="minorHAnsi"/>
          <w:color w:val="auto"/>
          <w:sz w:val="18"/>
          <w:szCs w:val="20"/>
        </w:rPr>
      </w:pPr>
      <w:r>
        <w:rPr>
          <w:rFonts w:asciiTheme="minorHAnsi" w:hAnsiTheme="minorHAnsi"/>
          <w:b/>
          <w:color w:val="auto"/>
          <w:sz w:val="18"/>
          <w:szCs w:val="20"/>
        </w:rPr>
        <w:t xml:space="preserve">NB: </w:t>
      </w:r>
      <w:r>
        <w:rPr>
          <w:rFonts w:asciiTheme="minorHAnsi" w:hAnsiTheme="minorHAnsi"/>
          <w:color w:val="auto"/>
          <w:sz w:val="18"/>
          <w:szCs w:val="20"/>
        </w:rPr>
        <w:t xml:space="preserve">Person who learns if a material fact/change from a tippee is also a tippee. </w:t>
      </w:r>
    </w:p>
    <w:p w:rsidR="00A8188E" w:rsidRDefault="00A8188E" w:rsidP="00FF0B61">
      <w:pPr>
        <w:pStyle w:val="Normal1"/>
        <w:widowControl w:val="0"/>
        <w:numPr>
          <w:ilvl w:val="1"/>
          <w:numId w:val="97"/>
        </w:numPr>
        <w:spacing w:line="240" w:lineRule="auto"/>
        <w:contextualSpacing/>
        <w:rPr>
          <w:rFonts w:asciiTheme="minorHAnsi" w:hAnsiTheme="minorHAnsi"/>
          <w:color w:val="auto"/>
          <w:sz w:val="18"/>
          <w:szCs w:val="20"/>
        </w:rPr>
      </w:pPr>
      <w:r w:rsidRPr="00CA5E3E">
        <w:rPr>
          <w:rFonts w:asciiTheme="minorHAnsi" w:hAnsiTheme="minorHAnsi"/>
          <w:color w:val="auto"/>
          <w:sz w:val="18"/>
          <w:szCs w:val="20"/>
        </w:rPr>
        <w:t>Expands the definition outwards indefinitely through the sharing of information</w:t>
      </w:r>
      <w:r w:rsidR="00CA5E3E">
        <w:rPr>
          <w:rFonts w:asciiTheme="minorHAnsi" w:hAnsiTheme="minorHAnsi"/>
          <w:color w:val="auto"/>
          <w:sz w:val="18"/>
          <w:szCs w:val="20"/>
        </w:rPr>
        <w:t xml:space="preserve"> </w:t>
      </w:r>
      <w:r w:rsidR="00CA5E3E">
        <w:rPr>
          <w:rFonts w:asciiTheme="minorHAnsi" w:hAnsiTheme="minorHAnsi"/>
          <w:b/>
          <w:color w:val="auto"/>
          <w:sz w:val="18"/>
          <w:szCs w:val="20"/>
        </w:rPr>
        <w:t xml:space="preserve">// </w:t>
      </w:r>
      <w:r w:rsidRPr="00CA5E3E">
        <w:rPr>
          <w:rFonts w:asciiTheme="minorHAnsi" w:hAnsiTheme="minorHAnsi"/>
          <w:color w:val="auto"/>
          <w:sz w:val="18"/>
          <w:szCs w:val="20"/>
        </w:rPr>
        <w:t>Judged on a “reasonableness” standard</w:t>
      </w:r>
    </w:p>
    <w:p w:rsidR="000673E0" w:rsidRPr="00A8188E" w:rsidRDefault="000673E0" w:rsidP="00FF0B61">
      <w:pPr>
        <w:pStyle w:val="Normal1"/>
        <w:widowControl w:val="0"/>
        <w:spacing w:line="240" w:lineRule="auto"/>
        <w:ind w:left="1440"/>
        <w:contextualSpacing/>
        <w:rPr>
          <w:rFonts w:asciiTheme="minorHAnsi" w:hAnsiTheme="minorHAnsi"/>
          <w:color w:val="3366FF"/>
          <w:sz w:val="18"/>
          <w:szCs w:val="20"/>
        </w:rPr>
      </w:pPr>
    </w:p>
    <w:p w:rsidR="00836506" w:rsidRPr="00FA7837" w:rsidRDefault="00836506" w:rsidP="00FF0B61">
      <w:pPr>
        <w:pStyle w:val="Heading3"/>
        <w:spacing w:line="240" w:lineRule="auto"/>
        <w:rPr>
          <w:lang w:val="en-CA" w:eastAsia="en-CA"/>
        </w:rPr>
      </w:pPr>
      <w:bookmarkStart w:id="74" w:name="_Toc468980445"/>
      <w:r w:rsidRPr="00FA7837">
        <w:rPr>
          <w:lang w:val="en-CA" w:eastAsia="en-CA"/>
        </w:rPr>
        <w:t>[2] X traded based on knowledge of MATERIAL INFO</w:t>
      </w:r>
      <w:bookmarkEnd w:id="74"/>
    </w:p>
    <w:p w:rsidR="00FD091B" w:rsidRPr="00841484" w:rsidRDefault="00FD091B" w:rsidP="00FF0B61">
      <w:pPr>
        <w:spacing w:after="0" w:line="240" w:lineRule="auto"/>
        <w:rPr>
          <w:b/>
          <w:sz w:val="14"/>
          <w:szCs w:val="20"/>
        </w:rPr>
      </w:pPr>
      <w:r w:rsidRPr="00FD091B">
        <w:rPr>
          <w:rFonts w:ascii="Calibri" w:hAnsi="Calibri"/>
          <w:bCs/>
          <w:position w:val="4"/>
          <w:szCs w:val="21"/>
        </w:rPr>
        <w:t xml:space="preserve">Materiality in IT cases is to be </w:t>
      </w:r>
      <w:r w:rsidRPr="005433AB">
        <w:rPr>
          <w:rFonts w:ascii="Calibri" w:hAnsi="Calibri"/>
          <w:bCs/>
          <w:position w:val="4"/>
          <w:szCs w:val="21"/>
          <w:u w:val="single"/>
        </w:rPr>
        <w:t>determined objectively</w:t>
      </w:r>
      <w:r w:rsidRPr="00FD091B">
        <w:rPr>
          <w:rFonts w:ascii="Calibri" w:hAnsi="Calibri"/>
          <w:bCs/>
          <w:position w:val="4"/>
          <w:szCs w:val="21"/>
        </w:rPr>
        <w:t>, from a reasonable investor’s perspective – requires application of judgment and common sense (</w:t>
      </w:r>
      <w:r w:rsidRPr="00FD091B">
        <w:rPr>
          <w:rFonts w:ascii="Calibri" w:hAnsi="Calibri"/>
          <w:b/>
          <w:bCs/>
          <w:i/>
          <w:color w:val="1006E0"/>
          <w:position w:val="4"/>
          <w:szCs w:val="21"/>
        </w:rPr>
        <w:t>Kapusta</w:t>
      </w:r>
      <w:r w:rsidR="00841484">
        <w:rPr>
          <w:rFonts w:ascii="Calibri" w:hAnsi="Calibri"/>
          <w:bCs/>
          <w:position w:val="4"/>
          <w:szCs w:val="21"/>
        </w:rPr>
        <w:t xml:space="preserve">) </w:t>
      </w:r>
      <w:r w:rsidR="00841484">
        <w:rPr>
          <w:rFonts w:ascii="Calibri" w:hAnsi="Calibri"/>
          <w:b/>
          <w:bCs/>
          <w:position w:val="4"/>
          <w:szCs w:val="21"/>
        </w:rPr>
        <w:t xml:space="preserve">// </w:t>
      </w:r>
      <w:r w:rsidR="005433AB">
        <w:rPr>
          <w:rFonts w:ascii="Calibri" w:hAnsi="Calibri"/>
          <w:bCs/>
          <w:position w:val="4"/>
          <w:szCs w:val="21"/>
        </w:rPr>
        <w:t>A</w:t>
      </w:r>
      <w:r w:rsidR="00841484" w:rsidRPr="00841484">
        <w:rPr>
          <w:rFonts w:ascii="Calibri" w:hAnsi="Calibri"/>
          <w:bCs/>
          <w:position w:val="4"/>
          <w:szCs w:val="21"/>
        </w:rPr>
        <w:t xml:space="preserve"> question of mixed fact and law that requires a contextual determination that takes into account all of the circumstances (</w:t>
      </w:r>
      <w:r w:rsidR="00841484" w:rsidRPr="00841484">
        <w:rPr>
          <w:rFonts w:ascii="Calibri" w:hAnsi="Calibri"/>
          <w:b/>
          <w:bCs/>
          <w:i/>
          <w:color w:val="1006E0"/>
          <w:position w:val="4"/>
          <w:szCs w:val="21"/>
        </w:rPr>
        <w:t>Re Biovail Corp</w:t>
      </w:r>
      <w:r w:rsidR="00841484" w:rsidRPr="00841484">
        <w:rPr>
          <w:rFonts w:ascii="Calibri" w:hAnsi="Calibri"/>
          <w:bCs/>
          <w:position w:val="4"/>
          <w:szCs w:val="21"/>
        </w:rPr>
        <w:t>).</w:t>
      </w:r>
    </w:p>
    <w:p w:rsidR="00FA7837" w:rsidRPr="00FA7837" w:rsidRDefault="00FA7837" w:rsidP="00FF0B61">
      <w:pPr>
        <w:pStyle w:val="ListParagraph"/>
        <w:numPr>
          <w:ilvl w:val="0"/>
          <w:numId w:val="98"/>
        </w:numPr>
        <w:spacing w:after="0"/>
        <w:rPr>
          <w:szCs w:val="20"/>
        </w:rPr>
      </w:pPr>
      <w:r>
        <w:rPr>
          <w:b/>
          <w:szCs w:val="20"/>
        </w:rPr>
        <w:t>Material C</w:t>
      </w:r>
      <w:r w:rsidRPr="00FA7837">
        <w:rPr>
          <w:b/>
          <w:szCs w:val="20"/>
        </w:rPr>
        <w:t>hange</w:t>
      </w:r>
      <w:r>
        <w:rPr>
          <w:szCs w:val="20"/>
        </w:rPr>
        <w:t>:</w:t>
      </w:r>
      <w:r w:rsidRPr="00FA7837">
        <w:rPr>
          <w:szCs w:val="20"/>
        </w:rPr>
        <w:t xml:space="preserve"> “</w:t>
      </w:r>
      <w:r w:rsidRPr="00FA7837">
        <w:rPr>
          <w:szCs w:val="20"/>
          <w:u w:val="single"/>
        </w:rPr>
        <w:t>a change in the business, operations or capital of the issuer</w:t>
      </w:r>
      <w:r w:rsidRPr="00FA7837">
        <w:rPr>
          <w:szCs w:val="20"/>
        </w:rPr>
        <w:t xml:space="preserve"> that would reasonably be expected to have a significant effect on the market price or value of a security of the issuer”.</w:t>
      </w:r>
    </w:p>
    <w:p w:rsidR="00FA7837" w:rsidRPr="00FA7837" w:rsidRDefault="00FA7837" w:rsidP="00FF0B61">
      <w:pPr>
        <w:pStyle w:val="ListParagraph"/>
        <w:numPr>
          <w:ilvl w:val="1"/>
          <w:numId w:val="98"/>
        </w:numPr>
        <w:spacing w:after="0"/>
        <w:rPr>
          <w:szCs w:val="20"/>
        </w:rPr>
      </w:pPr>
      <w:r>
        <w:rPr>
          <w:szCs w:val="20"/>
        </w:rPr>
        <w:t>P</w:t>
      </w:r>
      <w:r w:rsidRPr="00FA7837">
        <w:rPr>
          <w:szCs w:val="20"/>
        </w:rPr>
        <w:t xml:space="preserve">otential acquisition of the reporting issuer by Motorola in </w:t>
      </w:r>
      <w:r w:rsidRPr="00FA7837">
        <w:rPr>
          <w:b/>
          <w:i/>
          <w:color w:val="1006E0"/>
          <w:szCs w:val="20"/>
        </w:rPr>
        <w:t>AiT</w:t>
      </w:r>
      <w:r w:rsidRPr="00FA7837">
        <w:rPr>
          <w:b/>
          <w:color w:val="1006E0"/>
          <w:szCs w:val="20"/>
        </w:rPr>
        <w:t>;</w:t>
      </w:r>
    </w:p>
    <w:p w:rsidR="00FA7837" w:rsidRPr="00FA7837" w:rsidRDefault="00FA7837" w:rsidP="00FF0B61">
      <w:pPr>
        <w:pStyle w:val="ListParagraph"/>
        <w:numPr>
          <w:ilvl w:val="1"/>
          <w:numId w:val="98"/>
        </w:numPr>
        <w:spacing w:after="0"/>
        <w:rPr>
          <w:szCs w:val="20"/>
        </w:rPr>
      </w:pPr>
      <w:r>
        <w:rPr>
          <w:szCs w:val="20"/>
        </w:rPr>
        <w:t>N</w:t>
      </w:r>
      <w:r w:rsidRPr="00FA7837">
        <w:rPr>
          <w:szCs w:val="20"/>
        </w:rPr>
        <w:t xml:space="preserve">ew drilling and assay results in </w:t>
      </w:r>
      <w:r w:rsidRPr="00FA7837">
        <w:rPr>
          <w:b/>
          <w:i/>
          <w:color w:val="1006E0"/>
          <w:szCs w:val="20"/>
        </w:rPr>
        <w:t>Pezim</w:t>
      </w:r>
      <w:r w:rsidRPr="00FA7837">
        <w:rPr>
          <w:szCs w:val="20"/>
        </w:rPr>
        <w:t>;</w:t>
      </w:r>
    </w:p>
    <w:p w:rsidR="00FA7837" w:rsidRPr="00FA7837" w:rsidRDefault="00FA7837" w:rsidP="00FF0B61">
      <w:pPr>
        <w:pStyle w:val="ListParagraph"/>
        <w:numPr>
          <w:ilvl w:val="0"/>
          <w:numId w:val="98"/>
        </w:numPr>
        <w:spacing w:after="0"/>
        <w:ind w:right="-115"/>
        <w:rPr>
          <w:szCs w:val="20"/>
        </w:rPr>
      </w:pPr>
      <w:r>
        <w:rPr>
          <w:b/>
          <w:szCs w:val="20"/>
        </w:rPr>
        <w:t>M</w:t>
      </w:r>
      <w:r w:rsidRPr="00FA7837">
        <w:rPr>
          <w:b/>
          <w:szCs w:val="20"/>
        </w:rPr>
        <w:t xml:space="preserve">aterial </w:t>
      </w:r>
      <w:r>
        <w:rPr>
          <w:b/>
          <w:szCs w:val="20"/>
        </w:rPr>
        <w:t>F</w:t>
      </w:r>
      <w:r w:rsidRPr="00FA7837">
        <w:rPr>
          <w:b/>
          <w:szCs w:val="20"/>
        </w:rPr>
        <w:t>ac</w:t>
      </w:r>
      <w:r>
        <w:rPr>
          <w:b/>
          <w:szCs w:val="20"/>
        </w:rPr>
        <w:t>t:</w:t>
      </w:r>
      <w:r w:rsidRPr="00FA7837">
        <w:rPr>
          <w:b/>
          <w:szCs w:val="20"/>
        </w:rPr>
        <w:t xml:space="preserve"> “</w:t>
      </w:r>
      <w:r w:rsidRPr="00FA7837">
        <w:rPr>
          <w:szCs w:val="20"/>
          <w:u w:val="single"/>
        </w:rPr>
        <w:t>a fact</w:t>
      </w:r>
      <w:r w:rsidRPr="00FA7837">
        <w:rPr>
          <w:szCs w:val="20"/>
        </w:rPr>
        <w:t xml:space="preserve"> that would reasonably be expected to have a significant effect on market price or value of securities”. </w:t>
      </w:r>
    </w:p>
    <w:p w:rsidR="00FA7837" w:rsidRPr="00FA7837" w:rsidRDefault="00FA7837" w:rsidP="00FF0B61">
      <w:pPr>
        <w:pStyle w:val="ListParagraph"/>
        <w:numPr>
          <w:ilvl w:val="1"/>
          <w:numId w:val="98"/>
        </w:numPr>
        <w:spacing w:after="0"/>
        <w:rPr>
          <w:szCs w:val="20"/>
        </w:rPr>
      </w:pPr>
      <w:r>
        <w:rPr>
          <w:szCs w:val="20"/>
        </w:rPr>
        <w:t>P</w:t>
      </w:r>
      <w:r w:rsidRPr="00FA7837">
        <w:rPr>
          <w:szCs w:val="20"/>
        </w:rPr>
        <w:t xml:space="preserve">otential second financing deal for a reporting issuer in </w:t>
      </w:r>
      <w:r w:rsidRPr="00FA7837">
        <w:rPr>
          <w:b/>
          <w:i/>
          <w:color w:val="1006E0"/>
          <w:szCs w:val="20"/>
        </w:rPr>
        <w:t>Donnini</w:t>
      </w:r>
      <w:r w:rsidRPr="00FA7837">
        <w:rPr>
          <w:szCs w:val="20"/>
        </w:rPr>
        <w:t>;</w:t>
      </w:r>
    </w:p>
    <w:p w:rsidR="00FA7837" w:rsidRPr="00D838ED" w:rsidRDefault="00FA7837" w:rsidP="00FF0B61">
      <w:pPr>
        <w:pStyle w:val="ListParagraph"/>
        <w:numPr>
          <w:ilvl w:val="1"/>
          <w:numId w:val="98"/>
        </w:numPr>
        <w:spacing w:after="0"/>
        <w:rPr>
          <w:szCs w:val="20"/>
        </w:rPr>
      </w:pPr>
      <w:r>
        <w:rPr>
          <w:szCs w:val="20"/>
        </w:rPr>
        <w:t>U</w:t>
      </w:r>
      <w:r w:rsidRPr="00FA7837">
        <w:rPr>
          <w:szCs w:val="20"/>
        </w:rPr>
        <w:t xml:space="preserve">nseasonably warm weather in </w:t>
      </w:r>
      <w:r w:rsidRPr="00FA7837">
        <w:rPr>
          <w:b/>
          <w:i/>
          <w:color w:val="1006E0"/>
          <w:szCs w:val="20"/>
        </w:rPr>
        <w:t>Danier Leather</w:t>
      </w:r>
      <w:r w:rsidR="00D838ED">
        <w:rPr>
          <w:b/>
          <w:color w:val="1006E0"/>
          <w:szCs w:val="20"/>
        </w:rPr>
        <w:t>.</w:t>
      </w:r>
    </w:p>
    <w:p w:rsidR="00D838ED" w:rsidRPr="00FA7837" w:rsidRDefault="00D838ED" w:rsidP="00FF0B61">
      <w:pPr>
        <w:pStyle w:val="ListParagraph"/>
        <w:spacing w:after="0"/>
        <w:ind w:left="1440"/>
        <w:rPr>
          <w:szCs w:val="20"/>
        </w:rPr>
      </w:pPr>
    </w:p>
    <w:p w:rsidR="006B4DA2" w:rsidRPr="00AD381B" w:rsidRDefault="006B4DA2" w:rsidP="00FF0B61">
      <w:pPr>
        <w:spacing w:after="0" w:line="240" w:lineRule="auto"/>
        <w:rPr>
          <w:b/>
          <w:u w:val="single"/>
          <w:lang w:val="en-CA" w:eastAsia="en-CA"/>
        </w:rPr>
      </w:pPr>
      <w:r w:rsidRPr="00AD381B">
        <w:rPr>
          <w:b/>
          <w:u w:val="single"/>
          <w:lang w:val="en-CA" w:eastAsia="en-CA"/>
        </w:rPr>
        <w:t>Tests for Materiality:</w:t>
      </w:r>
    </w:p>
    <w:p w:rsidR="006B4DA2" w:rsidRPr="00AD381B" w:rsidRDefault="006B4DA2" w:rsidP="00FF0B61">
      <w:pPr>
        <w:pStyle w:val="ListParagraph"/>
        <w:numPr>
          <w:ilvl w:val="0"/>
          <w:numId w:val="25"/>
        </w:numPr>
        <w:spacing w:after="0"/>
        <w:rPr>
          <w:lang w:val="en-CA" w:eastAsia="en-CA"/>
        </w:rPr>
      </w:pPr>
      <w:r w:rsidRPr="00AD381B">
        <w:rPr>
          <w:b/>
          <w:lang w:val="en-CA" w:eastAsia="en-CA"/>
        </w:rPr>
        <w:t xml:space="preserve">Market Impact Test (legally binding in Canada): </w:t>
      </w:r>
      <w:r w:rsidRPr="00AD381B">
        <w:rPr>
          <w:szCs w:val="20"/>
        </w:rPr>
        <w:t xml:space="preserve">Info is material if it is reasonable to expect that the release of that information would impact the market price of the security. </w:t>
      </w:r>
      <w:r w:rsidRPr="00AD381B">
        <w:rPr>
          <w:b/>
          <w:i/>
          <w:szCs w:val="20"/>
        </w:rPr>
        <w:t>This is objective inquiry</w:t>
      </w:r>
      <w:r w:rsidRPr="00AD381B">
        <w:rPr>
          <w:szCs w:val="20"/>
        </w:rPr>
        <w:t xml:space="preserve"> (</w:t>
      </w:r>
      <w:r w:rsidRPr="00AD381B">
        <w:rPr>
          <w:b/>
          <w:i/>
          <w:color w:val="1006E0"/>
          <w:lang w:val="en-CA" w:eastAsia="en-CA"/>
        </w:rPr>
        <w:t>Coventree</w:t>
      </w:r>
      <w:r w:rsidRPr="00AD381B">
        <w:rPr>
          <w:szCs w:val="20"/>
        </w:rPr>
        <w:t xml:space="preserve">). </w:t>
      </w:r>
    </w:p>
    <w:p w:rsidR="006B4DA2" w:rsidRPr="00F04139" w:rsidRDefault="006B4DA2" w:rsidP="00FF0B61">
      <w:pPr>
        <w:pStyle w:val="ListParagraph"/>
        <w:numPr>
          <w:ilvl w:val="1"/>
          <w:numId w:val="25"/>
        </w:numPr>
        <w:spacing w:after="0"/>
        <w:rPr>
          <w:lang w:val="en-CA" w:eastAsia="en-CA"/>
        </w:rPr>
      </w:pPr>
      <w:r w:rsidRPr="00AD381B">
        <w:rPr>
          <w:b/>
          <w:lang w:val="en-CA" w:eastAsia="en-CA"/>
        </w:rPr>
        <w:t>Reasonabl</w:t>
      </w:r>
      <w:r>
        <w:rPr>
          <w:b/>
          <w:lang w:val="en-CA" w:eastAsia="en-CA"/>
        </w:rPr>
        <w:t>e Investor Test (used in the US</w:t>
      </w:r>
      <w:r w:rsidRPr="00AD381B">
        <w:rPr>
          <w:b/>
          <w:lang w:val="en-CA" w:eastAsia="en-CA"/>
        </w:rPr>
        <w:t>)</w:t>
      </w:r>
      <w:r w:rsidRPr="00AD381B">
        <w:rPr>
          <w:lang w:val="en-CA" w:eastAsia="en-CA"/>
        </w:rPr>
        <w:t xml:space="preserve">: Material fact or change is one that would be </w:t>
      </w:r>
      <w:r w:rsidRPr="00AD381B">
        <w:rPr>
          <w:u w:val="single"/>
          <w:lang w:val="en-CA" w:eastAsia="en-CA"/>
        </w:rPr>
        <w:t>important to a reasonable</w:t>
      </w:r>
      <w:r w:rsidRPr="00F04139">
        <w:rPr>
          <w:u w:val="single"/>
          <w:lang w:val="en-CA" w:eastAsia="en-CA"/>
        </w:rPr>
        <w:t xml:space="preserve"> investor</w:t>
      </w:r>
      <w:r w:rsidRPr="00F04139">
        <w:rPr>
          <w:lang w:val="en-CA" w:eastAsia="en-CA"/>
        </w:rPr>
        <w:t xml:space="preserve"> in making an investment decision with respect to the relevant security. Must guard against hindsight and reliance on actual mrkt price changes </w:t>
      </w:r>
      <w:r w:rsidRPr="00F04139">
        <w:rPr>
          <w:b/>
          <w:lang w:val="en-CA" w:eastAsia="en-CA"/>
        </w:rPr>
        <w:t>(</w:t>
      </w:r>
      <w:r w:rsidRPr="00F04139">
        <w:rPr>
          <w:b/>
          <w:i/>
          <w:color w:val="1006E0"/>
          <w:lang w:val="en-CA" w:eastAsia="en-CA"/>
        </w:rPr>
        <w:t>Coventree</w:t>
      </w:r>
      <w:r w:rsidRPr="00F04139">
        <w:rPr>
          <w:b/>
          <w:lang w:val="en-CA" w:eastAsia="en-CA"/>
        </w:rPr>
        <w:t xml:space="preserve">). </w:t>
      </w:r>
    </w:p>
    <w:p w:rsidR="006B4DA2" w:rsidRPr="006B4DA2" w:rsidRDefault="00E07869" w:rsidP="00FF0B61">
      <w:pPr>
        <w:spacing w:before="60" w:after="0" w:line="240" w:lineRule="auto"/>
        <w:rPr>
          <w:b/>
          <w:szCs w:val="20"/>
        </w:rPr>
      </w:pPr>
      <w:r>
        <w:rPr>
          <w:b/>
          <w:szCs w:val="20"/>
          <w:u w:val="single"/>
        </w:rPr>
        <w:lastRenderedPageBreak/>
        <w:t>M</w:t>
      </w:r>
      <w:r w:rsidR="006B4DA2" w:rsidRPr="006B4DA2">
        <w:rPr>
          <w:b/>
          <w:szCs w:val="20"/>
          <w:u w:val="single"/>
        </w:rPr>
        <w:t>ateriality</w:t>
      </w:r>
      <w:r w:rsidR="00981460">
        <w:rPr>
          <w:b/>
          <w:szCs w:val="20"/>
          <w:u w:val="single"/>
        </w:rPr>
        <w:t xml:space="preserve"> of Future/Potential Info</w:t>
      </w:r>
      <w:r w:rsidR="006B4DA2" w:rsidRPr="006B4DA2">
        <w:rPr>
          <w:b/>
          <w:szCs w:val="20"/>
        </w:rPr>
        <w:t>:</w:t>
      </w:r>
    </w:p>
    <w:p w:rsidR="00C372CB" w:rsidRPr="00C372CB" w:rsidRDefault="006B4DA2" w:rsidP="00FF0B61">
      <w:pPr>
        <w:pStyle w:val="ListParagraph"/>
        <w:numPr>
          <w:ilvl w:val="0"/>
          <w:numId w:val="25"/>
        </w:numPr>
        <w:spacing w:after="60"/>
        <w:rPr>
          <w:b/>
          <w:szCs w:val="20"/>
        </w:rPr>
      </w:pPr>
      <w:r w:rsidRPr="006B4DA2">
        <w:rPr>
          <w:b/>
          <w:szCs w:val="20"/>
        </w:rPr>
        <w:t>Probability/Magnitude Test</w:t>
      </w:r>
      <w:r w:rsidR="00D838ED">
        <w:rPr>
          <w:b/>
          <w:szCs w:val="20"/>
        </w:rPr>
        <w:t xml:space="preserve"> (</w:t>
      </w:r>
      <w:r w:rsidR="00D838ED" w:rsidRPr="00D838ED">
        <w:rPr>
          <w:b/>
          <w:i/>
          <w:color w:val="1006E0"/>
          <w:szCs w:val="20"/>
        </w:rPr>
        <w:t>YBM</w:t>
      </w:r>
      <w:r w:rsidR="00D838ED">
        <w:rPr>
          <w:b/>
          <w:szCs w:val="20"/>
        </w:rPr>
        <w:t>)</w:t>
      </w:r>
      <w:r w:rsidRPr="006B4DA2">
        <w:rPr>
          <w:b/>
          <w:szCs w:val="20"/>
        </w:rPr>
        <w:t xml:space="preserve">: </w:t>
      </w:r>
      <w:r w:rsidRPr="006B4DA2">
        <w:rPr>
          <w:szCs w:val="20"/>
        </w:rPr>
        <w:t xml:space="preserve">The materiality of a potential future event depends on </w:t>
      </w:r>
      <w:r w:rsidRPr="006B4DA2">
        <w:rPr>
          <w:b/>
          <w:szCs w:val="20"/>
        </w:rPr>
        <w:t>(a)</w:t>
      </w:r>
      <w:r w:rsidRPr="006B4DA2">
        <w:rPr>
          <w:szCs w:val="20"/>
        </w:rPr>
        <w:t xml:space="preserve"> an assessment of the probability that the event will occur having regard to all the known or ascertainable facts, and </w:t>
      </w:r>
      <w:r w:rsidRPr="006B4DA2">
        <w:rPr>
          <w:b/>
          <w:szCs w:val="20"/>
        </w:rPr>
        <w:t>(b)</w:t>
      </w:r>
      <w:r w:rsidRPr="006B4DA2">
        <w:rPr>
          <w:szCs w:val="20"/>
        </w:rPr>
        <w:t xml:space="preserve"> an assessment of the magnitude or significance of the chang</w:t>
      </w:r>
      <w:r w:rsidR="00BA5D62">
        <w:rPr>
          <w:szCs w:val="20"/>
        </w:rPr>
        <w:t>e, in terms of whether the info</w:t>
      </w:r>
      <w:r w:rsidRPr="006B4DA2">
        <w:rPr>
          <w:szCs w:val="20"/>
        </w:rPr>
        <w:t xml:space="preserve"> would be viewed by reasonable investors as important info for making a decision to buy, sell, or continue to hold their securit</w:t>
      </w:r>
      <w:r>
        <w:rPr>
          <w:szCs w:val="20"/>
        </w:rPr>
        <w:t>ies (</w:t>
      </w:r>
      <w:r w:rsidRPr="006B4DA2">
        <w:rPr>
          <w:b/>
          <w:i/>
          <w:color w:val="1006E0"/>
          <w:szCs w:val="20"/>
        </w:rPr>
        <w:t>Donnini</w:t>
      </w:r>
      <w:r>
        <w:rPr>
          <w:b/>
          <w:i/>
          <w:color w:val="1006E0"/>
          <w:szCs w:val="20"/>
        </w:rPr>
        <w:t xml:space="preserve"> – </w:t>
      </w:r>
      <w:r w:rsidR="00BA5D62" w:rsidRPr="00BA5D62">
        <w:rPr>
          <w:i/>
          <w:szCs w:val="20"/>
        </w:rPr>
        <w:t xml:space="preserve">D </w:t>
      </w:r>
      <w:r w:rsidRPr="00BA5D62">
        <w:rPr>
          <w:i/>
          <w:szCs w:val="20"/>
        </w:rPr>
        <w:t xml:space="preserve">learned </w:t>
      </w:r>
      <w:r w:rsidR="00BA5D62" w:rsidRPr="00BA5D62">
        <w:rPr>
          <w:i/>
          <w:szCs w:val="20"/>
        </w:rPr>
        <w:t>about</w:t>
      </w:r>
      <w:r w:rsidRPr="00BA5D62">
        <w:rPr>
          <w:i/>
          <w:szCs w:val="20"/>
        </w:rPr>
        <w:t xml:space="preserve"> </w:t>
      </w:r>
      <w:r w:rsidR="00BA5D62" w:rsidRPr="00BA5D62">
        <w:rPr>
          <w:i/>
          <w:szCs w:val="20"/>
        </w:rPr>
        <w:t xml:space="preserve">a </w:t>
      </w:r>
      <w:r w:rsidRPr="00BA5D62">
        <w:rPr>
          <w:i/>
          <w:szCs w:val="20"/>
        </w:rPr>
        <w:t xml:space="preserve">second financing </w:t>
      </w:r>
      <w:r w:rsidR="00BA5D62" w:rsidRPr="00BA5D62">
        <w:rPr>
          <w:i/>
          <w:szCs w:val="20"/>
        </w:rPr>
        <w:t xml:space="preserve">deal </w:t>
      </w:r>
      <w:r w:rsidRPr="00BA5D62">
        <w:rPr>
          <w:i/>
          <w:szCs w:val="20"/>
        </w:rPr>
        <w:t>in a 3-min “hallway” conversation and then traded K</w:t>
      </w:r>
      <w:r w:rsidR="005F3623">
        <w:rPr>
          <w:i/>
          <w:szCs w:val="20"/>
        </w:rPr>
        <w:t xml:space="preserve">asten stock based on this info </w:t>
      </w:r>
      <w:r w:rsidR="005F3623">
        <w:rPr>
          <w:b/>
          <w:szCs w:val="20"/>
        </w:rPr>
        <w:t>// OSC Held:</w:t>
      </w:r>
      <w:r w:rsidRPr="00BA5D62">
        <w:rPr>
          <w:i/>
          <w:szCs w:val="20"/>
        </w:rPr>
        <w:t xml:space="preserve"> </w:t>
      </w:r>
      <w:r w:rsidRPr="00D838ED">
        <w:rPr>
          <w:szCs w:val="20"/>
        </w:rPr>
        <w:t>this was material info b/c negotiations for this financi</w:t>
      </w:r>
      <w:r w:rsidR="00BA5D62" w:rsidRPr="00D838ED">
        <w:rPr>
          <w:szCs w:val="20"/>
        </w:rPr>
        <w:t>ng were “sufficiently advanced”).</w:t>
      </w:r>
      <w:r w:rsidR="00BA5D62">
        <w:rPr>
          <w:szCs w:val="20"/>
        </w:rPr>
        <w:t xml:space="preserve"> </w:t>
      </w:r>
    </w:p>
    <w:p w:rsidR="00C372CB" w:rsidRPr="00AD3C82" w:rsidRDefault="00C372CB" w:rsidP="00FF0B61">
      <w:pPr>
        <w:pStyle w:val="ListParagraph"/>
        <w:numPr>
          <w:ilvl w:val="1"/>
          <w:numId w:val="25"/>
        </w:numPr>
        <w:spacing w:before="60" w:after="60"/>
        <w:rPr>
          <w:b/>
          <w:szCs w:val="20"/>
        </w:rPr>
      </w:pPr>
      <w:r w:rsidRPr="00C372CB">
        <w:rPr>
          <w:lang w:val="en-CA" w:eastAsia="en-CA"/>
        </w:rPr>
        <w:t xml:space="preserve">Muddies the water w/ </w:t>
      </w:r>
      <w:r w:rsidRPr="00C372CB">
        <w:rPr>
          <w:b/>
          <w:i/>
          <w:color w:val="1006E0"/>
          <w:lang w:val="en-CA" w:eastAsia="en-CA"/>
        </w:rPr>
        <w:t>Kapusta</w:t>
      </w:r>
      <w:r w:rsidRPr="00C372CB">
        <w:rPr>
          <w:i/>
          <w:lang w:val="en-CA" w:eastAsia="en-CA"/>
        </w:rPr>
        <w:t xml:space="preserve"> </w:t>
      </w:r>
      <w:r w:rsidRPr="00C372CB">
        <w:rPr>
          <w:lang w:val="en-CA" w:eastAsia="en-CA"/>
        </w:rPr>
        <w:t xml:space="preserve">and can find something to be material even before a handshake deal. </w:t>
      </w:r>
    </w:p>
    <w:p w:rsidR="00C372CB" w:rsidRPr="00BA5D62" w:rsidRDefault="00C372CB" w:rsidP="00FF0B61">
      <w:pPr>
        <w:pStyle w:val="ListParagraph"/>
        <w:spacing w:after="0"/>
        <w:rPr>
          <w:b/>
          <w:szCs w:val="20"/>
        </w:rPr>
      </w:pPr>
    </w:p>
    <w:p w:rsidR="00836506" w:rsidRPr="00136F4A" w:rsidRDefault="00836506" w:rsidP="00FF0B61">
      <w:pPr>
        <w:pStyle w:val="Heading3"/>
        <w:spacing w:line="240" w:lineRule="auto"/>
        <w:rPr>
          <w:lang w:val="en-CA" w:eastAsia="en-CA"/>
        </w:rPr>
      </w:pPr>
      <w:bookmarkStart w:id="75" w:name="_Toc468980446"/>
      <w:r w:rsidRPr="00601754">
        <w:rPr>
          <w:lang w:val="en-CA" w:eastAsia="en-CA"/>
        </w:rPr>
        <w:t>[3] The material info relied on was NOT GENERALLY DISCLOSED</w:t>
      </w:r>
      <w:bookmarkEnd w:id="75"/>
    </w:p>
    <w:p w:rsidR="00BB6975" w:rsidRDefault="00AD20FA" w:rsidP="00FF0B61">
      <w:pPr>
        <w:spacing w:after="0" w:line="240" w:lineRule="auto"/>
        <w:rPr>
          <w:rFonts w:ascii="Calibri" w:hAnsi="Calibri"/>
          <w:bCs/>
          <w:position w:val="4"/>
          <w:szCs w:val="21"/>
        </w:rPr>
      </w:pPr>
      <w:r>
        <w:rPr>
          <w:rFonts w:ascii="Calibri" w:hAnsi="Calibri"/>
          <w:b/>
          <w:bCs/>
          <w:position w:val="4"/>
          <w:szCs w:val="21"/>
        </w:rPr>
        <w:t>Info cannot be public</w:t>
      </w:r>
      <w:r w:rsidR="003C363B">
        <w:rPr>
          <w:rFonts w:ascii="Calibri" w:hAnsi="Calibri"/>
          <w:b/>
          <w:bCs/>
          <w:position w:val="4"/>
          <w:szCs w:val="21"/>
        </w:rPr>
        <w:t>;</w:t>
      </w:r>
      <w:r>
        <w:rPr>
          <w:rFonts w:ascii="Calibri" w:hAnsi="Calibri"/>
          <w:b/>
          <w:bCs/>
          <w:position w:val="4"/>
          <w:szCs w:val="21"/>
        </w:rPr>
        <w:t xml:space="preserve"> two parts to making information public:</w:t>
      </w:r>
      <w:r w:rsidR="00137B78">
        <w:rPr>
          <w:rFonts w:ascii="Calibri" w:hAnsi="Calibri"/>
          <w:bCs/>
          <w:position w:val="4"/>
          <w:szCs w:val="21"/>
        </w:rPr>
        <w:t xml:space="preserve"> </w:t>
      </w:r>
      <w:r w:rsidR="00BB6975" w:rsidRPr="00BB6975">
        <w:rPr>
          <w:rFonts w:ascii="Calibri" w:hAnsi="Calibri"/>
          <w:b/>
          <w:bCs/>
          <w:position w:val="4"/>
          <w:szCs w:val="21"/>
        </w:rPr>
        <w:t>(1)</w:t>
      </w:r>
      <w:r w:rsidR="00C763FF">
        <w:rPr>
          <w:rFonts w:ascii="Calibri" w:hAnsi="Calibri"/>
          <w:bCs/>
          <w:position w:val="4"/>
          <w:szCs w:val="21"/>
        </w:rPr>
        <w:t xml:space="preserve"> D</w:t>
      </w:r>
      <w:r w:rsidR="00BB6975" w:rsidRPr="00BB6975">
        <w:rPr>
          <w:rFonts w:ascii="Calibri" w:hAnsi="Calibri"/>
          <w:bCs/>
          <w:position w:val="4"/>
          <w:szCs w:val="21"/>
        </w:rPr>
        <w:t>isclosure (releasing the info</w:t>
      </w:r>
      <w:r w:rsidR="00C763FF">
        <w:rPr>
          <w:rFonts w:ascii="Calibri" w:hAnsi="Calibri"/>
          <w:bCs/>
          <w:position w:val="4"/>
          <w:szCs w:val="21"/>
        </w:rPr>
        <w:t xml:space="preserve"> through Continuous Disclosure</w:t>
      </w:r>
      <w:r w:rsidR="00137B78">
        <w:rPr>
          <w:rFonts w:ascii="Calibri" w:hAnsi="Calibri"/>
          <w:bCs/>
          <w:position w:val="4"/>
          <w:szCs w:val="21"/>
        </w:rPr>
        <w:t xml:space="preserve">); </w:t>
      </w:r>
      <w:r w:rsidR="00BB6975" w:rsidRPr="00BB6975">
        <w:rPr>
          <w:rFonts w:ascii="Calibri" w:hAnsi="Calibri"/>
          <w:b/>
          <w:bCs/>
          <w:position w:val="4"/>
          <w:szCs w:val="21"/>
        </w:rPr>
        <w:t xml:space="preserve">(2) </w:t>
      </w:r>
      <w:r w:rsidR="00C763FF">
        <w:rPr>
          <w:rFonts w:ascii="Calibri" w:hAnsi="Calibri"/>
          <w:bCs/>
          <w:position w:val="4"/>
          <w:szCs w:val="21"/>
        </w:rPr>
        <w:t>D</w:t>
      </w:r>
      <w:r w:rsidR="00BB6975" w:rsidRPr="00BB6975">
        <w:rPr>
          <w:rFonts w:ascii="Calibri" w:hAnsi="Calibri"/>
          <w:bCs/>
          <w:position w:val="4"/>
          <w:szCs w:val="21"/>
        </w:rPr>
        <w:t>issemination (ensuring the info is distributed broadly enough).</w:t>
      </w:r>
    </w:p>
    <w:p w:rsidR="00BB6975" w:rsidRPr="00BB6975" w:rsidRDefault="00BB6975" w:rsidP="00FF0B61">
      <w:pPr>
        <w:spacing w:after="0" w:line="240" w:lineRule="auto"/>
        <w:rPr>
          <w:szCs w:val="20"/>
        </w:rPr>
      </w:pPr>
    </w:p>
    <w:p w:rsidR="00231DF5" w:rsidRDefault="00231DF5" w:rsidP="00FF0B61">
      <w:pPr>
        <w:spacing w:after="0" w:line="240" w:lineRule="auto"/>
        <w:rPr>
          <w:b/>
          <w:szCs w:val="20"/>
        </w:rPr>
      </w:pPr>
      <w:r w:rsidRPr="00436465">
        <w:rPr>
          <w:b/>
          <w:szCs w:val="20"/>
        </w:rPr>
        <w:t>2 factors to determine whether material inf</w:t>
      </w:r>
      <w:r w:rsidR="004222EC">
        <w:rPr>
          <w:b/>
          <w:szCs w:val="20"/>
        </w:rPr>
        <w:t>o has been Disseminated (</w:t>
      </w:r>
      <w:r w:rsidR="004222EC" w:rsidRPr="004222EC">
        <w:rPr>
          <w:b/>
          <w:color w:val="7030A0"/>
          <w:szCs w:val="20"/>
        </w:rPr>
        <w:t>NP 51-201</w:t>
      </w:r>
      <w:r w:rsidR="009B7804">
        <w:rPr>
          <w:b/>
          <w:color w:val="7030A0"/>
          <w:szCs w:val="20"/>
        </w:rPr>
        <w:t xml:space="preserve"> s.3.5</w:t>
      </w:r>
      <w:r w:rsidR="007D017A">
        <w:rPr>
          <w:b/>
          <w:color w:val="7030A0"/>
          <w:szCs w:val="20"/>
        </w:rPr>
        <w:t>(2)</w:t>
      </w:r>
      <w:r w:rsidR="004222EC">
        <w:rPr>
          <w:b/>
          <w:szCs w:val="20"/>
        </w:rPr>
        <w:t>)</w:t>
      </w:r>
      <w:r w:rsidRPr="00436465">
        <w:rPr>
          <w:b/>
          <w:szCs w:val="20"/>
        </w:rPr>
        <w:t xml:space="preserve">: </w:t>
      </w:r>
    </w:p>
    <w:p w:rsidR="004222EC" w:rsidRPr="009B7804" w:rsidRDefault="004222EC" w:rsidP="00FF0B61">
      <w:pPr>
        <w:pStyle w:val="ListParagraph"/>
        <w:numPr>
          <w:ilvl w:val="0"/>
          <w:numId w:val="99"/>
        </w:numPr>
        <w:spacing w:after="0"/>
        <w:rPr>
          <w:szCs w:val="20"/>
        </w:rPr>
      </w:pPr>
      <w:r w:rsidRPr="009B7804">
        <w:rPr>
          <w:szCs w:val="20"/>
        </w:rPr>
        <w:t xml:space="preserve">Disseminated in a manner calculated to </w:t>
      </w:r>
      <w:r w:rsidRPr="00601754">
        <w:rPr>
          <w:szCs w:val="20"/>
          <w:u w:val="single"/>
        </w:rPr>
        <w:t>effectively reach the marketplace</w:t>
      </w:r>
      <w:r w:rsidR="00183314">
        <w:rPr>
          <w:szCs w:val="20"/>
        </w:rPr>
        <w:t xml:space="preserve"> </w:t>
      </w:r>
      <w:r w:rsidR="00183314" w:rsidRPr="00183314">
        <w:rPr>
          <w:szCs w:val="20"/>
        </w:rPr>
        <w:t>(Consider company’s traditional practices for publicly disclosing information, and how broadly investors and the investment community follow the company),</w:t>
      </w:r>
      <w:r w:rsidR="00183314">
        <w:rPr>
          <w:szCs w:val="20"/>
        </w:rPr>
        <w:t xml:space="preserve"> and</w:t>
      </w:r>
    </w:p>
    <w:p w:rsidR="004222EC" w:rsidRDefault="004222EC" w:rsidP="00FF0B61">
      <w:pPr>
        <w:pStyle w:val="ListParagraph"/>
        <w:numPr>
          <w:ilvl w:val="0"/>
          <w:numId w:val="99"/>
        </w:numPr>
        <w:spacing w:after="0"/>
        <w:rPr>
          <w:szCs w:val="20"/>
        </w:rPr>
      </w:pPr>
      <w:r w:rsidRPr="009B7804">
        <w:rPr>
          <w:szCs w:val="20"/>
        </w:rPr>
        <w:t xml:space="preserve">Investors must have a </w:t>
      </w:r>
      <w:r w:rsidRPr="00601754">
        <w:rPr>
          <w:szCs w:val="20"/>
          <w:u w:val="single"/>
        </w:rPr>
        <w:t>reasonable amount of t</w:t>
      </w:r>
      <w:r w:rsidR="00183314" w:rsidRPr="00601754">
        <w:rPr>
          <w:szCs w:val="20"/>
          <w:u w:val="single"/>
        </w:rPr>
        <w:t>ime to analyze the information</w:t>
      </w:r>
      <w:r w:rsidR="00183314">
        <w:rPr>
          <w:szCs w:val="20"/>
        </w:rPr>
        <w:t xml:space="preserve"> </w:t>
      </w:r>
      <w:r w:rsidR="00183314" w:rsidRPr="00183314">
        <w:rPr>
          <w:szCs w:val="20"/>
        </w:rPr>
        <w:t>(Consider circumstances, nature and complexity of the information, nature of the market for the company’s securities, manner used to release the information)</w:t>
      </w:r>
      <w:r w:rsidR="00183314">
        <w:rPr>
          <w:szCs w:val="20"/>
        </w:rPr>
        <w:t xml:space="preserve">. </w:t>
      </w:r>
    </w:p>
    <w:p w:rsidR="00F4300C" w:rsidRPr="00F4300C" w:rsidRDefault="00F4300C" w:rsidP="00FF0B61">
      <w:pPr>
        <w:pStyle w:val="ListParagraph"/>
        <w:numPr>
          <w:ilvl w:val="1"/>
          <w:numId w:val="99"/>
        </w:numPr>
        <w:spacing w:after="0"/>
        <w:rPr>
          <w:b/>
          <w:lang w:val="en-CA" w:eastAsia="en-CA"/>
        </w:rPr>
      </w:pPr>
      <w:r>
        <w:rPr>
          <w:b/>
          <w:lang w:val="en-CA" w:eastAsia="en-CA"/>
        </w:rPr>
        <w:t>Recommend</w:t>
      </w:r>
      <w:r w:rsidRPr="00F4300C">
        <w:rPr>
          <w:lang w:val="en-CA" w:eastAsia="en-CA"/>
        </w:rPr>
        <w:t>: A disclosure model centred around news release disclosure of material info, followed by an open and accessible conference call to discuss the info in the release</w:t>
      </w:r>
      <w:r>
        <w:rPr>
          <w:b/>
          <w:lang w:val="en-CA" w:eastAsia="en-CA"/>
        </w:rPr>
        <w:t xml:space="preserve"> (</w:t>
      </w:r>
      <w:r w:rsidRPr="00F4300C">
        <w:rPr>
          <w:b/>
          <w:color w:val="7030A0"/>
          <w:lang w:val="en-CA" w:eastAsia="en-CA"/>
        </w:rPr>
        <w:t>s. 3.5(5)).</w:t>
      </w:r>
    </w:p>
    <w:p w:rsidR="00A30CB7" w:rsidRPr="00B51BA0" w:rsidRDefault="00AE6312" w:rsidP="00FF0B61">
      <w:pPr>
        <w:pStyle w:val="ListParagraph"/>
        <w:numPr>
          <w:ilvl w:val="1"/>
          <w:numId w:val="99"/>
        </w:numPr>
        <w:spacing w:after="0"/>
        <w:rPr>
          <w:b/>
          <w:lang w:val="en-CA" w:eastAsia="en-CA"/>
        </w:rPr>
      </w:pPr>
      <w:r w:rsidRPr="00AE6312">
        <w:rPr>
          <w:b/>
          <w:szCs w:val="20"/>
        </w:rPr>
        <w:t xml:space="preserve">NB: </w:t>
      </w:r>
      <w:r w:rsidRPr="00AE6312">
        <w:rPr>
          <w:szCs w:val="20"/>
        </w:rPr>
        <w:t>Inte</w:t>
      </w:r>
      <w:r w:rsidR="00FC5234">
        <w:rPr>
          <w:szCs w:val="20"/>
        </w:rPr>
        <w:t>rnet posting is not enough (</w:t>
      </w:r>
      <w:r w:rsidR="00FC5234" w:rsidRPr="00FC5234">
        <w:rPr>
          <w:b/>
          <w:color w:val="7030A0"/>
          <w:szCs w:val="20"/>
        </w:rPr>
        <w:t>s.3.5(6)</w:t>
      </w:r>
      <w:r w:rsidR="00FC5234">
        <w:rPr>
          <w:szCs w:val="20"/>
        </w:rPr>
        <w:t>)</w:t>
      </w:r>
    </w:p>
    <w:p w:rsidR="00845982" w:rsidRPr="00845982" w:rsidRDefault="00B51BA0" w:rsidP="00FF0B61">
      <w:pPr>
        <w:pStyle w:val="ListParagraph"/>
        <w:numPr>
          <w:ilvl w:val="1"/>
          <w:numId w:val="99"/>
        </w:numPr>
        <w:spacing w:after="0"/>
        <w:rPr>
          <w:b/>
          <w:lang w:val="en-CA" w:eastAsia="en-CA"/>
        </w:rPr>
      </w:pPr>
      <w:r w:rsidRPr="00B51BA0">
        <w:rPr>
          <w:b/>
          <w:i/>
          <w:color w:val="1006E0"/>
          <w:szCs w:val="20"/>
        </w:rPr>
        <w:t>Green v Charterhouse</w:t>
      </w:r>
      <w:r w:rsidRPr="00B51BA0">
        <w:rPr>
          <w:i/>
          <w:color w:val="1006E0"/>
          <w:szCs w:val="20"/>
        </w:rPr>
        <w:t xml:space="preserve"> </w:t>
      </w:r>
      <w:r>
        <w:rPr>
          <w:i/>
          <w:szCs w:val="20"/>
        </w:rPr>
        <w:t xml:space="preserve">– </w:t>
      </w:r>
      <w:r>
        <w:rPr>
          <w:szCs w:val="20"/>
        </w:rPr>
        <w:t>Dissemination times will shorted w/ advances in tech.</w:t>
      </w:r>
    </w:p>
    <w:p w:rsidR="00B51BA0" w:rsidRPr="00B51BA0" w:rsidRDefault="00B51BA0" w:rsidP="00FF0B61">
      <w:pPr>
        <w:pStyle w:val="ListParagraph"/>
        <w:spacing w:after="0"/>
        <w:ind w:left="1440"/>
        <w:rPr>
          <w:b/>
          <w:lang w:val="en-CA" w:eastAsia="en-CA"/>
        </w:rPr>
      </w:pPr>
      <w:r>
        <w:rPr>
          <w:szCs w:val="20"/>
        </w:rPr>
        <w:t xml:space="preserve"> </w:t>
      </w:r>
    </w:p>
    <w:p w:rsidR="00F67D08" w:rsidRPr="007F401B" w:rsidRDefault="000475C8" w:rsidP="00FF0B61">
      <w:pPr>
        <w:pStyle w:val="Heading2"/>
        <w:spacing w:line="240" w:lineRule="auto"/>
        <w:rPr>
          <w:lang w:val="en-CA" w:eastAsia="en-CA"/>
        </w:rPr>
      </w:pPr>
      <w:bookmarkStart w:id="76" w:name="_Toc468980447"/>
      <w:r w:rsidRPr="00EA41AC">
        <w:rPr>
          <w:lang w:val="en-CA" w:eastAsia="en-CA"/>
        </w:rPr>
        <w:t>DEFENSES</w:t>
      </w:r>
      <w:bookmarkEnd w:id="76"/>
      <w:r w:rsidR="00C5252B">
        <w:rPr>
          <w:lang w:val="en-CA" w:eastAsia="en-CA"/>
        </w:rPr>
        <w:t xml:space="preserve"> </w:t>
      </w:r>
    </w:p>
    <w:p w:rsidR="000475C8" w:rsidRPr="00295CB7" w:rsidRDefault="000475C8" w:rsidP="00FF0B61">
      <w:pPr>
        <w:pStyle w:val="ListParagraph"/>
        <w:numPr>
          <w:ilvl w:val="0"/>
          <w:numId w:val="93"/>
        </w:numPr>
        <w:ind w:left="360"/>
        <w:rPr>
          <w:b/>
          <w:lang w:val="en-CA" w:eastAsia="en-CA"/>
        </w:rPr>
      </w:pPr>
      <w:r w:rsidRPr="00295CB7">
        <w:rPr>
          <w:b/>
          <w:lang w:val="en-CA" w:eastAsia="en-CA"/>
        </w:rPr>
        <w:t>Not in a “</w:t>
      </w:r>
      <w:r w:rsidR="006A79DD" w:rsidRPr="00295CB7">
        <w:rPr>
          <w:b/>
          <w:lang w:val="en-CA" w:eastAsia="en-CA"/>
        </w:rPr>
        <w:t>S</w:t>
      </w:r>
      <w:r w:rsidR="00296019">
        <w:rPr>
          <w:b/>
          <w:lang w:val="en-CA" w:eastAsia="en-CA"/>
        </w:rPr>
        <w:t>pecial Relationship”</w:t>
      </w:r>
      <w:r w:rsidR="0084608C">
        <w:rPr>
          <w:b/>
          <w:lang w:val="en-CA" w:eastAsia="en-CA"/>
        </w:rPr>
        <w:t xml:space="preserve"> (IT and Tipping)</w:t>
      </w:r>
    </w:p>
    <w:p w:rsidR="00AE20B5" w:rsidRPr="00AE20B5" w:rsidRDefault="00EA5537" w:rsidP="00FF0B61">
      <w:pPr>
        <w:pStyle w:val="ListParagraph"/>
        <w:numPr>
          <w:ilvl w:val="1"/>
          <w:numId w:val="93"/>
        </w:numPr>
        <w:ind w:left="709"/>
        <w:rPr>
          <w:b/>
          <w:lang w:val="en-CA" w:eastAsia="en-CA"/>
        </w:rPr>
      </w:pPr>
      <w:r>
        <w:rPr>
          <w:b/>
          <w:lang w:val="en-CA" w:eastAsia="en-CA"/>
        </w:rPr>
        <w:t xml:space="preserve">E.g. </w:t>
      </w:r>
      <w:r w:rsidRPr="00EA5537">
        <w:rPr>
          <w:lang w:val="en-CA" w:eastAsia="en-CA"/>
        </w:rPr>
        <w:t xml:space="preserve">No special relationship </w:t>
      </w:r>
      <w:r w:rsidR="001B0CA9">
        <w:rPr>
          <w:lang w:val="en-CA" w:eastAsia="en-CA"/>
        </w:rPr>
        <w:t xml:space="preserve">if too early to be in “proposing” requirement under the definition of “special relationship” </w:t>
      </w:r>
      <w:r>
        <w:rPr>
          <w:lang w:val="en-CA" w:eastAsia="en-CA"/>
        </w:rPr>
        <w:t>(</w:t>
      </w:r>
      <w:r w:rsidR="009516A0" w:rsidRPr="009516A0">
        <w:rPr>
          <w:b/>
          <w:i/>
          <w:color w:val="1006E0"/>
          <w:lang w:val="en-CA" w:eastAsia="en-CA"/>
        </w:rPr>
        <w:t>Re Donald</w:t>
      </w:r>
      <w:r w:rsidR="009516A0" w:rsidRPr="009516A0">
        <w:rPr>
          <w:i/>
          <w:color w:val="1006E0"/>
          <w:lang w:val="en-CA" w:eastAsia="en-CA"/>
        </w:rPr>
        <w:t xml:space="preserve"> </w:t>
      </w:r>
      <w:r w:rsidR="009516A0">
        <w:rPr>
          <w:lang w:val="en-CA" w:eastAsia="en-CA"/>
        </w:rPr>
        <w:t xml:space="preserve">– </w:t>
      </w:r>
      <w:r>
        <w:rPr>
          <w:i/>
          <w:lang w:val="en-CA" w:eastAsia="en-CA"/>
        </w:rPr>
        <w:t>D</w:t>
      </w:r>
      <w:r w:rsidR="009516A0">
        <w:rPr>
          <w:i/>
          <w:lang w:val="en-CA" w:eastAsia="en-CA"/>
        </w:rPr>
        <w:t xml:space="preserve"> is VP. RIM has a private golf event where another VP (Wormald) is sitting next to Donald at dinner. W </w:t>
      </w:r>
      <w:r>
        <w:rPr>
          <w:i/>
          <w:lang w:val="en-CA" w:eastAsia="en-CA"/>
        </w:rPr>
        <w:t xml:space="preserve">starts talking about Certicom </w:t>
      </w:r>
      <w:r w:rsidR="009516A0">
        <w:rPr>
          <w:i/>
          <w:lang w:val="en-CA" w:eastAsia="en-CA"/>
        </w:rPr>
        <w:t>that is alrea</w:t>
      </w:r>
      <w:r>
        <w:rPr>
          <w:i/>
          <w:lang w:val="en-CA" w:eastAsia="en-CA"/>
        </w:rPr>
        <w:t>dy providing IT services to RIM</w:t>
      </w:r>
      <w:r w:rsidR="009516A0">
        <w:rPr>
          <w:i/>
          <w:lang w:val="en-CA" w:eastAsia="en-CA"/>
        </w:rPr>
        <w:t xml:space="preserve">. D goes out and buys Certicom shares. Months go by, and </w:t>
      </w:r>
      <w:r w:rsidR="00AE20B5">
        <w:rPr>
          <w:i/>
          <w:lang w:val="en-CA" w:eastAsia="en-CA"/>
        </w:rPr>
        <w:t xml:space="preserve">eventually </w:t>
      </w:r>
      <w:r w:rsidR="009516A0">
        <w:rPr>
          <w:i/>
          <w:lang w:val="en-CA" w:eastAsia="en-CA"/>
        </w:rPr>
        <w:t xml:space="preserve">RIM announces intention to take over Certicom to buy all of its shares (eventually for twice the price that D paid). </w:t>
      </w:r>
      <w:r w:rsidR="009516A0">
        <w:rPr>
          <w:b/>
          <w:lang w:val="en-CA" w:eastAsia="en-CA"/>
        </w:rPr>
        <w:t xml:space="preserve">// Held: </w:t>
      </w:r>
      <w:r w:rsidR="008A688F">
        <w:rPr>
          <w:lang w:val="en-CA" w:eastAsia="en-CA"/>
        </w:rPr>
        <w:t>This was not insider trading. ONSC could not establish a special relationship e</w:t>
      </w:r>
      <w:r>
        <w:rPr>
          <w:lang w:val="en-CA" w:eastAsia="en-CA"/>
        </w:rPr>
        <w:t xml:space="preserve">ither with W or D with Certicom). </w:t>
      </w:r>
    </w:p>
    <w:p w:rsidR="007943F4" w:rsidRPr="00D67ABD" w:rsidRDefault="00C84627" w:rsidP="00FF0B61">
      <w:pPr>
        <w:pStyle w:val="ListParagraph"/>
        <w:numPr>
          <w:ilvl w:val="0"/>
          <w:numId w:val="93"/>
        </w:numPr>
        <w:ind w:left="360"/>
        <w:rPr>
          <w:b/>
          <w:lang w:val="en-CA" w:eastAsia="en-CA"/>
        </w:rPr>
      </w:pPr>
      <w:r>
        <w:rPr>
          <w:b/>
          <w:lang w:val="en-CA" w:eastAsia="en-CA"/>
        </w:rPr>
        <w:t>Not</w:t>
      </w:r>
      <w:r w:rsidR="00CB2306">
        <w:rPr>
          <w:b/>
          <w:lang w:val="en-CA" w:eastAsia="en-CA"/>
        </w:rPr>
        <w:t xml:space="preserve"> a</w:t>
      </w:r>
      <w:r>
        <w:rPr>
          <w:b/>
          <w:lang w:val="en-CA" w:eastAsia="en-CA"/>
        </w:rPr>
        <w:t xml:space="preserve"> Material Fact or Change</w:t>
      </w:r>
      <w:r w:rsidR="00D67ABD">
        <w:rPr>
          <w:b/>
          <w:lang w:val="en-CA" w:eastAsia="en-CA"/>
        </w:rPr>
        <w:t xml:space="preserve"> </w:t>
      </w:r>
      <w:r w:rsidR="00D67ABD" w:rsidRPr="00D67ABD">
        <w:rPr>
          <w:lang w:val="en-CA" w:eastAsia="en-CA"/>
        </w:rPr>
        <w:sym w:font="Wingdings" w:char="F0E0"/>
      </w:r>
      <w:r w:rsidR="00D67ABD">
        <w:rPr>
          <w:lang w:val="en-CA" w:eastAsia="en-CA"/>
        </w:rPr>
        <w:t xml:space="preserve"> </w:t>
      </w:r>
      <w:r w:rsidR="007943F4" w:rsidRPr="00D67ABD">
        <w:rPr>
          <w:lang w:val="en-CA" w:eastAsia="en-CA"/>
        </w:rPr>
        <w:t>Look above at cases re: material</w:t>
      </w:r>
      <w:r w:rsidR="007A26E3">
        <w:rPr>
          <w:lang w:val="en-CA" w:eastAsia="en-CA"/>
        </w:rPr>
        <w:t>ity</w:t>
      </w:r>
      <w:r w:rsidR="008C384F">
        <w:rPr>
          <w:lang w:val="en-CA" w:eastAsia="en-CA"/>
        </w:rPr>
        <w:t xml:space="preserve"> (</w:t>
      </w:r>
      <w:r w:rsidR="008C384F">
        <w:rPr>
          <w:b/>
          <w:lang w:val="en-CA" w:eastAsia="en-CA"/>
        </w:rPr>
        <w:t xml:space="preserve">E.g. </w:t>
      </w:r>
      <w:r w:rsidR="008C384F" w:rsidRPr="008C384F">
        <w:rPr>
          <w:b/>
          <w:i/>
          <w:color w:val="1006E0"/>
          <w:lang w:val="en-CA" w:eastAsia="en-CA"/>
        </w:rPr>
        <w:t>Donnini</w:t>
      </w:r>
      <w:r>
        <w:rPr>
          <w:b/>
          <w:i/>
          <w:color w:val="1006E0"/>
          <w:lang w:val="en-CA" w:eastAsia="en-CA"/>
        </w:rPr>
        <w:t>; Kapusta</w:t>
      </w:r>
      <w:r w:rsidR="008C384F">
        <w:rPr>
          <w:b/>
          <w:lang w:val="en-CA" w:eastAsia="en-CA"/>
        </w:rPr>
        <w:t>)</w:t>
      </w:r>
      <w:r w:rsidR="0084608C">
        <w:rPr>
          <w:b/>
          <w:lang w:val="en-CA" w:eastAsia="en-CA"/>
        </w:rPr>
        <w:t xml:space="preserve"> (IT and Tipping)</w:t>
      </w:r>
    </w:p>
    <w:p w:rsidR="007928EB" w:rsidRPr="008A28B1" w:rsidRDefault="00B42C10" w:rsidP="00FF0B61">
      <w:pPr>
        <w:pStyle w:val="ListParagraph"/>
        <w:numPr>
          <w:ilvl w:val="0"/>
          <w:numId w:val="93"/>
        </w:numPr>
        <w:ind w:left="360"/>
        <w:rPr>
          <w:lang w:val="en-CA" w:eastAsia="en-CA"/>
        </w:rPr>
      </w:pPr>
      <w:r w:rsidRPr="008A28B1">
        <w:rPr>
          <w:b/>
          <w:lang w:val="en-CA" w:eastAsia="en-CA"/>
        </w:rPr>
        <w:t xml:space="preserve">Reasonable </w:t>
      </w:r>
      <w:r w:rsidR="00F43CAA" w:rsidRPr="008A28B1">
        <w:rPr>
          <w:b/>
          <w:lang w:val="en-CA" w:eastAsia="en-CA"/>
        </w:rPr>
        <w:t>Mistake of Fact re: Something being</w:t>
      </w:r>
      <w:r w:rsidRPr="008A28B1">
        <w:rPr>
          <w:b/>
          <w:lang w:val="en-CA" w:eastAsia="en-CA"/>
        </w:rPr>
        <w:t xml:space="preserve"> Material non-disclosed information</w:t>
      </w:r>
      <w:r w:rsidR="0084608C">
        <w:rPr>
          <w:b/>
          <w:lang w:val="en-CA" w:eastAsia="en-CA"/>
        </w:rPr>
        <w:t xml:space="preserve"> (IT) </w:t>
      </w:r>
    </w:p>
    <w:p w:rsidR="004100DE" w:rsidRPr="00360835" w:rsidRDefault="004100DE" w:rsidP="00FF0B61">
      <w:pPr>
        <w:pStyle w:val="ListParagraph"/>
        <w:numPr>
          <w:ilvl w:val="1"/>
          <w:numId w:val="93"/>
        </w:numPr>
        <w:ind w:left="720"/>
        <w:rPr>
          <w:b/>
          <w:color w:val="1006E0"/>
          <w:lang w:val="en-CA" w:eastAsia="en-CA"/>
        </w:rPr>
      </w:pPr>
      <w:r w:rsidRPr="004100DE">
        <w:rPr>
          <w:szCs w:val="18"/>
        </w:rPr>
        <w:t>To establish this defence, the onus is on X to prove that he or she had a genuine reasonable belief that the information in question was not material (recall: definition of “material fact” is subjective, not objective, in this context)</w:t>
      </w:r>
      <w:r>
        <w:rPr>
          <w:szCs w:val="18"/>
        </w:rPr>
        <w:t xml:space="preserve"> (</w:t>
      </w:r>
      <w:r w:rsidRPr="004100DE">
        <w:rPr>
          <w:b/>
          <w:i/>
          <w:color w:val="1006E0"/>
          <w:szCs w:val="18"/>
        </w:rPr>
        <w:t>Lewis</w:t>
      </w:r>
      <w:r w:rsidRPr="004100DE">
        <w:rPr>
          <w:b/>
          <w:color w:val="1006E0"/>
          <w:szCs w:val="18"/>
        </w:rPr>
        <w:t>)</w:t>
      </w:r>
      <w:r w:rsidRPr="004100DE">
        <w:rPr>
          <w:szCs w:val="18"/>
        </w:rPr>
        <w:t xml:space="preserve">. </w:t>
      </w:r>
    </w:p>
    <w:p w:rsidR="00360835" w:rsidRPr="00360835" w:rsidRDefault="00360835" w:rsidP="00FF0B61">
      <w:pPr>
        <w:pStyle w:val="ListParagraph"/>
        <w:numPr>
          <w:ilvl w:val="1"/>
          <w:numId w:val="104"/>
        </w:numPr>
        <w:ind w:left="1341"/>
        <w:rPr>
          <w:lang w:val="en-CA" w:eastAsia="en-CA"/>
        </w:rPr>
      </w:pPr>
      <w:r w:rsidRPr="00360835">
        <w:rPr>
          <w:lang w:val="en-CA" w:eastAsia="en-CA"/>
        </w:rPr>
        <w:t xml:space="preserve">Did he believe that this information would have a substantial effect on the company’s share price? </w:t>
      </w:r>
    </w:p>
    <w:p w:rsidR="00360835" w:rsidRPr="00360835" w:rsidRDefault="00360835" w:rsidP="00FF0B61">
      <w:pPr>
        <w:pStyle w:val="ListParagraph"/>
        <w:numPr>
          <w:ilvl w:val="1"/>
          <w:numId w:val="104"/>
        </w:numPr>
        <w:ind w:left="1341"/>
        <w:rPr>
          <w:lang w:val="en-CA" w:eastAsia="en-CA"/>
        </w:rPr>
      </w:pPr>
      <w:r>
        <w:rPr>
          <w:lang w:val="en-CA" w:eastAsia="en-CA"/>
        </w:rPr>
        <w:t>Onus on A</w:t>
      </w:r>
      <w:r w:rsidRPr="00360835">
        <w:rPr>
          <w:lang w:val="en-CA" w:eastAsia="en-CA"/>
        </w:rPr>
        <w:t xml:space="preserve"> to show on a BoP that she had a reasonable belief that the information did not constitute a material fact</w:t>
      </w:r>
    </w:p>
    <w:p w:rsidR="00C93B3E" w:rsidRPr="00C93B3E" w:rsidRDefault="007928EB" w:rsidP="00FF0B61">
      <w:pPr>
        <w:pStyle w:val="ListParagraph"/>
        <w:numPr>
          <w:ilvl w:val="1"/>
          <w:numId w:val="93"/>
        </w:numPr>
        <w:ind w:left="720"/>
        <w:rPr>
          <w:b/>
          <w:color w:val="1006E0"/>
          <w:lang w:val="en-CA" w:eastAsia="en-CA"/>
        </w:rPr>
      </w:pPr>
      <w:r>
        <w:rPr>
          <w:b/>
          <w:lang w:val="en-CA" w:eastAsia="en-CA"/>
        </w:rPr>
        <w:t xml:space="preserve">E.g. Successful: </w:t>
      </w:r>
      <w:r w:rsidR="00B42C10" w:rsidRPr="00B42C10">
        <w:rPr>
          <w:b/>
          <w:i/>
          <w:color w:val="1006E0"/>
          <w:lang w:val="en-CA" w:eastAsia="en-CA"/>
        </w:rPr>
        <w:t xml:space="preserve">Lewis v Fingold, </w:t>
      </w:r>
      <w:r w:rsidR="00B42C10" w:rsidRPr="00B42C10">
        <w:rPr>
          <w:b/>
          <w:color w:val="1006E0"/>
          <w:lang w:val="en-CA" w:eastAsia="en-CA"/>
        </w:rPr>
        <w:t>1999</w:t>
      </w:r>
      <w:r w:rsidR="00B42C10">
        <w:rPr>
          <w:b/>
          <w:color w:val="1006E0"/>
          <w:lang w:val="en-CA" w:eastAsia="en-CA"/>
        </w:rPr>
        <w:t xml:space="preserve"> – </w:t>
      </w:r>
      <w:r w:rsidR="0068449D">
        <w:rPr>
          <w:i/>
          <w:lang w:val="en-CA" w:eastAsia="en-CA"/>
        </w:rPr>
        <w:t>F</w:t>
      </w:r>
      <w:r w:rsidR="00B42C10">
        <w:rPr>
          <w:i/>
          <w:lang w:val="en-CA" w:eastAsia="en-CA"/>
        </w:rPr>
        <w:t xml:space="preserve"> worke</w:t>
      </w:r>
      <w:r w:rsidR="00C03C04">
        <w:rPr>
          <w:i/>
          <w:lang w:val="en-CA" w:eastAsia="en-CA"/>
        </w:rPr>
        <w:t>d for Cineplex</w:t>
      </w:r>
      <w:r w:rsidR="00F728AA">
        <w:rPr>
          <w:i/>
          <w:lang w:val="en-CA" w:eastAsia="en-CA"/>
        </w:rPr>
        <w:t xml:space="preserve">. F </w:t>
      </w:r>
      <w:r w:rsidR="00B42C10">
        <w:rPr>
          <w:i/>
          <w:lang w:val="en-CA" w:eastAsia="en-CA"/>
        </w:rPr>
        <w:t xml:space="preserve">started selling Cineplex shares (he knew the results were not what they meant to be i.e. share price was higher than it should be given the </w:t>
      </w:r>
      <w:r w:rsidR="00F728AA">
        <w:rPr>
          <w:i/>
          <w:lang w:val="en-CA" w:eastAsia="en-CA"/>
        </w:rPr>
        <w:t xml:space="preserve">company’s performance). F </w:t>
      </w:r>
      <w:r w:rsidR="00B42C10">
        <w:rPr>
          <w:i/>
          <w:lang w:val="en-CA" w:eastAsia="en-CA"/>
        </w:rPr>
        <w:t xml:space="preserve">argued that he had a reasonable belief that he did not have access to material info. He genuinely believed in the owner that everything was going to work out in the end </w:t>
      </w:r>
      <w:r w:rsidR="00B42C10">
        <w:rPr>
          <w:b/>
          <w:lang w:val="en-CA" w:eastAsia="en-CA"/>
        </w:rPr>
        <w:t>// Held:</w:t>
      </w:r>
      <w:r w:rsidR="00BB6D3F" w:rsidRPr="00BB2D4C">
        <w:rPr>
          <w:b/>
          <w:lang w:val="en-CA" w:eastAsia="en-CA"/>
        </w:rPr>
        <w:t xml:space="preserve"> </w:t>
      </w:r>
      <w:r w:rsidR="00BB6D3F" w:rsidRPr="00E1046A">
        <w:rPr>
          <w:lang w:val="en-CA" w:eastAsia="en-CA"/>
        </w:rPr>
        <w:t>Found he did have t</w:t>
      </w:r>
      <w:r>
        <w:rPr>
          <w:lang w:val="en-CA" w:eastAsia="en-CA"/>
        </w:rPr>
        <w:t>a mistaken</w:t>
      </w:r>
      <w:r w:rsidR="00BB6D3F" w:rsidRPr="00E1046A">
        <w:rPr>
          <w:lang w:val="en-CA" w:eastAsia="en-CA"/>
        </w:rPr>
        <w:t xml:space="preserve"> </w:t>
      </w:r>
      <w:r>
        <w:rPr>
          <w:lang w:val="en-CA" w:eastAsia="en-CA"/>
        </w:rPr>
        <w:t>belief</w:t>
      </w:r>
    </w:p>
    <w:p w:rsidR="00C03C04" w:rsidRPr="00AB0778" w:rsidRDefault="0002764B" w:rsidP="00FF0B61">
      <w:pPr>
        <w:pStyle w:val="ListParagraph"/>
        <w:numPr>
          <w:ilvl w:val="1"/>
          <w:numId w:val="93"/>
        </w:numPr>
        <w:ind w:left="720"/>
        <w:rPr>
          <w:b/>
          <w:color w:val="1006E0"/>
          <w:lang w:val="en-CA" w:eastAsia="en-CA"/>
        </w:rPr>
      </w:pPr>
      <w:r>
        <w:rPr>
          <w:b/>
          <w:lang w:val="en-CA" w:eastAsia="en-CA"/>
        </w:rPr>
        <w:t>E.g. U</w:t>
      </w:r>
      <w:r w:rsidR="00F728AA" w:rsidRPr="00C93B3E">
        <w:rPr>
          <w:b/>
          <w:lang w:val="en-CA" w:eastAsia="en-CA"/>
        </w:rPr>
        <w:t>nsuccessfu</w:t>
      </w:r>
      <w:r w:rsidR="00F728AA" w:rsidRPr="00C03C04">
        <w:rPr>
          <w:b/>
          <w:lang w:val="en-CA" w:eastAsia="en-CA"/>
        </w:rPr>
        <w:t xml:space="preserve">l: </w:t>
      </w:r>
      <w:r w:rsidR="00B42C10" w:rsidRPr="00C93B3E">
        <w:rPr>
          <w:b/>
          <w:i/>
          <w:color w:val="1006E0"/>
          <w:lang w:val="en-CA" w:eastAsia="en-CA"/>
        </w:rPr>
        <w:t xml:space="preserve">R v Harper, </w:t>
      </w:r>
      <w:r w:rsidR="00B42C10" w:rsidRPr="00C93B3E">
        <w:rPr>
          <w:b/>
          <w:color w:val="1006E0"/>
          <w:lang w:val="en-CA" w:eastAsia="en-CA"/>
        </w:rPr>
        <w:t>2000</w:t>
      </w:r>
      <w:r w:rsidR="00923DCC" w:rsidRPr="00C93B3E">
        <w:rPr>
          <w:b/>
          <w:color w:val="1006E0"/>
          <w:lang w:val="en-CA" w:eastAsia="en-CA"/>
        </w:rPr>
        <w:t xml:space="preserve"> – </w:t>
      </w:r>
      <w:r w:rsidR="0028624C">
        <w:rPr>
          <w:i/>
          <w:szCs w:val="20"/>
        </w:rPr>
        <w:t>Mining co</w:t>
      </w:r>
      <w:r w:rsidR="00C93B3E" w:rsidRPr="00C93B3E">
        <w:rPr>
          <w:i/>
          <w:szCs w:val="20"/>
        </w:rPr>
        <w:t xml:space="preserve"> was conducting geochemical soil survey plus trench digging. Initial results were very favourable, and disclosed immediately by the issuer</w:t>
      </w:r>
      <w:r w:rsidR="0028624C">
        <w:rPr>
          <w:i/>
          <w:szCs w:val="20"/>
        </w:rPr>
        <w:t>. S</w:t>
      </w:r>
      <w:r w:rsidR="00C93B3E" w:rsidRPr="00C93B3E">
        <w:rPr>
          <w:i/>
          <w:szCs w:val="20"/>
        </w:rPr>
        <w:t>econdary results were much less favourable, were not immediately disclosed, Harper sold 227,600 shares prior to the disclosure in knowledge of the MNPI</w:t>
      </w:r>
      <w:r w:rsidR="00AB0778">
        <w:rPr>
          <w:i/>
          <w:szCs w:val="20"/>
        </w:rPr>
        <w:t xml:space="preserve"> </w:t>
      </w:r>
      <w:r w:rsidR="00AB0778">
        <w:rPr>
          <w:b/>
          <w:szCs w:val="20"/>
        </w:rPr>
        <w:t xml:space="preserve">// Held: </w:t>
      </w:r>
      <w:r w:rsidR="00C03C04" w:rsidRPr="00AB0778">
        <w:rPr>
          <w:b/>
          <w:lang w:val="en-CA" w:eastAsia="en-CA"/>
        </w:rPr>
        <w:t>1)</w:t>
      </w:r>
      <w:r w:rsidR="00C03C04" w:rsidRPr="00AB0778">
        <w:rPr>
          <w:lang w:val="en-CA" w:eastAsia="en-CA"/>
        </w:rPr>
        <w:t xml:space="preserve"> the results were a </w:t>
      </w:r>
      <w:r w:rsidR="00C03C04" w:rsidRPr="00AB0778">
        <w:rPr>
          <w:u w:val="single"/>
          <w:lang w:val="en-CA" w:eastAsia="en-CA"/>
        </w:rPr>
        <w:t>material fact;</w:t>
      </w:r>
      <w:r w:rsidR="00C03C04" w:rsidRPr="00AB0778">
        <w:rPr>
          <w:lang w:val="en-CA" w:eastAsia="en-CA"/>
        </w:rPr>
        <w:t xml:space="preserve"> </w:t>
      </w:r>
      <w:r w:rsidR="00C03C04" w:rsidRPr="00AB0778">
        <w:rPr>
          <w:b/>
          <w:lang w:val="en-CA" w:eastAsia="en-CA"/>
        </w:rPr>
        <w:t xml:space="preserve">2) </w:t>
      </w:r>
      <w:r w:rsidR="00C03C04" w:rsidRPr="00AB0778">
        <w:rPr>
          <w:lang w:val="en-CA" w:eastAsia="en-CA"/>
        </w:rPr>
        <w:t xml:space="preserve">he couldn’t demonstrate on a BoP that he didn’t think these were material as demonstrated by the </w:t>
      </w:r>
      <w:r w:rsidR="00C5252B">
        <w:rPr>
          <w:lang w:val="en-CA" w:eastAsia="en-CA"/>
        </w:rPr>
        <w:t>E</w:t>
      </w:r>
      <w:r w:rsidR="00C03C04" w:rsidRPr="00AB0778">
        <w:rPr>
          <w:lang w:val="en-CA" w:eastAsia="en-CA"/>
        </w:rPr>
        <w:t xml:space="preserve"> that he knew + immediately released the good results </w:t>
      </w:r>
    </w:p>
    <w:p w:rsidR="008223BC" w:rsidRPr="008223BC" w:rsidRDefault="008223BC" w:rsidP="00FF0B61">
      <w:pPr>
        <w:pStyle w:val="ListParagraph"/>
        <w:numPr>
          <w:ilvl w:val="0"/>
          <w:numId w:val="93"/>
        </w:numPr>
        <w:spacing w:after="0"/>
        <w:ind w:left="360"/>
        <w:rPr>
          <w:lang w:val="en-CA" w:eastAsia="en-CA"/>
        </w:rPr>
      </w:pPr>
      <w:r>
        <w:rPr>
          <w:b/>
          <w:lang w:val="en-CA" w:eastAsia="en-CA"/>
        </w:rPr>
        <w:t>Reasonable Belief</w:t>
      </w:r>
      <w:r w:rsidRPr="008223BC">
        <w:rPr>
          <w:b/>
          <w:lang w:val="en-CA" w:eastAsia="en-CA"/>
        </w:rPr>
        <w:t xml:space="preserve"> in General Disclosure</w:t>
      </w:r>
      <w:r w:rsidR="0084608C">
        <w:rPr>
          <w:b/>
          <w:lang w:val="en-CA" w:eastAsia="en-CA"/>
        </w:rPr>
        <w:t xml:space="preserve"> </w:t>
      </w:r>
      <w:r w:rsidR="00C609B1">
        <w:rPr>
          <w:b/>
          <w:lang w:val="en-CA" w:eastAsia="en-CA"/>
        </w:rPr>
        <w:t>(</w:t>
      </w:r>
      <w:r w:rsidR="00C609B1" w:rsidRPr="00394696">
        <w:rPr>
          <w:b/>
          <w:color w:val="C45911" w:themeColor="accent2" w:themeShade="BF"/>
          <w:lang w:val="en-CA" w:eastAsia="en-CA"/>
        </w:rPr>
        <w:t>BCSA 57.4(1)(2)</w:t>
      </w:r>
      <w:r w:rsidR="00C609B1">
        <w:rPr>
          <w:b/>
          <w:lang w:val="en-CA" w:eastAsia="en-CA"/>
        </w:rPr>
        <w:t xml:space="preserve">) </w:t>
      </w:r>
      <w:r w:rsidR="0084608C">
        <w:rPr>
          <w:b/>
          <w:lang w:val="en-CA" w:eastAsia="en-CA"/>
        </w:rPr>
        <w:t>(IT and Tipping)</w:t>
      </w:r>
    </w:p>
    <w:p w:rsidR="0084608C" w:rsidRPr="0084608C" w:rsidRDefault="00C93563" w:rsidP="00FF0B61">
      <w:pPr>
        <w:pStyle w:val="ListParagraph"/>
        <w:numPr>
          <w:ilvl w:val="0"/>
          <w:numId w:val="105"/>
        </w:numPr>
        <w:spacing w:after="0"/>
        <w:rPr>
          <w:bCs/>
          <w:position w:val="4"/>
          <w:szCs w:val="18"/>
        </w:rPr>
      </w:pPr>
      <w:r w:rsidRPr="00C93563">
        <w:t xml:space="preserve">To establish this defence, the onus is on X to prove that he or she had a reasonable </w:t>
      </w:r>
      <w:r w:rsidRPr="00D867F2">
        <w:rPr>
          <w:u w:val="single"/>
        </w:rPr>
        <w:t xml:space="preserve">belief that the info was “generally </w:t>
      </w:r>
      <w:r w:rsidR="0084608C" w:rsidRPr="00D867F2">
        <w:rPr>
          <w:szCs w:val="18"/>
          <w:u w:val="single"/>
        </w:rPr>
        <w:t>disclosed”</w:t>
      </w:r>
      <w:r w:rsidR="0084608C">
        <w:rPr>
          <w:szCs w:val="18"/>
        </w:rPr>
        <w:t xml:space="preserve"> (</w:t>
      </w:r>
      <w:r w:rsidR="0084608C" w:rsidRPr="0084608C">
        <w:rPr>
          <w:b/>
          <w:i/>
          <w:color w:val="1006E0"/>
          <w:szCs w:val="18"/>
        </w:rPr>
        <w:t>Re Gorrie:</w:t>
      </w:r>
      <w:r w:rsidR="0084608C" w:rsidRPr="0084608C">
        <w:rPr>
          <w:b/>
          <w:color w:val="1006E0"/>
          <w:szCs w:val="18"/>
        </w:rPr>
        <w:t xml:space="preserve"> </w:t>
      </w:r>
      <w:r w:rsidR="0084608C" w:rsidRPr="0084608C">
        <w:rPr>
          <w:szCs w:val="18"/>
        </w:rPr>
        <w:t>An honest but unreas</w:t>
      </w:r>
      <w:r w:rsidR="0084608C">
        <w:rPr>
          <w:szCs w:val="18"/>
        </w:rPr>
        <w:t>onable belief is not sufficient)</w:t>
      </w:r>
    </w:p>
    <w:p w:rsidR="008223BC" w:rsidRPr="00394696" w:rsidRDefault="00D005FE" w:rsidP="00FF0B61">
      <w:pPr>
        <w:pStyle w:val="ListParagraph"/>
        <w:numPr>
          <w:ilvl w:val="0"/>
          <w:numId w:val="105"/>
        </w:numPr>
        <w:spacing w:after="0"/>
        <w:rPr>
          <w:bCs/>
          <w:position w:val="4"/>
          <w:szCs w:val="18"/>
        </w:rPr>
      </w:pPr>
      <w:r>
        <w:rPr>
          <w:bCs/>
          <w:position w:val="4"/>
          <w:szCs w:val="18"/>
        </w:rPr>
        <w:t>Gossip and Buzz (knowledge in</w:t>
      </w:r>
      <w:r w:rsidR="0084608C">
        <w:rPr>
          <w:bCs/>
          <w:position w:val="4"/>
          <w:szCs w:val="18"/>
        </w:rPr>
        <w:t xml:space="preserve"> the industry) about a material fact is not general disclosure, but may warrant a reasonable belief in general disclosure (</w:t>
      </w:r>
      <w:r w:rsidR="008223BC" w:rsidRPr="0084608C">
        <w:rPr>
          <w:b/>
          <w:bCs/>
          <w:i/>
          <w:color w:val="1006E0"/>
          <w:position w:val="4"/>
          <w:szCs w:val="18"/>
        </w:rPr>
        <w:t xml:space="preserve">Baffinland, </w:t>
      </w:r>
      <w:r w:rsidR="008223BC" w:rsidRPr="0084608C">
        <w:rPr>
          <w:b/>
          <w:bCs/>
          <w:color w:val="1006E0"/>
          <w:position w:val="4"/>
          <w:szCs w:val="18"/>
        </w:rPr>
        <w:t xml:space="preserve">ONSC 2014 </w:t>
      </w:r>
      <w:r w:rsidR="008223BC" w:rsidRPr="0084608C">
        <w:rPr>
          <w:b/>
          <w:bCs/>
          <w:position w:val="4"/>
          <w:szCs w:val="18"/>
        </w:rPr>
        <w:t xml:space="preserve">– </w:t>
      </w:r>
      <w:r w:rsidR="008223BC" w:rsidRPr="0084608C">
        <w:rPr>
          <w:bCs/>
          <w:i/>
          <w:position w:val="4"/>
          <w:szCs w:val="18"/>
        </w:rPr>
        <w:t xml:space="preserve">There were negotiations b/w B and ArcelorMittal. It was seen as an open secret in the </w:t>
      </w:r>
      <w:r w:rsidR="00A258B8" w:rsidRPr="0084608C">
        <w:rPr>
          <w:bCs/>
          <w:i/>
          <w:position w:val="4"/>
          <w:szCs w:val="18"/>
        </w:rPr>
        <w:t>mining industry that B</w:t>
      </w:r>
      <w:r w:rsidR="008223BC" w:rsidRPr="0084608C">
        <w:rPr>
          <w:bCs/>
          <w:i/>
          <w:position w:val="4"/>
          <w:szCs w:val="18"/>
        </w:rPr>
        <w:t xml:space="preserve"> was </w:t>
      </w:r>
      <w:r w:rsidR="00A258B8" w:rsidRPr="0084608C">
        <w:rPr>
          <w:bCs/>
          <w:i/>
          <w:position w:val="4"/>
          <w:szCs w:val="18"/>
        </w:rPr>
        <w:t>going to be taken over. Waheed traded in the shares</w:t>
      </w:r>
      <w:r w:rsidR="008223BC" w:rsidRPr="0084608C">
        <w:rPr>
          <w:b/>
          <w:bCs/>
          <w:position w:val="4"/>
          <w:szCs w:val="18"/>
        </w:rPr>
        <w:t xml:space="preserve">// </w:t>
      </w:r>
      <w:r w:rsidR="008223BC" w:rsidRPr="00F5121B">
        <w:rPr>
          <w:bCs/>
          <w:position w:val="4"/>
          <w:szCs w:val="18"/>
        </w:rPr>
        <w:t xml:space="preserve">A “pretty open” secret in a specialized industry (such as mining) does not count as generally disclosed. </w:t>
      </w:r>
      <w:r w:rsidR="00A258B8" w:rsidRPr="00F5121B">
        <w:rPr>
          <w:bCs/>
          <w:position w:val="4"/>
          <w:szCs w:val="18"/>
        </w:rPr>
        <w:t>BUT only have</w:t>
      </w:r>
      <w:r w:rsidR="008223BC" w:rsidRPr="00F5121B">
        <w:rPr>
          <w:bCs/>
          <w:position w:val="4"/>
          <w:szCs w:val="18"/>
        </w:rPr>
        <w:t xml:space="preserve"> to establish </w:t>
      </w:r>
      <w:r w:rsidR="008223BC" w:rsidRPr="00394696">
        <w:rPr>
          <w:bCs/>
          <w:position w:val="4"/>
          <w:szCs w:val="18"/>
          <w:u w:val="single"/>
        </w:rPr>
        <w:t>reasonable belief</w:t>
      </w:r>
      <w:r w:rsidR="008223BC" w:rsidRPr="00394696">
        <w:rPr>
          <w:bCs/>
          <w:position w:val="4"/>
          <w:szCs w:val="18"/>
        </w:rPr>
        <w:t>, the court held that he had a reasonable belief that tha</w:t>
      </w:r>
      <w:r w:rsidR="008A6C09" w:rsidRPr="00394696">
        <w:rPr>
          <w:bCs/>
          <w:position w:val="4"/>
          <w:szCs w:val="18"/>
        </w:rPr>
        <w:t xml:space="preserve">t the info </w:t>
      </w:r>
      <w:r w:rsidR="008223BC" w:rsidRPr="00394696">
        <w:rPr>
          <w:bCs/>
          <w:position w:val="4"/>
          <w:szCs w:val="18"/>
        </w:rPr>
        <w:t>had been</w:t>
      </w:r>
      <w:r w:rsidR="008223BC" w:rsidRPr="00394696">
        <w:rPr>
          <w:b/>
          <w:bCs/>
          <w:position w:val="4"/>
          <w:szCs w:val="18"/>
        </w:rPr>
        <w:t xml:space="preserve"> </w:t>
      </w:r>
      <w:r w:rsidR="008223BC" w:rsidRPr="00394696">
        <w:rPr>
          <w:bCs/>
          <w:position w:val="4"/>
          <w:szCs w:val="18"/>
        </w:rPr>
        <w:t>generally disclosed</w:t>
      </w:r>
      <w:r w:rsidR="00DB2F1C" w:rsidRPr="00394696">
        <w:rPr>
          <w:bCs/>
          <w:position w:val="4"/>
          <w:szCs w:val="18"/>
        </w:rPr>
        <w:t xml:space="preserve"> (got off)). </w:t>
      </w:r>
      <w:r w:rsidR="008223BC" w:rsidRPr="00394696">
        <w:rPr>
          <w:b/>
          <w:bCs/>
          <w:position w:val="4"/>
          <w:szCs w:val="18"/>
        </w:rPr>
        <w:t xml:space="preserve"> </w:t>
      </w:r>
      <w:r w:rsidR="008223BC" w:rsidRPr="00394696">
        <w:rPr>
          <w:bCs/>
          <w:position w:val="4"/>
          <w:szCs w:val="18"/>
        </w:rPr>
        <w:t xml:space="preserve"> </w:t>
      </w:r>
    </w:p>
    <w:p w:rsidR="00686B7B" w:rsidRPr="00686B7B" w:rsidRDefault="008223BC" w:rsidP="00FF0B61">
      <w:pPr>
        <w:pStyle w:val="ListParagraph"/>
        <w:numPr>
          <w:ilvl w:val="0"/>
          <w:numId w:val="93"/>
        </w:numPr>
        <w:ind w:left="360"/>
        <w:rPr>
          <w:sz w:val="24"/>
          <w:lang w:val="en-CA" w:eastAsia="en-CA"/>
        </w:rPr>
      </w:pPr>
      <w:r w:rsidRPr="00394696">
        <w:rPr>
          <w:b/>
          <w:lang w:val="en-CA" w:eastAsia="en-CA"/>
        </w:rPr>
        <w:t xml:space="preserve">Reasonable Belief in Specific Disclosure </w:t>
      </w:r>
      <w:r w:rsidR="00BF446B" w:rsidRPr="00394696">
        <w:rPr>
          <w:b/>
          <w:lang w:val="en-CA" w:eastAsia="en-CA"/>
        </w:rPr>
        <w:t>(</w:t>
      </w:r>
      <w:r w:rsidR="00BF446B" w:rsidRPr="00394696">
        <w:rPr>
          <w:b/>
          <w:color w:val="C45911" w:themeColor="accent2" w:themeShade="BF"/>
          <w:lang w:val="en-CA" w:eastAsia="en-CA"/>
        </w:rPr>
        <w:t>BCSA 57.4(1)(2)</w:t>
      </w:r>
      <w:r w:rsidR="00BF446B" w:rsidRPr="00394696">
        <w:rPr>
          <w:b/>
          <w:lang w:val="en-CA" w:eastAsia="en-CA"/>
        </w:rPr>
        <w:t>)</w:t>
      </w:r>
      <w:r w:rsidR="00A81645" w:rsidRPr="00394696">
        <w:rPr>
          <w:b/>
          <w:lang w:val="en-CA" w:eastAsia="en-CA"/>
        </w:rPr>
        <w:t xml:space="preserve"> (IT and Tipping)</w:t>
      </w:r>
      <w:r w:rsidR="00BF446B" w:rsidRPr="00394696">
        <w:rPr>
          <w:b/>
          <w:lang w:val="en-CA" w:eastAsia="en-CA"/>
        </w:rPr>
        <w:t xml:space="preserve">: </w:t>
      </w:r>
      <w:r w:rsidR="00BF446B" w:rsidRPr="00394696">
        <w:rPr>
          <w:szCs w:val="12"/>
        </w:rPr>
        <w:t>A special relationship pers</w:t>
      </w:r>
      <w:r w:rsidR="00473125" w:rsidRPr="00394696">
        <w:rPr>
          <w:szCs w:val="12"/>
        </w:rPr>
        <w:t xml:space="preserve">on will not be found liable if that person can prove a reasonable belief that the </w:t>
      </w:r>
      <w:r w:rsidR="00473125" w:rsidRPr="00394696">
        <w:rPr>
          <w:b/>
          <w:i/>
          <w:szCs w:val="12"/>
        </w:rPr>
        <w:t>other party or the tippee</w:t>
      </w:r>
      <w:r w:rsidR="00473125" w:rsidRPr="00394696">
        <w:rPr>
          <w:szCs w:val="12"/>
        </w:rPr>
        <w:t xml:space="preserve">, respectively, </w:t>
      </w:r>
      <w:r w:rsidR="00473125" w:rsidRPr="00394696">
        <w:rPr>
          <w:szCs w:val="12"/>
          <w:u w:val="single"/>
        </w:rPr>
        <w:t>had knowledge of the material information</w:t>
      </w:r>
      <w:r w:rsidR="00473125" w:rsidRPr="00394696">
        <w:rPr>
          <w:szCs w:val="12"/>
        </w:rPr>
        <w:t xml:space="preserve"> or ought </w:t>
      </w:r>
      <w:r w:rsidR="00473125" w:rsidRPr="00394696">
        <w:rPr>
          <w:szCs w:val="12"/>
          <w:u w:val="single"/>
        </w:rPr>
        <w:t>reasonably to have known about it</w:t>
      </w:r>
      <w:r w:rsidR="00473125" w:rsidRPr="00394696">
        <w:rPr>
          <w:szCs w:val="12"/>
        </w:rPr>
        <w:t xml:space="preserve"> (*Onus on person in special relationship). </w:t>
      </w:r>
    </w:p>
    <w:p w:rsidR="00686B7B" w:rsidRPr="00444BA7" w:rsidRDefault="00686B7B" w:rsidP="00FF0B61">
      <w:pPr>
        <w:pStyle w:val="ListParagraph"/>
        <w:numPr>
          <w:ilvl w:val="0"/>
          <w:numId w:val="93"/>
        </w:numPr>
        <w:ind w:left="360"/>
        <w:rPr>
          <w:sz w:val="24"/>
          <w:lang w:val="en-CA" w:eastAsia="en-CA"/>
        </w:rPr>
      </w:pPr>
      <w:r>
        <w:rPr>
          <w:b/>
          <w:lang w:val="en-CA" w:eastAsia="en-CA"/>
        </w:rPr>
        <w:t xml:space="preserve">Automatic Dividend or Written </w:t>
      </w:r>
      <w:r w:rsidRPr="00A66CE5">
        <w:rPr>
          <w:b/>
          <w:lang w:val="en-CA" w:eastAsia="en-CA"/>
        </w:rPr>
        <w:t>Obligations</w:t>
      </w:r>
      <w:r w:rsidR="00444BA7" w:rsidRPr="00A66CE5">
        <w:rPr>
          <w:b/>
          <w:lang w:val="en-CA" w:eastAsia="en-CA"/>
        </w:rPr>
        <w:t xml:space="preserve"> (</w:t>
      </w:r>
      <w:r w:rsidR="00444BA7" w:rsidRPr="00A66CE5">
        <w:rPr>
          <w:b/>
          <w:color w:val="C45911" w:themeColor="accent2" w:themeShade="BF"/>
          <w:lang w:val="en-CA" w:eastAsia="en-CA"/>
        </w:rPr>
        <w:t>BCSA 57.4(3))</w:t>
      </w:r>
      <w:r w:rsidRPr="00A66CE5">
        <w:rPr>
          <w:b/>
          <w:lang w:val="en-CA" w:eastAsia="en-CA"/>
        </w:rPr>
        <w:t xml:space="preserve"> </w:t>
      </w:r>
      <w:r w:rsidR="002A7547" w:rsidRPr="00A66CE5">
        <w:rPr>
          <w:b/>
          <w:lang w:val="en-CA" w:eastAsia="en-CA"/>
        </w:rPr>
        <w:t>(IT)</w:t>
      </w:r>
      <w:r w:rsidRPr="00A66CE5">
        <w:rPr>
          <w:b/>
          <w:lang w:val="en-CA" w:eastAsia="en-CA"/>
        </w:rPr>
        <w:t>:</w:t>
      </w:r>
      <w:r w:rsidRPr="00A66CE5">
        <w:rPr>
          <w:b/>
          <w:color w:val="C45911" w:themeColor="accent2" w:themeShade="BF"/>
          <w:lang w:val="en-CA" w:eastAsia="en-CA"/>
        </w:rPr>
        <w:t xml:space="preserve"> </w:t>
      </w:r>
      <w:r w:rsidRPr="00A66CE5">
        <w:rPr>
          <w:lang w:val="en-CA" w:eastAsia="en-CA"/>
        </w:rPr>
        <w:t>a person</w:t>
      </w:r>
      <w:r w:rsidRPr="00686B7B">
        <w:rPr>
          <w:lang w:val="en-CA" w:eastAsia="en-CA"/>
        </w:rPr>
        <w:t xml:space="preserve"> does not contravene 57.2(2) </w:t>
      </w:r>
      <w:r>
        <w:rPr>
          <w:lang w:val="en-CA" w:eastAsia="en-CA"/>
        </w:rPr>
        <w:t xml:space="preserve">(insider trading) </w:t>
      </w:r>
      <w:r w:rsidRPr="00686B7B">
        <w:rPr>
          <w:lang w:val="en-CA" w:eastAsia="en-CA"/>
        </w:rPr>
        <w:t xml:space="preserve">where transaction is entered under </w:t>
      </w:r>
      <w:r w:rsidRPr="00686B7B">
        <w:rPr>
          <w:u w:val="single"/>
          <w:lang w:val="en-CA" w:eastAsia="en-CA"/>
        </w:rPr>
        <w:t>written automatic dividend reinvestment plan</w:t>
      </w:r>
      <w:r w:rsidRPr="00686B7B">
        <w:rPr>
          <w:lang w:val="en-CA" w:eastAsia="en-CA"/>
        </w:rPr>
        <w:t xml:space="preserve">, purchase plan, or as the result of a </w:t>
      </w:r>
      <w:r w:rsidRPr="00686B7B">
        <w:rPr>
          <w:u w:val="single"/>
          <w:lang w:val="en-CA" w:eastAsia="en-CA"/>
        </w:rPr>
        <w:t>written legal obligation</w:t>
      </w:r>
      <w:r w:rsidRPr="00686B7B">
        <w:rPr>
          <w:lang w:val="en-CA" w:eastAsia="en-CA"/>
        </w:rPr>
        <w:t xml:space="preserve"> entered prior to obtaining knowledge of the material fact/change or MOI</w:t>
      </w:r>
      <w:r>
        <w:rPr>
          <w:b/>
          <w:lang w:val="en-CA" w:eastAsia="en-CA"/>
        </w:rPr>
        <w:t xml:space="preserve">. </w:t>
      </w:r>
    </w:p>
    <w:p w:rsidR="005C1588" w:rsidRPr="005C1588" w:rsidRDefault="00444BA7" w:rsidP="00FF0B61">
      <w:pPr>
        <w:pStyle w:val="ListParagraph"/>
        <w:numPr>
          <w:ilvl w:val="0"/>
          <w:numId w:val="93"/>
        </w:numPr>
        <w:ind w:left="360"/>
        <w:rPr>
          <w:lang w:val="en-CA" w:eastAsia="en-CA"/>
        </w:rPr>
      </w:pPr>
      <w:r>
        <w:rPr>
          <w:b/>
          <w:lang w:val="en-CA" w:eastAsia="en-CA"/>
        </w:rPr>
        <w:t xml:space="preserve">Acting without Using the </w:t>
      </w:r>
      <w:r w:rsidRPr="00895451">
        <w:rPr>
          <w:b/>
          <w:lang w:val="en-CA" w:eastAsia="en-CA"/>
        </w:rPr>
        <w:t>Information</w:t>
      </w:r>
      <w:r w:rsidR="00A04943" w:rsidRPr="00895451">
        <w:rPr>
          <w:b/>
          <w:lang w:val="en-CA" w:eastAsia="en-CA"/>
        </w:rPr>
        <w:t xml:space="preserve"> </w:t>
      </w:r>
      <w:r w:rsidRPr="00895451">
        <w:rPr>
          <w:b/>
          <w:lang w:val="en-CA" w:eastAsia="en-CA"/>
        </w:rPr>
        <w:t>(</w:t>
      </w:r>
      <w:r w:rsidRPr="00895451">
        <w:rPr>
          <w:b/>
          <w:color w:val="C45911" w:themeColor="accent2" w:themeShade="BF"/>
          <w:lang w:val="en-CA" w:eastAsia="en-CA"/>
        </w:rPr>
        <w:t>BCSA 57.4(4)</w:t>
      </w:r>
      <w:r w:rsidRPr="00895451">
        <w:rPr>
          <w:b/>
          <w:lang w:val="en-CA" w:eastAsia="en-CA"/>
        </w:rPr>
        <w:t xml:space="preserve">) (IT): </w:t>
      </w:r>
      <w:r w:rsidRPr="00895451">
        <w:rPr>
          <w:szCs w:val="12"/>
        </w:rPr>
        <w:t xml:space="preserve">A special relationship person will not be found liable for illegal IT if it can prove it </w:t>
      </w:r>
      <w:r w:rsidRPr="00895451">
        <w:rPr>
          <w:szCs w:val="12"/>
          <w:u w:val="single"/>
        </w:rPr>
        <w:t>acted as an agent</w:t>
      </w:r>
      <w:r w:rsidRPr="00895451">
        <w:rPr>
          <w:szCs w:val="12"/>
        </w:rPr>
        <w:t xml:space="preserve"> for a party who made an unsolicited</w:t>
      </w:r>
      <w:r w:rsidRPr="003862B6">
        <w:rPr>
          <w:szCs w:val="12"/>
        </w:rPr>
        <w:t xml:space="preserve"> order to trade OR the trade made as per an automatic plan.</w:t>
      </w:r>
    </w:p>
    <w:p w:rsidR="00C51E6E" w:rsidRPr="005C1588" w:rsidRDefault="00C51E6E" w:rsidP="00FF0B61">
      <w:pPr>
        <w:pStyle w:val="ListParagraph"/>
        <w:numPr>
          <w:ilvl w:val="0"/>
          <w:numId w:val="93"/>
        </w:numPr>
        <w:ind w:left="360"/>
        <w:rPr>
          <w:lang w:val="en-CA" w:eastAsia="en-CA"/>
        </w:rPr>
      </w:pPr>
      <w:r w:rsidRPr="005C1588">
        <w:rPr>
          <w:b/>
          <w:lang w:val="en-CA" w:eastAsia="en-CA"/>
        </w:rPr>
        <w:t>No Knowledge (</w:t>
      </w:r>
      <w:r w:rsidRPr="005C1588">
        <w:rPr>
          <w:b/>
          <w:color w:val="C45911" w:themeColor="accent2" w:themeShade="BF"/>
          <w:lang w:val="en-CA" w:eastAsia="en-CA"/>
        </w:rPr>
        <w:t>BCSA 57.4(5)</w:t>
      </w:r>
      <w:r w:rsidRPr="005C1588">
        <w:rPr>
          <w:b/>
          <w:lang w:val="en-CA" w:eastAsia="en-CA"/>
        </w:rPr>
        <w:t>)</w:t>
      </w:r>
      <w:r w:rsidR="00444BA7" w:rsidRPr="005C1588">
        <w:rPr>
          <w:b/>
          <w:lang w:val="en-CA" w:eastAsia="en-CA"/>
        </w:rPr>
        <w:t xml:space="preserve"> (IT and Recommending)</w:t>
      </w:r>
      <w:r w:rsidRPr="005C1588">
        <w:rPr>
          <w:b/>
          <w:lang w:val="en-CA" w:eastAsia="en-CA"/>
        </w:rPr>
        <w:t xml:space="preserve">: </w:t>
      </w:r>
      <w:r w:rsidR="00FB59E5">
        <w:rPr>
          <w:lang w:val="en-CA" w:eastAsia="en-CA"/>
        </w:rPr>
        <w:t>C</w:t>
      </w:r>
      <w:r w:rsidR="005C1588" w:rsidRPr="005C1588">
        <w:rPr>
          <w:lang w:val="en-CA" w:eastAsia="en-CA"/>
        </w:rPr>
        <w:t xml:space="preserve">orporate persons do not contravene </w:t>
      </w:r>
      <w:r w:rsidR="005C1588">
        <w:rPr>
          <w:lang w:val="en-CA" w:eastAsia="en-CA"/>
        </w:rPr>
        <w:t xml:space="preserve">IT or Recommending </w:t>
      </w:r>
      <w:r w:rsidR="005C1588" w:rsidRPr="005C1588">
        <w:rPr>
          <w:lang w:val="en-CA" w:eastAsia="en-CA"/>
        </w:rPr>
        <w:t>if no individual involved has knowledge of material fact/change or MOI or is acting on recommendation/encouragement of someone who does</w:t>
      </w:r>
      <w:r w:rsidR="005C1588">
        <w:rPr>
          <w:lang w:val="en-CA" w:eastAsia="en-CA"/>
        </w:rPr>
        <w:t>.</w:t>
      </w:r>
    </w:p>
    <w:p w:rsidR="00B00E19" w:rsidRPr="00B00E19" w:rsidRDefault="00C60644" w:rsidP="00FF0B61">
      <w:pPr>
        <w:pStyle w:val="ListParagraph"/>
        <w:numPr>
          <w:ilvl w:val="0"/>
          <w:numId w:val="93"/>
        </w:numPr>
        <w:ind w:left="360"/>
        <w:rPr>
          <w:lang w:val="en-CA" w:eastAsia="en-CA"/>
        </w:rPr>
      </w:pPr>
      <w:r>
        <w:rPr>
          <w:b/>
          <w:lang w:val="en-CA" w:eastAsia="en-CA"/>
        </w:rPr>
        <w:lastRenderedPageBreak/>
        <w:t xml:space="preserve">Tipping in </w:t>
      </w:r>
      <w:r w:rsidR="00447D50">
        <w:rPr>
          <w:b/>
          <w:lang w:val="en-CA" w:eastAsia="en-CA"/>
        </w:rPr>
        <w:t xml:space="preserve">the </w:t>
      </w:r>
      <w:r w:rsidR="00F67D08" w:rsidRPr="00B00E19">
        <w:rPr>
          <w:b/>
          <w:lang w:val="en-CA" w:eastAsia="en-CA"/>
        </w:rPr>
        <w:t>“Necessary Course of Business” (</w:t>
      </w:r>
      <w:r w:rsidR="003302CD" w:rsidRPr="00B00E19">
        <w:rPr>
          <w:b/>
          <w:lang w:val="en-CA" w:eastAsia="en-CA"/>
        </w:rPr>
        <w:t>Tipping)</w:t>
      </w:r>
      <w:r w:rsidR="00B00E19" w:rsidRPr="00B00E19">
        <w:rPr>
          <w:b/>
          <w:lang w:val="en-CA" w:eastAsia="en-CA"/>
        </w:rPr>
        <w:t xml:space="preserve"> </w:t>
      </w:r>
      <w:r w:rsidR="00E17CAD">
        <w:rPr>
          <w:b/>
          <w:lang w:val="en-CA" w:eastAsia="en-CA"/>
        </w:rPr>
        <w:t>(</w:t>
      </w:r>
      <w:r w:rsidR="00E17CAD" w:rsidRPr="00E17CAD">
        <w:rPr>
          <w:b/>
          <w:color w:val="7030A0"/>
          <w:lang w:val="en-CA" w:eastAsia="en-CA"/>
        </w:rPr>
        <w:t>NP 51-201 s.3.3</w:t>
      </w:r>
      <w:r w:rsidR="00E17CAD">
        <w:rPr>
          <w:b/>
          <w:lang w:val="en-CA" w:eastAsia="en-CA"/>
        </w:rPr>
        <w:t>)</w:t>
      </w:r>
    </w:p>
    <w:p w:rsidR="00B66B2E" w:rsidRPr="00B66B2E" w:rsidRDefault="00B66B2E" w:rsidP="00FF0B61">
      <w:pPr>
        <w:pStyle w:val="ListParagraph"/>
        <w:numPr>
          <w:ilvl w:val="0"/>
          <w:numId w:val="106"/>
        </w:numPr>
        <w:rPr>
          <w:sz w:val="16"/>
          <w:szCs w:val="12"/>
        </w:rPr>
      </w:pPr>
      <w:r w:rsidRPr="00B66B2E">
        <w:rPr>
          <w:b/>
          <w:color w:val="7030A0"/>
          <w:szCs w:val="20"/>
          <w:highlight w:val="white"/>
        </w:rPr>
        <w:t>NP 51-201</w:t>
      </w:r>
      <w:r w:rsidRPr="00B66B2E">
        <w:rPr>
          <w:b/>
          <w:szCs w:val="20"/>
          <w:highlight w:val="white"/>
        </w:rPr>
        <w:t xml:space="preserve">: </w:t>
      </w:r>
      <w:r w:rsidR="00425AFC">
        <w:rPr>
          <w:szCs w:val="20"/>
          <w:highlight w:val="white"/>
        </w:rPr>
        <w:t>I</w:t>
      </w:r>
      <w:r w:rsidRPr="00B66B2E">
        <w:rPr>
          <w:szCs w:val="20"/>
          <w:highlight w:val="white"/>
        </w:rPr>
        <w:t>dea of selective disclosure where a company discloses MNPI to one or more individual companies and not broadly available to the investing public</w:t>
      </w:r>
    </w:p>
    <w:p w:rsidR="007A6505" w:rsidRDefault="00B00E19" w:rsidP="00FF0B61">
      <w:pPr>
        <w:pStyle w:val="ListParagraph"/>
        <w:numPr>
          <w:ilvl w:val="0"/>
          <w:numId w:val="106"/>
        </w:numPr>
        <w:rPr>
          <w:szCs w:val="12"/>
        </w:rPr>
      </w:pPr>
      <w:r w:rsidRPr="00B00E19">
        <w:rPr>
          <w:szCs w:val="12"/>
        </w:rPr>
        <w:t>Determined on the facts in each case. It is a mixed question of fact and law whether particular disclosure is being made in the necessary course of business. Good to make them s</w:t>
      </w:r>
      <w:r w:rsidR="00EA6240">
        <w:rPr>
          <w:szCs w:val="12"/>
        </w:rPr>
        <w:t xml:space="preserve">ign a confidentiality agreement (per </w:t>
      </w:r>
      <w:r w:rsidR="00EA6240">
        <w:rPr>
          <w:b/>
          <w:color w:val="7030A0"/>
          <w:lang w:val="en-CA" w:eastAsia="en-CA"/>
        </w:rPr>
        <w:t>NP 51-201 3.4)</w:t>
      </w:r>
    </w:p>
    <w:p w:rsidR="007A6505" w:rsidRPr="007A6505" w:rsidRDefault="00B00E19" w:rsidP="00FF0B61">
      <w:pPr>
        <w:pStyle w:val="ListParagraph"/>
        <w:numPr>
          <w:ilvl w:val="1"/>
          <w:numId w:val="106"/>
        </w:numPr>
        <w:ind w:left="1418"/>
        <w:rPr>
          <w:szCs w:val="12"/>
        </w:rPr>
      </w:pPr>
      <w:r w:rsidRPr="007A6505">
        <w:rPr>
          <w:b/>
          <w:i/>
          <w:color w:val="1006E0"/>
          <w:szCs w:val="12"/>
        </w:rPr>
        <w:t>Royal Trust Co</w:t>
      </w:r>
      <w:r w:rsidRPr="007A6505">
        <w:rPr>
          <w:b/>
          <w:szCs w:val="12"/>
        </w:rPr>
        <w:t xml:space="preserve">: </w:t>
      </w:r>
      <w:r w:rsidRPr="007A6505">
        <w:rPr>
          <w:szCs w:val="12"/>
        </w:rPr>
        <w:t>Disclosing inf</w:t>
      </w:r>
      <w:r w:rsidR="007A6505">
        <w:rPr>
          <w:szCs w:val="12"/>
        </w:rPr>
        <w:t>ormation to defend against a Take-over bid</w:t>
      </w:r>
      <w:r w:rsidRPr="007A6505">
        <w:rPr>
          <w:szCs w:val="12"/>
        </w:rPr>
        <w:t xml:space="preserve"> is not held to be in</w:t>
      </w:r>
      <w:r w:rsidR="00EA3A57">
        <w:rPr>
          <w:szCs w:val="12"/>
        </w:rPr>
        <w:t xml:space="preserve"> the necessary course of biz</w:t>
      </w:r>
      <w:r w:rsidRPr="007A6505">
        <w:rPr>
          <w:szCs w:val="12"/>
        </w:rPr>
        <w:t>.</w:t>
      </w:r>
    </w:p>
    <w:p w:rsidR="00B00E19" w:rsidRPr="007A6505" w:rsidRDefault="00B00E19" w:rsidP="00FF0B61">
      <w:pPr>
        <w:pStyle w:val="ListParagraph"/>
        <w:numPr>
          <w:ilvl w:val="1"/>
          <w:numId w:val="106"/>
        </w:numPr>
        <w:ind w:left="1418"/>
        <w:rPr>
          <w:szCs w:val="12"/>
        </w:rPr>
      </w:pPr>
      <w:r w:rsidRPr="007A6505">
        <w:rPr>
          <w:b/>
          <w:i/>
          <w:color w:val="1006E0"/>
          <w:szCs w:val="12"/>
        </w:rPr>
        <w:t>Re George</w:t>
      </w:r>
      <w:r w:rsidRPr="007A6505">
        <w:rPr>
          <w:b/>
          <w:szCs w:val="12"/>
        </w:rPr>
        <w:t xml:space="preserve">: </w:t>
      </w:r>
      <w:r w:rsidRPr="007A6505">
        <w:rPr>
          <w:szCs w:val="12"/>
        </w:rPr>
        <w:t>Sharing</w:t>
      </w:r>
      <w:r w:rsidR="007A6505">
        <w:rPr>
          <w:szCs w:val="12"/>
        </w:rPr>
        <w:t xml:space="preserve"> biz</w:t>
      </w:r>
      <w:r w:rsidRPr="007A6505">
        <w:rPr>
          <w:szCs w:val="12"/>
        </w:rPr>
        <w:t xml:space="preserve"> of the firm with analysts to tell others in the industry is not in t</w:t>
      </w:r>
      <w:r w:rsidR="007A6505">
        <w:rPr>
          <w:szCs w:val="12"/>
        </w:rPr>
        <w:t xml:space="preserve">he necessary course of biz. </w:t>
      </w:r>
    </w:p>
    <w:p w:rsidR="0091448F" w:rsidRDefault="007A6505" w:rsidP="00FF0B61">
      <w:pPr>
        <w:pStyle w:val="ListParagraph"/>
        <w:numPr>
          <w:ilvl w:val="1"/>
          <w:numId w:val="93"/>
        </w:numPr>
        <w:ind w:left="709"/>
        <w:rPr>
          <w:lang w:val="en-CA" w:eastAsia="en-CA"/>
        </w:rPr>
      </w:pPr>
      <w:r w:rsidRPr="007A6505">
        <w:rPr>
          <w:b/>
          <w:lang w:val="en-CA" w:eastAsia="en-CA"/>
        </w:rPr>
        <w:t>Examples</w:t>
      </w:r>
      <w:r>
        <w:rPr>
          <w:color w:val="7030A0"/>
          <w:lang w:val="en-CA" w:eastAsia="en-CA"/>
        </w:rPr>
        <w:t xml:space="preserve"> </w:t>
      </w:r>
      <w:r w:rsidR="00445A6F" w:rsidRPr="00445A6F">
        <w:rPr>
          <w:b/>
          <w:lang w:val="en-CA" w:eastAsia="en-CA"/>
        </w:rPr>
        <w:t>of necessary course of biz</w:t>
      </w:r>
      <w:r w:rsidR="00445A6F" w:rsidRPr="00445A6F">
        <w:rPr>
          <w:lang w:val="en-CA" w:eastAsia="en-CA"/>
        </w:rPr>
        <w:t xml:space="preserve"> </w:t>
      </w:r>
      <w:r>
        <w:rPr>
          <w:color w:val="7030A0"/>
          <w:lang w:val="en-CA" w:eastAsia="en-CA"/>
        </w:rPr>
        <w:t>(</w:t>
      </w:r>
      <w:r w:rsidR="00527EBA" w:rsidRPr="00527EBA">
        <w:rPr>
          <w:b/>
          <w:color w:val="7030A0"/>
          <w:lang w:val="en-CA" w:eastAsia="en-CA"/>
        </w:rPr>
        <w:t>NP 51-201 3.3(2)</w:t>
      </w:r>
      <w:r>
        <w:rPr>
          <w:b/>
          <w:color w:val="7030A0"/>
          <w:lang w:val="en-CA" w:eastAsia="en-CA"/>
        </w:rPr>
        <w:t>)</w:t>
      </w:r>
      <w:r w:rsidR="00527EBA" w:rsidRPr="00527EBA">
        <w:rPr>
          <w:color w:val="7030A0"/>
          <w:lang w:val="en-CA" w:eastAsia="en-CA"/>
        </w:rPr>
        <w:t xml:space="preserve"> </w:t>
      </w:r>
      <w:r>
        <w:rPr>
          <w:lang w:val="en-CA" w:eastAsia="en-CA"/>
        </w:rPr>
        <w:t xml:space="preserve">- </w:t>
      </w:r>
      <w:r w:rsidRPr="00E17CAD">
        <w:rPr>
          <w:b/>
          <w:lang w:val="en-CA" w:eastAsia="en-CA"/>
        </w:rPr>
        <w:t>(a)</w:t>
      </w:r>
      <w:r w:rsidR="00F90889">
        <w:rPr>
          <w:lang w:val="en-CA" w:eastAsia="en-CA"/>
        </w:rPr>
        <w:t xml:space="preserve"> V</w:t>
      </w:r>
      <w:r w:rsidRPr="007A6505">
        <w:rPr>
          <w:lang w:val="en-CA" w:eastAsia="en-CA"/>
        </w:rPr>
        <w:t xml:space="preserve">endors, suppliers, </w:t>
      </w:r>
      <w:r w:rsidRPr="00E17CAD">
        <w:rPr>
          <w:b/>
          <w:lang w:val="en-CA" w:eastAsia="en-CA"/>
        </w:rPr>
        <w:t>(b)</w:t>
      </w:r>
      <w:r w:rsidRPr="007A6505">
        <w:rPr>
          <w:lang w:val="en-CA" w:eastAsia="en-CA"/>
        </w:rPr>
        <w:t xml:space="preserve"> EE, OFRs, and board members, </w:t>
      </w:r>
      <w:r w:rsidR="00527EBA" w:rsidRPr="00E17CAD">
        <w:rPr>
          <w:b/>
          <w:lang w:val="en-CA" w:eastAsia="en-CA"/>
        </w:rPr>
        <w:t>(c)</w:t>
      </w:r>
      <w:r w:rsidR="00527EBA" w:rsidRPr="007A6505">
        <w:rPr>
          <w:lang w:val="en-CA" w:eastAsia="en-CA"/>
        </w:rPr>
        <w:t xml:space="preserve"> lenders, legal counsel, auditors, UW’s, financial and other professionals</w:t>
      </w:r>
      <w:r w:rsidRPr="007A6505">
        <w:rPr>
          <w:lang w:val="en-CA" w:eastAsia="en-CA"/>
        </w:rPr>
        <w:t xml:space="preserve"> </w:t>
      </w:r>
      <w:r w:rsidR="00527EBA" w:rsidRPr="00E17CAD">
        <w:rPr>
          <w:b/>
          <w:lang w:val="en-CA" w:eastAsia="en-CA"/>
        </w:rPr>
        <w:t>(d)</w:t>
      </w:r>
      <w:r w:rsidR="00527EBA" w:rsidRPr="007A6505">
        <w:rPr>
          <w:lang w:val="en-CA" w:eastAsia="en-CA"/>
        </w:rPr>
        <w:t xml:space="preserve"> parties to negotiations</w:t>
      </w:r>
      <w:r w:rsidRPr="007A6505">
        <w:rPr>
          <w:lang w:val="en-CA" w:eastAsia="en-CA"/>
        </w:rPr>
        <w:t xml:space="preserve"> </w:t>
      </w:r>
      <w:r w:rsidR="00527EBA" w:rsidRPr="00E17CAD">
        <w:rPr>
          <w:b/>
          <w:lang w:val="en-CA" w:eastAsia="en-CA"/>
        </w:rPr>
        <w:t>(e)</w:t>
      </w:r>
      <w:r w:rsidR="00527EBA" w:rsidRPr="007A6505">
        <w:rPr>
          <w:lang w:val="en-CA" w:eastAsia="en-CA"/>
        </w:rPr>
        <w:t xml:space="preserve"> labour unions and industry associates</w:t>
      </w:r>
      <w:r w:rsidRPr="007A6505">
        <w:rPr>
          <w:lang w:val="en-CA" w:eastAsia="en-CA"/>
        </w:rPr>
        <w:t xml:space="preserve">, </w:t>
      </w:r>
      <w:r w:rsidRPr="00E17CAD">
        <w:rPr>
          <w:b/>
          <w:lang w:val="en-CA" w:eastAsia="en-CA"/>
        </w:rPr>
        <w:t>(f)</w:t>
      </w:r>
      <w:r w:rsidRPr="007A6505">
        <w:rPr>
          <w:lang w:val="en-CA" w:eastAsia="en-CA"/>
        </w:rPr>
        <w:t xml:space="preserve"> Government agencies and non-gov’t regulators </w:t>
      </w:r>
      <w:r w:rsidR="00527EBA" w:rsidRPr="00E17CAD">
        <w:rPr>
          <w:b/>
          <w:lang w:val="en-CA" w:eastAsia="en-CA"/>
        </w:rPr>
        <w:t>(g)</w:t>
      </w:r>
      <w:r w:rsidR="00527EBA" w:rsidRPr="007A6505">
        <w:rPr>
          <w:lang w:val="en-CA" w:eastAsia="en-CA"/>
        </w:rPr>
        <w:t xml:space="preserve"> Credit rating agencies (provided that the info is disclosed for purpose of rating debt securities)</w:t>
      </w:r>
    </w:p>
    <w:p w:rsidR="007F401B" w:rsidRDefault="00527EBA" w:rsidP="00FF0B61">
      <w:pPr>
        <w:pStyle w:val="ListParagraph"/>
        <w:numPr>
          <w:ilvl w:val="1"/>
          <w:numId w:val="93"/>
        </w:numPr>
        <w:ind w:left="709"/>
        <w:rPr>
          <w:lang w:val="en-CA" w:eastAsia="en-CA"/>
        </w:rPr>
      </w:pPr>
      <w:r w:rsidRPr="007A6505">
        <w:rPr>
          <w:b/>
          <w:lang w:val="en-CA" w:eastAsia="en-CA"/>
        </w:rPr>
        <w:t xml:space="preserve">BUT </w:t>
      </w:r>
      <w:r w:rsidRPr="007A6505">
        <w:rPr>
          <w:b/>
          <w:u w:val="single"/>
          <w:lang w:val="en-CA" w:eastAsia="en-CA"/>
        </w:rPr>
        <w:t>not analysts</w:t>
      </w:r>
      <w:r w:rsidR="0086297E">
        <w:rPr>
          <w:b/>
          <w:lang w:val="en-CA" w:eastAsia="en-CA"/>
        </w:rPr>
        <w:t>, institutional investors or other s</w:t>
      </w:r>
      <w:r w:rsidR="0091448F">
        <w:rPr>
          <w:b/>
          <w:lang w:val="en-CA" w:eastAsia="en-CA"/>
        </w:rPr>
        <w:t>ecurities market professionals (</w:t>
      </w:r>
      <w:r w:rsidR="0091448F" w:rsidRPr="0091448F">
        <w:rPr>
          <w:b/>
          <w:color w:val="7030A0"/>
          <w:lang w:val="en-CA" w:eastAsia="en-CA"/>
        </w:rPr>
        <w:t>s</w:t>
      </w:r>
      <w:r w:rsidR="0091448F" w:rsidRPr="0091448F">
        <w:rPr>
          <w:lang w:val="en-CA" w:eastAsia="en-CA"/>
        </w:rPr>
        <w:t>.</w:t>
      </w:r>
      <w:r w:rsidR="0091448F" w:rsidRPr="0091448F">
        <w:rPr>
          <w:b/>
          <w:color w:val="7030A0"/>
          <w:lang w:val="en-CA" w:eastAsia="en-CA"/>
        </w:rPr>
        <w:t>3.3(5)</w:t>
      </w:r>
      <w:r w:rsidR="0091448F">
        <w:rPr>
          <w:lang w:val="en-CA" w:eastAsia="en-CA"/>
        </w:rPr>
        <w:t>)</w:t>
      </w:r>
    </w:p>
    <w:p w:rsidR="00CF2FB8" w:rsidRPr="00A04943" w:rsidRDefault="00CF2FB8" w:rsidP="00FF0B61">
      <w:pPr>
        <w:pStyle w:val="ListParagraph"/>
        <w:numPr>
          <w:ilvl w:val="0"/>
          <w:numId w:val="93"/>
        </w:numPr>
        <w:ind w:left="284"/>
        <w:rPr>
          <w:b/>
          <w:lang w:val="en-CA" w:eastAsia="en-CA"/>
        </w:rPr>
      </w:pPr>
      <w:r w:rsidRPr="00CF2FB8">
        <w:rPr>
          <w:b/>
          <w:lang w:val="en-CA" w:eastAsia="en-CA"/>
        </w:rPr>
        <w:t>Tippee Unaware that Tipper was a Special Relationship Person (Tipping)</w:t>
      </w:r>
      <w:r w:rsidR="00097C5A">
        <w:rPr>
          <w:b/>
          <w:lang w:val="en-CA" w:eastAsia="en-CA"/>
        </w:rPr>
        <w:t xml:space="preserve"> – </w:t>
      </w:r>
      <w:r w:rsidR="00097C5A">
        <w:rPr>
          <w:lang w:val="en-CA" w:eastAsia="en-CA"/>
        </w:rPr>
        <w:t xml:space="preserve">Described above. </w:t>
      </w:r>
    </w:p>
    <w:p w:rsidR="00A04943" w:rsidRDefault="00A04943" w:rsidP="00FF0B61">
      <w:pPr>
        <w:pStyle w:val="ListParagraph"/>
        <w:numPr>
          <w:ilvl w:val="0"/>
          <w:numId w:val="93"/>
        </w:numPr>
        <w:ind w:left="284"/>
        <w:rPr>
          <w:b/>
          <w:lang w:val="en-CA" w:eastAsia="en-CA"/>
        </w:rPr>
      </w:pPr>
      <w:r>
        <w:rPr>
          <w:b/>
          <w:lang w:val="en-CA" w:eastAsia="en-CA"/>
        </w:rPr>
        <w:t xml:space="preserve">“Make them Prove it” </w:t>
      </w:r>
      <w:r w:rsidRPr="00A04943">
        <w:rPr>
          <w:b/>
          <w:lang w:val="en-CA" w:eastAsia="en-CA"/>
        </w:rPr>
        <w:sym w:font="Wingdings" w:char="F0E0"/>
      </w:r>
      <w:r>
        <w:rPr>
          <w:b/>
          <w:lang w:val="en-CA" w:eastAsia="en-CA"/>
        </w:rPr>
        <w:t xml:space="preserve"> Look at Evidentiary issues (Below) and could use these hurdles as a “defense.” </w:t>
      </w:r>
    </w:p>
    <w:p w:rsidR="00366B1B" w:rsidRPr="00366B1B" w:rsidRDefault="00366B1B" w:rsidP="00FF0B61">
      <w:pPr>
        <w:pStyle w:val="ListParagraph"/>
        <w:numPr>
          <w:ilvl w:val="0"/>
          <w:numId w:val="148"/>
        </w:numPr>
        <w:rPr>
          <w:b/>
          <w:lang w:val="en-CA" w:eastAsia="en-CA"/>
        </w:rPr>
      </w:pPr>
      <w:r w:rsidRPr="00366B1B">
        <w:rPr>
          <w:b/>
          <w:lang w:val="en-CA" w:eastAsia="en-CA"/>
        </w:rPr>
        <w:t xml:space="preserve">E.g. </w:t>
      </w:r>
      <w:r w:rsidRPr="00366B1B">
        <w:rPr>
          <w:b/>
          <w:i/>
          <w:color w:val="1006E0"/>
          <w:lang w:val="en-CA" w:eastAsia="en-CA"/>
        </w:rPr>
        <w:t>Walton</w:t>
      </w:r>
      <w:r w:rsidRPr="00366B1B">
        <w:rPr>
          <w:b/>
          <w:i/>
          <w:lang w:val="en-CA" w:eastAsia="en-CA"/>
        </w:rPr>
        <w:t>:</w:t>
      </w:r>
      <w:r w:rsidRPr="00366B1B">
        <w:rPr>
          <w:b/>
          <w:lang w:val="en-CA" w:eastAsia="en-CA"/>
        </w:rPr>
        <w:t xml:space="preserve"> </w:t>
      </w:r>
      <w:r w:rsidR="00D264D6">
        <w:rPr>
          <w:lang w:val="en-CA" w:eastAsia="en-CA"/>
        </w:rPr>
        <w:t xml:space="preserve">Inferences and circumstantial E are not enough to successfully convict. They help corroborate E but that is it. </w:t>
      </w:r>
      <w:r w:rsidRPr="00366B1B">
        <w:rPr>
          <w:b/>
          <w:lang w:val="en-CA" w:eastAsia="en-CA"/>
        </w:rPr>
        <w:t xml:space="preserve"> </w:t>
      </w:r>
    </w:p>
    <w:p w:rsidR="00A04943" w:rsidRPr="005701EB" w:rsidRDefault="00A04943" w:rsidP="00FF0B61">
      <w:pPr>
        <w:pStyle w:val="Heading3"/>
        <w:spacing w:line="240" w:lineRule="auto"/>
        <w:rPr>
          <w:lang w:val="en-CA" w:eastAsia="en-CA"/>
        </w:rPr>
      </w:pPr>
      <w:bookmarkStart w:id="77" w:name="_Toc468980448"/>
      <w:r>
        <w:rPr>
          <w:szCs w:val="20"/>
        </w:rPr>
        <w:t>Evidentiary Issues</w:t>
      </w:r>
      <w:r w:rsidRPr="005701EB">
        <w:rPr>
          <w:szCs w:val="20"/>
        </w:rPr>
        <w:t xml:space="preserve">: </w:t>
      </w:r>
      <w:r w:rsidRPr="008F010E">
        <w:rPr>
          <w:b w:val="0"/>
          <w:lang w:val="en-CA" w:eastAsia="en-CA"/>
        </w:rPr>
        <w:t>Commission must prove each element of IT allegations on BofP (Burden of proof can be on D at times).</w:t>
      </w:r>
      <w:bookmarkEnd w:id="77"/>
      <w:r w:rsidRPr="005701EB">
        <w:rPr>
          <w:lang w:val="en-CA" w:eastAsia="en-CA"/>
        </w:rPr>
        <w:t xml:space="preserve"> </w:t>
      </w:r>
    </w:p>
    <w:p w:rsidR="00A04943" w:rsidRPr="005701EB" w:rsidRDefault="00A04943" w:rsidP="00FF0B61">
      <w:pPr>
        <w:pStyle w:val="Body"/>
        <w:numPr>
          <w:ilvl w:val="0"/>
          <w:numId w:val="100"/>
        </w:numPr>
        <w:rPr>
          <w:rFonts w:ascii="Calibri" w:hAnsi="Calibri"/>
          <w:bCs/>
          <w:position w:val="4"/>
          <w:sz w:val="18"/>
          <w:szCs w:val="21"/>
        </w:rPr>
      </w:pPr>
      <w:r w:rsidRPr="005701EB">
        <w:rPr>
          <w:rFonts w:ascii="Calibri" w:hAnsi="Calibri"/>
          <w:b/>
          <w:bCs/>
          <w:i/>
          <w:color w:val="1006E0"/>
          <w:position w:val="4"/>
          <w:sz w:val="18"/>
          <w:szCs w:val="21"/>
        </w:rPr>
        <w:t>Re Suman (2012)</w:t>
      </w:r>
      <w:r w:rsidRPr="005701EB">
        <w:rPr>
          <w:rFonts w:ascii="Calibri" w:hAnsi="Calibri"/>
          <w:bCs/>
          <w:i/>
          <w:color w:val="1006E0"/>
          <w:position w:val="4"/>
          <w:sz w:val="18"/>
          <w:szCs w:val="21"/>
        </w:rPr>
        <w:t>:</w:t>
      </w:r>
      <w:r w:rsidRPr="005701EB">
        <w:rPr>
          <w:rFonts w:ascii="Calibri" w:hAnsi="Calibri"/>
          <w:bCs/>
          <w:color w:val="1006E0"/>
          <w:position w:val="4"/>
          <w:sz w:val="18"/>
          <w:szCs w:val="21"/>
        </w:rPr>
        <w:t xml:space="preserve"> </w:t>
      </w:r>
      <w:r w:rsidRPr="005701EB">
        <w:rPr>
          <w:rFonts w:ascii="Calibri" w:hAnsi="Calibri"/>
          <w:b/>
          <w:bCs/>
          <w:i/>
          <w:position w:val="4"/>
          <w:sz w:val="18"/>
          <w:szCs w:val="21"/>
        </w:rPr>
        <w:t>Inferences may be drawn from circumstantial E</w:t>
      </w:r>
      <w:r w:rsidRPr="005701EB">
        <w:rPr>
          <w:rFonts w:ascii="Calibri" w:hAnsi="Calibri"/>
          <w:bCs/>
          <w:position w:val="4"/>
          <w:sz w:val="18"/>
          <w:szCs w:val="21"/>
        </w:rPr>
        <w:t xml:space="preserve"> when the inferences “are reasonably and logically drawn from the facts established by the evidence” and the evidence is “clear, convincing and cogent.”</w:t>
      </w:r>
    </w:p>
    <w:p w:rsidR="00A04943" w:rsidRPr="001D4454" w:rsidRDefault="00A04943" w:rsidP="00FF0B61">
      <w:pPr>
        <w:pStyle w:val="Body"/>
        <w:numPr>
          <w:ilvl w:val="1"/>
          <w:numId w:val="101"/>
        </w:numPr>
        <w:rPr>
          <w:rFonts w:ascii="Calibri" w:hAnsi="Calibri"/>
          <w:bCs/>
          <w:position w:val="4"/>
          <w:sz w:val="18"/>
          <w:szCs w:val="21"/>
        </w:rPr>
      </w:pPr>
      <w:r w:rsidRPr="005701EB">
        <w:rPr>
          <w:rFonts w:ascii="Calibri" w:hAnsi="Calibri"/>
          <w:b/>
          <w:bCs/>
          <w:position w:val="4"/>
          <w:sz w:val="18"/>
          <w:szCs w:val="21"/>
        </w:rPr>
        <w:t>Impermissible</w:t>
      </w:r>
      <w:r w:rsidRPr="001D4454">
        <w:rPr>
          <w:rFonts w:ascii="Calibri" w:hAnsi="Calibri"/>
          <w:b/>
          <w:bCs/>
          <w:position w:val="4"/>
          <w:sz w:val="18"/>
          <w:szCs w:val="21"/>
        </w:rPr>
        <w:t xml:space="preserve">: (1) </w:t>
      </w:r>
      <w:r w:rsidRPr="001D4454">
        <w:rPr>
          <w:rFonts w:ascii="Calibri" w:hAnsi="Calibri"/>
          <w:bCs/>
          <w:position w:val="4"/>
          <w:sz w:val="18"/>
          <w:szCs w:val="21"/>
        </w:rPr>
        <w:t xml:space="preserve">Those that necessarily assume facts that have not been proven; </w:t>
      </w:r>
      <w:r w:rsidRPr="001D4454">
        <w:rPr>
          <w:rFonts w:ascii="Calibri" w:hAnsi="Calibri"/>
          <w:b/>
          <w:bCs/>
          <w:position w:val="4"/>
          <w:sz w:val="18"/>
          <w:szCs w:val="21"/>
        </w:rPr>
        <w:t>(2)</w:t>
      </w:r>
      <w:r w:rsidRPr="001D4454">
        <w:rPr>
          <w:rFonts w:ascii="Calibri" w:hAnsi="Calibri"/>
          <w:bCs/>
          <w:position w:val="4"/>
          <w:sz w:val="18"/>
          <w:szCs w:val="21"/>
        </w:rPr>
        <w:t xml:space="preserve"> those that are linked only tenuously or speculatively to the facts that have been proven.</w:t>
      </w:r>
    </w:p>
    <w:p w:rsidR="00A04943" w:rsidRDefault="00A04943" w:rsidP="00FF0B61">
      <w:pPr>
        <w:pStyle w:val="Body"/>
        <w:numPr>
          <w:ilvl w:val="0"/>
          <w:numId w:val="100"/>
        </w:numPr>
        <w:rPr>
          <w:rFonts w:ascii="Calibri" w:hAnsi="Calibri"/>
          <w:bCs/>
          <w:position w:val="4"/>
          <w:sz w:val="18"/>
          <w:szCs w:val="21"/>
        </w:rPr>
      </w:pPr>
      <w:r w:rsidRPr="004D37C1">
        <w:rPr>
          <w:rFonts w:ascii="Calibri" w:hAnsi="Calibri"/>
          <w:b/>
          <w:bCs/>
          <w:i/>
          <w:color w:val="1006E0"/>
          <w:position w:val="4"/>
          <w:sz w:val="18"/>
          <w:szCs w:val="21"/>
        </w:rPr>
        <w:t>Holtby</w:t>
      </w:r>
      <w:r w:rsidRPr="004D37C1">
        <w:rPr>
          <w:rFonts w:ascii="Calibri" w:hAnsi="Calibri"/>
          <w:b/>
          <w:bCs/>
          <w:position w:val="4"/>
          <w:sz w:val="18"/>
          <w:szCs w:val="21"/>
        </w:rPr>
        <w:t xml:space="preserve">: </w:t>
      </w:r>
      <w:r w:rsidRPr="004D37C1">
        <w:rPr>
          <w:rFonts w:ascii="Calibri" w:hAnsi="Calibri"/>
          <w:bCs/>
          <w:position w:val="4"/>
          <w:sz w:val="18"/>
          <w:szCs w:val="21"/>
          <w:u w:val="single"/>
        </w:rPr>
        <w:t>Three instances in which inferences could be useful</w:t>
      </w:r>
      <w:r w:rsidRPr="004D37C1">
        <w:rPr>
          <w:rFonts w:ascii="Calibri" w:hAnsi="Calibri"/>
          <w:bCs/>
          <w:position w:val="4"/>
          <w:sz w:val="18"/>
          <w:szCs w:val="21"/>
        </w:rPr>
        <w:t xml:space="preserve">: </w:t>
      </w:r>
      <w:r w:rsidRPr="004D37C1">
        <w:rPr>
          <w:rFonts w:ascii="Calibri" w:hAnsi="Calibri"/>
          <w:b/>
          <w:bCs/>
          <w:position w:val="4"/>
          <w:sz w:val="18"/>
          <w:szCs w:val="21"/>
        </w:rPr>
        <w:t xml:space="preserve">(1) </w:t>
      </w:r>
      <w:r>
        <w:rPr>
          <w:rFonts w:ascii="Calibri" w:hAnsi="Calibri"/>
          <w:bCs/>
          <w:position w:val="4"/>
          <w:sz w:val="18"/>
          <w:szCs w:val="21"/>
        </w:rPr>
        <w:t>as circumstantial E</w:t>
      </w:r>
      <w:r w:rsidRPr="004D37C1">
        <w:rPr>
          <w:rFonts w:ascii="Calibri" w:hAnsi="Calibri"/>
          <w:bCs/>
          <w:position w:val="4"/>
          <w:sz w:val="18"/>
          <w:szCs w:val="21"/>
        </w:rPr>
        <w:t xml:space="preserve"> as to motive; </w:t>
      </w:r>
      <w:r w:rsidRPr="004D37C1">
        <w:rPr>
          <w:rFonts w:ascii="Calibri" w:hAnsi="Calibri"/>
          <w:b/>
          <w:bCs/>
          <w:position w:val="4"/>
          <w:sz w:val="18"/>
          <w:szCs w:val="21"/>
        </w:rPr>
        <w:t>(2)</w:t>
      </w:r>
      <w:r>
        <w:rPr>
          <w:rFonts w:ascii="Calibri" w:hAnsi="Calibri"/>
          <w:bCs/>
          <w:position w:val="4"/>
          <w:sz w:val="18"/>
          <w:szCs w:val="21"/>
        </w:rPr>
        <w:t xml:space="preserve"> as circumstantial E</w:t>
      </w:r>
      <w:r w:rsidRPr="004D37C1">
        <w:rPr>
          <w:rFonts w:ascii="Calibri" w:hAnsi="Calibri"/>
          <w:bCs/>
          <w:position w:val="4"/>
          <w:sz w:val="18"/>
          <w:szCs w:val="21"/>
        </w:rPr>
        <w:t xml:space="preserve"> as to a certain habit or practice; </w:t>
      </w:r>
      <w:r w:rsidRPr="004D37C1">
        <w:rPr>
          <w:rFonts w:ascii="Calibri" w:hAnsi="Calibri"/>
          <w:b/>
          <w:bCs/>
          <w:position w:val="4"/>
          <w:sz w:val="18"/>
          <w:szCs w:val="21"/>
        </w:rPr>
        <w:t>(3)</w:t>
      </w:r>
      <w:r>
        <w:rPr>
          <w:rFonts w:ascii="Calibri" w:hAnsi="Calibri"/>
          <w:bCs/>
          <w:position w:val="4"/>
          <w:sz w:val="18"/>
          <w:szCs w:val="21"/>
        </w:rPr>
        <w:t xml:space="preserve"> as circumstantial E</w:t>
      </w:r>
      <w:r w:rsidRPr="004D37C1">
        <w:rPr>
          <w:rFonts w:ascii="Calibri" w:hAnsi="Calibri"/>
          <w:bCs/>
          <w:position w:val="4"/>
          <w:sz w:val="18"/>
          <w:szCs w:val="21"/>
        </w:rPr>
        <w:t xml:space="preserve"> of after-the-fact conduct that could reflect consciousness of guilt – Must all be analyzed as a whole.</w:t>
      </w:r>
    </w:p>
    <w:p w:rsidR="00A04943" w:rsidRPr="00771A19" w:rsidRDefault="00A04943" w:rsidP="00FF0B61">
      <w:pPr>
        <w:pStyle w:val="Body"/>
        <w:numPr>
          <w:ilvl w:val="0"/>
          <w:numId w:val="100"/>
        </w:numPr>
        <w:rPr>
          <w:rFonts w:ascii="Calibri" w:hAnsi="Calibri"/>
          <w:bCs/>
          <w:position w:val="4"/>
          <w:sz w:val="18"/>
          <w:szCs w:val="21"/>
        </w:rPr>
      </w:pPr>
      <w:r w:rsidRPr="00366B1B">
        <w:rPr>
          <w:rFonts w:ascii="Calibri" w:hAnsi="Calibri"/>
          <w:b/>
          <w:bCs/>
          <w:i/>
          <w:color w:val="1006E0"/>
          <w:position w:val="4"/>
          <w:sz w:val="18"/>
          <w:szCs w:val="18"/>
        </w:rPr>
        <w:t>Walton</w:t>
      </w:r>
      <w:r w:rsidRPr="00771A19">
        <w:rPr>
          <w:rFonts w:ascii="Calibri" w:hAnsi="Calibri"/>
          <w:b/>
          <w:bCs/>
          <w:position w:val="4"/>
          <w:sz w:val="18"/>
          <w:szCs w:val="18"/>
        </w:rPr>
        <w:t>:</w:t>
      </w:r>
      <w:r w:rsidRPr="00771A19">
        <w:rPr>
          <w:rFonts w:ascii="Calibri" w:hAnsi="Calibri"/>
          <w:bCs/>
          <w:position w:val="4"/>
          <w:sz w:val="18"/>
          <w:szCs w:val="18"/>
        </w:rPr>
        <w:t xml:space="preserve"> </w:t>
      </w:r>
      <w:r w:rsidR="00771A19" w:rsidRPr="00771A19">
        <w:rPr>
          <w:rFonts w:ascii="Calibri" w:hAnsi="Calibri"/>
          <w:bCs/>
          <w:position w:val="4"/>
          <w:sz w:val="18"/>
          <w:szCs w:val="18"/>
        </w:rPr>
        <w:t xml:space="preserve">Increased the circumstantial E requirement - </w:t>
      </w:r>
      <w:r w:rsidRPr="00771A19">
        <w:rPr>
          <w:rFonts w:ascii="Calibri" w:hAnsi="Calibri"/>
          <w:bCs/>
          <w:position w:val="4"/>
          <w:sz w:val="18"/>
          <w:szCs w:val="18"/>
        </w:rPr>
        <w:t>The tipper needs to know or intend that it is likely that recipient will act on that info in some way</w:t>
      </w:r>
      <w:r w:rsidR="00044718" w:rsidRPr="00771A19">
        <w:rPr>
          <w:rFonts w:ascii="Calibri" w:hAnsi="Calibri"/>
          <w:bCs/>
          <w:position w:val="4"/>
          <w:sz w:val="18"/>
          <w:szCs w:val="18"/>
        </w:rPr>
        <w:t xml:space="preserve">. </w:t>
      </w:r>
    </w:p>
    <w:p w:rsidR="00A04943" w:rsidRPr="008F010E" w:rsidRDefault="00A04943" w:rsidP="00FF0B61">
      <w:pPr>
        <w:pStyle w:val="Body"/>
        <w:ind w:left="720"/>
        <w:rPr>
          <w:rFonts w:ascii="Calibri" w:hAnsi="Calibri"/>
          <w:bCs/>
          <w:position w:val="4"/>
          <w:sz w:val="18"/>
          <w:szCs w:val="21"/>
        </w:rPr>
      </w:pPr>
    </w:p>
    <w:p w:rsidR="00445A37" w:rsidRDefault="00445A37" w:rsidP="00FF0B61">
      <w:pPr>
        <w:pStyle w:val="Heading2"/>
        <w:spacing w:line="240" w:lineRule="auto"/>
        <w:rPr>
          <w:lang w:val="en-CA" w:eastAsia="en-CA"/>
        </w:rPr>
      </w:pPr>
      <w:bookmarkStart w:id="78" w:name="_Toc468980449"/>
      <w:r>
        <w:rPr>
          <w:lang w:val="en-CA" w:eastAsia="en-CA"/>
        </w:rPr>
        <w:t xml:space="preserve">Sanctions for </w:t>
      </w:r>
      <w:r w:rsidR="004D2BD6">
        <w:rPr>
          <w:lang w:val="en-CA" w:eastAsia="en-CA"/>
        </w:rPr>
        <w:t>Illegal Insider Trading/Tippin</w:t>
      </w:r>
      <w:r w:rsidR="00D73ED3">
        <w:rPr>
          <w:lang w:val="en-CA" w:eastAsia="en-CA"/>
        </w:rPr>
        <w:t>g (See Below for More Detail)</w:t>
      </w:r>
      <w:bookmarkEnd w:id="78"/>
    </w:p>
    <w:p w:rsidR="004D2BD6" w:rsidRPr="004D2BD6" w:rsidRDefault="004D2BD6" w:rsidP="00FF0B61">
      <w:pPr>
        <w:spacing w:after="0" w:line="240" w:lineRule="auto"/>
        <w:rPr>
          <w:szCs w:val="20"/>
        </w:rPr>
      </w:pPr>
      <w:r w:rsidRPr="004D2BD6">
        <w:rPr>
          <w:szCs w:val="20"/>
        </w:rPr>
        <w:t xml:space="preserve">The following sanctions may apply if X is found guilty of illegal insider trading or tipping in contravention of </w:t>
      </w:r>
      <w:r w:rsidRPr="004D2BD6">
        <w:rPr>
          <w:b/>
          <w:color w:val="C45911" w:themeColor="accent2" w:themeShade="BF"/>
          <w:szCs w:val="20"/>
        </w:rPr>
        <w:t>BCSA s. 57.2.</w:t>
      </w:r>
    </w:p>
    <w:p w:rsidR="005A096D" w:rsidRPr="004A0AAC" w:rsidRDefault="005A096D" w:rsidP="00FF0B61">
      <w:pPr>
        <w:pStyle w:val="ListParagraph"/>
        <w:numPr>
          <w:ilvl w:val="0"/>
          <w:numId w:val="107"/>
        </w:numPr>
        <w:spacing w:after="0"/>
        <w:rPr>
          <w:b/>
          <w:szCs w:val="20"/>
        </w:rPr>
      </w:pPr>
      <w:r w:rsidRPr="00480401">
        <w:rPr>
          <w:b/>
          <w:szCs w:val="20"/>
        </w:rPr>
        <w:t xml:space="preserve">Administrative Sanctions under the BCSA </w:t>
      </w:r>
      <w:r w:rsidRPr="00480401">
        <w:rPr>
          <w:szCs w:val="20"/>
        </w:rPr>
        <w:t>(most common)</w:t>
      </w:r>
      <w:r>
        <w:rPr>
          <w:szCs w:val="20"/>
        </w:rPr>
        <w:t xml:space="preserve"> (</w:t>
      </w:r>
      <w:r w:rsidRPr="005A096D">
        <w:rPr>
          <w:b/>
          <w:color w:val="C45911" w:themeColor="accent2" w:themeShade="BF"/>
          <w:szCs w:val="20"/>
        </w:rPr>
        <w:t>BCSA 161</w:t>
      </w:r>
      <w:r>
        <w:rPr>
          <w:b/>
          <w:szCs w:val="20"/>
        </w:rPr>
        <w:t>)</w:t>
      </w:r>
      <w:r w:rsidRPr="00480401">
        <w:rPr>
          <w:szCs w:val="20"/>
        </w:rPr>
        <w:t xml:space="preserve">: </w:t>
      </w:r>
      <w:r>
        <w:rPr>
          <w:szCs w:val="20"/>
        </w:rPr>
        <w:t>T</w:t>
      </w:r>
      <w:r w:rsidRPr="00480401">
        <w:rPr>
          <w:szCs w:val="20"/>
        </w:rPr>
        <w:t xml:space="preserve">he regulator may make various </w:t>
      </w:r>
      <w:r w:rsidRPr="00480401">
        <w:rPr>
          <w:b/>
          <w:szCs w:val="20"/>
        </w:rPr>
        <w:t xml:space="preserve">enforcement orders </w:t>
      </w:r>
      <w:r w:rsidRPr="00480401">
        <w:rPr>
          <w:szCs w:val="20"/>
        </w:rPr>
        <w:t>when it is in the public interest to do so</w:t>
      </w:r>
      <w:r>
        <w:rPr>
          <w:szCs w:val="20"/>
        </w:rPr>
        <w:t xml:space="preserve"> (e.g. monetary penalties, cease trade orders, denials of exemptions, and prohibitions from acting as a DIR or OFR)</w:t>
      </w:r>
      <w:r w:rsidRPr="00480401">
        <w:rPr>
          <w:szCs w:val="20"/>
        </w:rPr>
        <w:t xml:space="preserve">. </w:t>
      </w:r>
    </w:p>
    <w:p w:rsidR="005A096D" w:rsidRPr="005A096D" w:rsidRDefault="005A096D" w:rsidP="00FF0B61">
      <w:pPr>
        <w:pStyle w:val="NoSpacing"/>
        <w:numPr>
          <w:ilvl w:val="1"/>
          <w:numId w:val="107"/>
        </w:numPr>
        <w:rPr>
          <w:rFonts w:asciiTheme="minorHAnsi" w:hAnsiTheme="minorHAnsi" w:cs="Arial"/>
          <w:sz w:val="18"/>
          <w:szCs w:val="21"/>
        </w:rPr>
      </w:pPr>
      <w:r w:rsidRPr="005A096D">
        <w:rPr>
          <w:rFonts w:asciiTheme="minorHAnsi" w:hAnsiTheme="minorHAnsi" w:cs="Arial"/>
          <w:b/>
          <w:color w:val="C45911" w:themeColor="accent2" w:themeShade="BF"/>
          <w:sz w:val="18"/>
          <w:szCs w:val="21"/>
        </w:rPr>
        <w:t>161</w:t>
      </w:r>
      <w:r w:rsidRPr="005A096D">
        <w:rPr>
          <w:rFonts w:asciiTheme="minorHAnsi" w:hAnsiTheme="minorHAnsi" w:cs="Arial"/>
          <w:b/>
          <w:sz w:val="18"/>
          <w:szCs w:val="21"/>
        </w:rPr>
        <w:t>:</w:t>
      </w:r>
      <w:r w:rsidRPr="005A096D">
        <w:rPr>
          <w:rFonts w:asciiTheme="minorHAnsi" w:hAnsiTheme="minorHAnsi" w:cs="Arial"/>
          <w:sz w:val="18"/>
          <w:szCs w:val="21"/>
        </w:rPr>
        <w:t xml:space="preserve"> The regulator may make various enforcement</w:t>
      </w:r>
      <w:r w:rsidRPr="005A096D">
        <w:rPr>
          <w:rFonts w:asciiTheme="minorHAnsi" w:hAnsiTheme="minorHAnsi" w:cs="Arial"/>
          <w:b/>
          <w:sz w:val="18"/>
          <w:szCs w:val="21"/>
        </w:rPr>
        <w:t xml:space="preserve"> </w:t>
      </w:r>
      <w:r w:rsidRPr="005A096D">
        <w:rPr>
          <w:rFonts w:asciiTheme="minorHAnsi" w:hAnsiTheme="minorHAnsi" w:cs="Arial"/>
          <w:sz w:val="18"/>
          <w:szCs w:val="21"/>
        </w:rPr>
        <w:t>orders</w:t>
      </w:r>
      <w:r w:rsidRPr="005A096D">
        <w:rPr>
          <w:rFonts w:asciiTheme="minorHAnsi" w:hAnsiTheme="minorHAnsi" w:cs="Arial"/>
          <w:b/>
          <w:sz w:val="18"/>
          <w:szCs w:val="21"/>
        </w:rPr>
        <w:t xml:space="preserve"> </w:t>
      </w:r>
      <w:r w:rsidRPr="005A096D">
        <w:rPr>
          <w:rFonts w:asciiTheme="minorHAnsi" w:hAnsiTheme="minorHAnsi" w:cs="Arial"/>
          <w:sz w:val="18"/>
          <w:szCs w:val="21"/>
        </w:rPr>
        <w:t xml:space="preserve">when it is in the public interest to do so. </w:t>
      </w:r>
    </w:p>
    <w:p w:rsidR="005A096D" w:rsidRPr="005A096D" w:rsidRDefault="005A096D" w:rsidP="00FF0B61">
      <w:pPr>
        <w:pStyle w:val="NoSpacing"/>
        <w:numPr>
          <w:ilvl w:val="1"/>
          <w:numId w:val="107"/>
        </w:numPr>
        <w:rPr>
          <w:rFonts w:asciiTheme="minorHAnsi" w:hAnsiTheme="minorHAnsi" w:cs="Arial"/>
          <w:sz w:val="18"/>
          <w:szCs w:val="21"/>
        </w:rPr>
      </w:pPr>
      <w:r w:rsidRPr="005A096D">
        <w:rPr>
          <w:rFonts w:asciiTheme="minorHAnsi" w:hAnsiTheme="minorHAnsi" w:cs="Arial"/>
          <w:b/>
          <w:color w:val="C45911" w:themeColor="accent2" w:themeShade="BF"/>
          <w:sz w:val="18"/>
          <w:szCs w:val="21"/>
        </w:rPr>
        <w:t>162</w:t>
      </w:r>
      <w:r w:rsidRPr="005A096D">
        <w:rPr>
          <w:rFonts w:asciiTheme="minorHAnsi" w:hAnsiTheme="minorHAnsi" w:cs="Arial"/>
          <w:sz w:val="18"/>
          <w:szCs w:val="21"/>
        </w:rPr>
        <w:t>: The regulator may impose fines up to $1 million for each contravention of the Act, if it’s in the public interest to do so.</w:t>
      </w:r>
    </w:p>
    <w:p w:rsidR="005A096D" w:rsidRPr="005A096D" w:rsidRDefault="005A096D" w:rsidP="00FF0B61">
      <w:pPr>
        <w:pStyle w:val="NoSpacing"/>
        <w:numPr>
          <w:ilvl w:val="1"/>
          <w:numId w:val="107"/>
        </w:numPr>
        <w:rPr>
          <w:rFonts w:asciiTheme="minorHAnsi" w:hAnsiTheme="minorHAnsi" w:cs="Arial"/>
          <w:sz w:val="18"/>
          <w:szCs w:val="21"/>
        </w:rPr>
      </w:pPr>
      <w:r w:rsidRPr="005A096D">
        <w:rPr>
          <w:rFonts w:asciiTheme="minorHAnsi" w:hAnsiTheme="minorHAnsi" w:cs="Arial"/>
          <w:sz w:val="18"/>
          <w:szCs w:val="21"/>
        </w:rPr>
        <w:t xml:space="preserve">EXAMPLE: The regulator may suspend, restrict, or terminate the X’s registration, exclude X from trading in BC markets, remove X or prohibit X from acting as a director/officer of an issuer, or reprimand X. </w:t>
      </w:r>
    </w:p>
    <w:p w:rsidR="00CD3C7A" w:rsidRPr="004A0AAC" w:rsidRDefault="005A7116" w:rsidP="00FF0B61">
      <w:pPr>
        <w:pStyle w:val="ListParagraph"/>
        <w:numPr>
          <w:ilvl w:val="0"/>
          <w:numId w:val="107"/>
        </w:numPr>
        <w:spacing w:after="0"/>
        <w:rPr>
          <w:b/>
          <w:szCs w:val="20"/>
        </w:rPr>
      </w:pPr>
      <w:r w:rsidRPr="005A7116">
        <w:rPr>
          <w:b/>
          <w:szCs w:val="20"/>
        </w:rPr>
        <w:t>Quasi-Crimina</w:t>
      </w:r>
      <w:r w:rsidR="004A0AAC">
        <w:rPr>
          <w:b/>
          <w:szCs w:val="20"/>
        </w:rPr>
        <w:t xml:space="preserve">l Sanctions under </w:t>
      </w:r>
      <w:r w:rsidRPr="005A7116">
        <w:rPr>
          <w:b/>
          <w:color w:val="C45911" w:themeColor="accent2" w:themeShade="BF"/>
          <w:szCs w:val="20"/>
        </w:rPr>
        <w:t xml:space="preserve">BCSA 155(5): </w:t>
      </w:r>
      <w:r w:rsidRPr="005A7116">
        <w:rPr>
          <w:szCs w:val="20"/>
        </w:rPr>
        <w:t xml:space="preserve">The maximum penalty for a contravention of </w:t>
      </w:r>
      <w:r w:rsidRPr="005A7116">
        <w:rPr>
          <w:b/>
          <w:szCs w:val="20"/>
        </w:rPr>
        <w:t>57.2</w:t>
      </w:r>
      <w:r w:rsidRPr="005A7116">
        <w:rPr>
          <w:szCs w:val="20"/>
        </w:rPr>
        <w:t xml:space="preserve"> is a </w:t>
      </w:r>
      <w:r w:rsidRPr="005A7116">
        <w:rPr>
          <w:szCs w:val="20"/>
          <w:u w:val="single"/>
        </w:rPr>
        <w:t>fine not more than the greater of $3 million</w:t>
      </w:r>
      <w:r w:rsidRPr="005A7116">
        <w:rPr>
          <w:szCs w:val="20"/>
        </w:rPr>
        <w:t xml:space="preserve"> and an amount equal to triple any profit made by X thanks to the contravention, or </w:t>
      </w:r>
      <w:r w:rsidRPr="005A7116">
        <w:rPr>
          <w:szCs w:val="20"/>
          <w:u w:val="single"/>
        </w:rPr>
        <w:t>imprisonment for not more than 3 years</w:t>
      </w:r>
      <w:r w:rsidRPr="005A7116">
        <w:rPr>
          <w:szCs w:val="20"/>
        </w:rPr>
        <w:t>, or both.</w:t>
      </w:r>
      <w:r w:rsidRPr="005A7116">
        <w:rPr>
          <w:b/>
          <w:szCs w:val="20"/>
        </w:rPr>
        <w:t xml:space="preserve"> </w:t>
      </w:r>
    </w:p>
    <w:p w:rsidR="00CD3C7A" w:rsidRPr="00CD3C7A" w:rsidRDefault="00CD3C7A" w:rsidP="00FF0B61">
      <w:pPr>
        <w:pStyle w:val="ListParagraph"/>
        <w:numPr>
          <w:ilvl w:val="0"/>
          <w:numId w:val="107"/>
        </w:numPr>
        <w:spacing w:after="0"/>
        <w:rPr>
          <w:b/>
          <w:szCs w:val="20"/>
        </w:rPr>
      </w:pPr>
      <w:r>
        <w:rPr>
          <w:b/>
          <w:szCs w:val="20"/>
        </w:rPr>
        <w:t>Statutory Civil Liability (IT, Tipping or Recommending) (</w:t>
      </w:r>
      <w:r w:rsidRPr="00CD3C7A">
        <w:rPr>
          <w:b/>
          <w:color w:val="C45911" w:themeColor="accent2" w:themeShade="BF"/>
          <w:szCs w:val="20"/>
        </w:rPr>
        <w:t>BCSA 136</w:t>
      </w:r>
      <w:r>
        <w:rPr>
          <w:b/>
          <w:szCs w:val="20"/>
        </w:rPr>
        <w:t xml:space="preserve">): </w:t>
      </w:r>
      <w:r w:rsidRPr="00CD3C7A">
        <w:rPr>
          <w:szCs w:val="20"/>
        </w:rPr>
        <w:t xml:space="preserve">A </w:t>
      </w:r>
      <w:r>
        <w:rPr>
          <w:szCs w:val="20"/>
        </w:rPr>
        <w:t>P</w:t>
      </w:r>
      <w:r w:rsidRPr="00CD3C7A">
        <w:rPr>
          <w:szCs w:val="20"/>
        </w:rPr>
        <w:t xml:space="preserve"> may recover losses against X. The amount payable by X would be the less</w:t>
      </w:r>
      <w:r w:rsidR="004A0AAC">
        <w:rPr>
          <w:szCs w:val="20"/>
        </w:rPr>
        <w:t xml:space="preserve"> of the losses incurred by the P</w:t>
      </w:r>
      <w:r w:rsidRPr="00CD3C7A">
        <w:rPr>
          <w:szCs w:val="20"/>
        </w:rPr>
        <w:t xml:space="preserve"> or an amount determined in accordance to the regulation (but a change in market price unrelated to the material information is not attributable to damages). </w:t>
      </w:r>
    </w:p>
    <w:p w:rsidR="004A0AAC" w:rsidRDefault="004A0AAC" w:rsidP="00FF0B61">
      <w:pPr>
        <w:pStyle w:val="ListParagraph"/>
        <w:numPr>
          <w:ilvl w:val="0"/>
          <w:numId w:val="164"/>
        </w:numPr>
        <w:spacing w:after="0"/>
        <w:rPr>
          <w:szCs w:val="20"/>
        </w:rPr>
      </w:pPr>
      <w:r w:rsidRPr="004A0AAC">
        <w:rPr>
          <w:b/>
          <w:color w:val="C45911" w:themeColor="accent2" w:themeShade="BF"/>
          <w:szCs w:val="20"/>
        </w:rPr>
        <w:t>s.</w:t>
      </w:r>
      <w:r w:rsidR="00CD3C7A" w:rsidRPr="004A0AAC">
        <w:rPr>
          <w:b/>
          <w:color w:val="C45911" w:themeColor="accent2" w:themeShade="BF"/>
          <w:szCs w:val="20"/>
        </w:rPr>
        <w:t xml:space="preserve">136.2 </w:t>
      </w:r>
      <w:r w:rsidR="00741878" w:rsidRPr="00741878">
        <w:rPr>
          <w:b/>
          <w:szCs w:val="20"/>
        </w:rPr>
        <w:t xml:space="preserve">Due Diligence </w:t>
      </w:r>
      <w:r w:rsidR="00CD3C7A" w:rsidRPr="004A0AAC">
        <w:rPr>
          <w:b/>
          <w:szCs w:val="20"/>
        </w:rPr>
        <w:t>Defence</w:t>
      </w:r>
      <w:r w:rsidR="00CD3C7A" w:rsidRPr="00CD3C7A">
        <w:rPr>
          <w:szCs w:val="20"/>
        </w:rPr>
        <w:t xml:space="preserve">: A person is not liable under section 136 or 136.1 </w:t>
      </w:r>
      <w:r w:rsidR="00CD3C7A" w:rsidRPr="00741878">
        <w:rPr>
          <w:b/>
          <w:szCs w:val="20"/>
        </w:rPr>
        <w:t>(1)</w:t>
      </w:r>
      <w:r w:rsidR="00CD3C7A" w:rsidRPr="00CD3C7A">
        <w:rPr>
          <w:szCs w:val="20"/>
        </w:rPr>
        <w:t xml:space="preserve"> if, after a </w:t>
      </w:r>
      <w:r w:rsidR="00CD3C7A" w:rsidRPr="00741878">
        <w:rPr>
          <w:szCs w:val="20"/>
          <w:u w:val="single"/>
        </w:rPr>
        <w:t>reasonable investigation</w:t>
      </w:r>
      <w:r w:rsidR="00CD3C7A" w:rsidRPr="00CD3C7A">
        <w:rPr>
          <w:szCs w:val="20"/>
        </w:rPr>
        <w:t xml:space="preserve"> occurring before the person </w:t>
      </w:r>
      <w:r w:rsidR="00CD3C7A" w:rsidRPr="00741878">
        <w:rPr>
          <w:b/>
          <w:szCs w:val="20"/>
        </w:rPr>
        <w:t xml:space="preserve">(a) </w:t>
      </w:r>
      <w:r w:rsidR="00CD3C7A" w:rsidRPr="00CD3C7A">
        <w:rPr>
          <w:szCs w:val="20"/>
        </w:rPr>
        <w:t xml:space="preserve">entered into the transaction, </w:t>
      </w:r>
      <w:r w:rsidR="00CD3C7A" w:rsidRPr="00741878">
        <w:rPr>
          <w:b/>
          <w:szCs w:val="20"/>
        </w:rPr>
        <w:t xml:space="preserve">(b) </w:t>
      </w:r>
      <w:r w:rsidR="00CD3C7A" w:rsidRPr="00CD3C7A">
        <w:rPr>
          <w:szCs w:val="20"/>
        </w:rPr>
        <w:t xml:space="preserve">informed another person of the material fact or material change, or </w:t>
      </w:r>
      <w:r w:rsidR="00CD3C7A" w:rsidRPr="00741878">
        <w:rPr>
          <w:b/>
          <w:szCs w:val="20"/>
        </w:rPr>
        <w:t xml:space="preserve">(c) </w:t>
      </w:r>
      <w:r w:rsidR="00CD3C7A" w:rsidRPr="00CD3C7A">
        <w:rPr>
          <w:szCs w:val="20"/>
        </w:rPr>
        <w:t>recommended or encouraged a transaction, the person had no reasonable grounds to believe that the material fact or material change had not been generally disclosed.</w:t>
      </w:r>
    </w:p>
    <w:p w:rsidR="003D2173" w:rsidRPr="003D2173" w:rsidRDefault="003D2173" w:rsidP="00FF0B61">
      <w:pPr>
        <w:pStyle w:val="NoSpacing"/>
        <w:numPr>
          <w:ilvl w:val="0"/>
          <w:numId w:val="107"/>
        </w:numPr>
        <w:rPr>
          <w:rFonts w:asciiTheme="minorHAnsi" w:hAnsiTheme="minorHAnsi" w:cs="Arial"/>
          <w:b/>
          <w:sz w:val="18"/>
          <w:szCs w:val="21"/>
          <w:u w:val="single"/>
        </w:rPr>
      </w:pPr>
      <w:r>
        <w:rPr>
          <w:rFonts w:asciiTheme="minorHAnsi" w:hAnsiTheme="minorHAnsi" w:cs="Arial"/>
          <w:b/>
          <w:sz w:val="18"/>
          <w:szCs w:val="21"/>
          <w:u w:val="single"/>
        </w:rPr>
        <w:t xml:space="preserve">Civil Court Proceedings </w:t>
      </w:r>
      <w:r>
        <w:rPr>
          <w:rFonts w:asciiTheme="minorHAnsi" w:hAnsiTheme="minorHAnsi" w:cs="Arial"/>
          <w:b/>
          <w:sz w:val="18"/>
          <w:szCs w:val="21"/>
        </w:rPr>
        <w:t>(</w:t>
      </w:r>
      <w:r w:rsidRPr="003D2173">
        <w:rPr>
          <w:rFonts w:asciiTheme="minorHAnsi" w:hAnsiTheme="minorHAnsi" w:cs="Arial"/>
          <w:b/>
          <w:color w:val="C45911" w:themeColor="accent2" w:themeShade="BF"/>
          <w:sz w:val="18"/>
          <w:szCs w:val="21"/>
        </w:rPr>
        <w:t>BCSA 157</w:t>
      </w:r>
      <w:r>
        <w:rPr>
          <w:rFonts w:asciiTheme="minorHAnsi" w:hAnsiTheme="minorHAnsi" w:cs="Arial"/>
          <w:b/>
          <w:sz w:val="18"/>
          <w:szCs w:val="21"/>
        </w:rPr>
        <w:t xml:space="preserve">): </w:t>
      </w:r>
      <w:r w:rsidRPr="003D2173">
        <w:rPr>
          <w:rFonts w:asciiTheme="minorHAnsi" w:hAnsiTheme="minorHAnsi" w:cs="Arial"/>
          <w:sz w:val="18"/>
          <w:szCs w:val="21"/>
        </w:rPr>
        <w:t xml:space="preserve">The regulator may apply to the BCSC for an order that X has contravened a provision in the act, an order that X pay the regulator any amount obtained, directly or indirectly, as a result of the contravention, an order setting aside a trade, or an on order that X otherwise rectify the contravention to the extent that rectification is possible. </w:t>
      </w:r>
    </w:p>
    <w:p w:rsidR="00364E2E" w:rsidRPr="004D2BD6" w:rsidRDefault="00364E2E" w:rsidP="00FF0B61">
      <w:pPr>
        <w:pStyle w:val="ListParagraph"/>
        <w:spacing w:after="0"/>
        <w:contextualSpacing w:val="0"/>
        <w:rPr>
          <w:b/>
          <w:szCs w:val="20"/>
          <w:u w:val="single"/>
        </w:rPr>
      </w:pPr>
    </w:p>
    <w:p w:rsidR="00EF2101" w:rsidRDefault="0070439D" w:rsidP="00FF0B61">
      <w:pPr>
        <w:pStyle w:val="Heading1"/>
        <w:spacing w:after="0"/>
        <w:rPr>
          <w:lang w:val="en-CA" w:eastAsia="en-CA"/>
        </w:rPr>
      </w:pPr>
      <w:bookmarkStart w:id="79" w:name="_Toc468980450"/>
      <w:r w:rsidRPr="00624E1B">
        <w:rPr>
          <w:lang w:val="en-CA" w:eastAsia="en-CA"/>
        </w:rPr>
        <w:t>Take-Over Bids</w:t>
      </w:r>
      <w:bookmarkEnd w:id="79"/>
    </w:p>
    <w:p w:rsidR="00972C14" w:rsidRPr="00972C14" w:rsidRDefault="00972C14" w:rsidP="00FF0B61">
      <w:pPr>
        <w:pStyle w:val="Normal1"/>
        <w:widowControl w:val="0"/>
        <w:numPr>
          <w:ilvl w:val="0"/>
          <w:numId w:val="108"/>
        </w:numPr>
        <w:spacing w:line="240" w:lineRule="auto"/>
        <w:ind w:hanging="360"/>
        <w:contextualSpacing/>
        <w:rPr>
          <w:rFonts w:asciiTheme="minorHAnsi" w:hAnsiTheme="minorHAnsi"/>
          <w:sz w:val="18"/>
          <w:szCs w:val="20"/>
        </w:rPr>
      </w:pPr>
      <w:r w:rsidRPr="00972C14">
        <w:rPr>
          <w:rFonts w:asciiTheme="minorHAnsi" w:hAnsiTheme="minorHAnsi"/>
          <w:sz w:val="18"/>
          <w:szCs w:val="20"/>
        </w:rPr>
        <w:t xml:space="preserve">Occur when a </w:t>
      </w:r>
      <w:r w:rsidRPr="00972C14">
        <w:rPr>
          <w:rFonts w:asciiTheme="minorHAnsi" w:hAnsiTheme="minorHAnsi"/>
          <w:b/>
          <w:sz w:val="18"/>
          <w:szCs w:val="20"/>
        </w:rPr>
        <w:t>bidder</w:t>
      </w:r>
      <w:r w:rsidR="00EC5312">
        <w:rPr>
          <w:rFonts w:asciiTheme="minorHAnsi" w:hAnsiTheme="minorHAnsi"/>
          <w:b/>
          <w:sz w:val="18"/>
          <w:szCs w:val="20"/>
        </w:rPr>
        <w:t xml:space="preserve"> (“Offeror”)</w:t>
      </w:r>
      <w:r w:rsidRPr="00972C14">
        <w:rPr>
          <w:rFonts w:asciiTheme="minorHAnsi" w:hAnsiTheme="minorHAnsi"/>
          <w:b/>
          <w:sz w:val="18"/>
          <w:szCs w:val="20"/>
        </w:rPr>
        <w:t xml:space="preserve"> </w:t>
      </w:r>
      <w:r w:rsidR="00493461">
        <w:rPr>
          <w:rFonts w:asciiTheme="minorHAnsi" w:hAnsiTheme="minorHAnsi"/>
          <w:sz w:val="18"/>
          <w:szCs w:val="20"/>
        </w:rPr>
        <w:t>corp</w:t>
      </w:r>
      <w:r w:rsidRPr="00972C14">
        <w:rPr>
          <w:rFonts w:asciiTheme="minorHAnsi" w:hAnsiTheme="minorHAnsi"/>
          <w:sz w:val="18"/>
          <w:szCs w:val="20"/>
        </w:rPr>
        <w:t xml:space="preserve"> makes an offer to purchase outstanding shares of </w:t>
      </w:r>
      <w:r w:rsidRPr="00972C14">
        <w:rPr>
          <w:rFonts w:asciiTheme="minorHAnsi" w:hAnsiTheme="minorHAnsi"/>
          <w:b/>
          <w:sz w:val="18"/>
          <w:szCs w:val="20"/>
        </w:rPr>
        <w:t>target</w:t>
      </w:r>
      <w:r w:rsidRPr="00972C14">
        <w:rPr>
          <w:rFonts w:asciiTheme="minorHAnsi" w:hAnsiTheme="minorHAnsi"/>
          <w:sz w:val="18"/>
          <w:szCs w:val="20"/>
        </w:rPr>
        <w:t xml:space="preserve"> corporation</w:t>
      </w:r>
      <w:r w:rsidR="00EC5312">
        <w:rPr>
          <w:rFonts w:asciiTheme="minorHAnsi" w:hAnsiTheme="minorHAnsi"/>
          <w:sz w:val="18"/>
          <w:szCs w:val="20"/>
        </w:rPr>
        <w:t xml:space="preserve"> </w:t>
      </w:r>
      <w:r w:rsidR="00EC5312" w:rsidRPr="00EC5312">
        <w:rPr>
          <w:rFonts w:asciiTheme="minorHAnsi" w:hAnsiTheme="minorHAnsi"/>
          <w:b/>
          <w:sz w:val="18"/>
          <w:szCs w:val="20"/>
        </w:rPr>
        <w:t>(“Offeree”)</w:t>
      </w:r>
    </w:p>
    <w:p w:rsidR="00972C14" w:rsidRPr="00972C14" w:rsidRDefault="00972C14" w:rsidP="00FF0B61">
      <w:pPr>
        <w:pStyle w:val="Normal1"/>
        <w:widowControl w:val="0"/>
        <w:numPr>
          <w:ilvl w:val="1"/>
          <w:numId w:val="108"/>
        </w:numPr>
        <w:spacing w:line="240" w:lineRule="auto"/>
        <w:ind w:hanging="360"/>
        <w:contextualSpacing/>
        <w:rPr>
          <w:rFonts w:asciiTheme="minorHAnsi" w:hAnsiTheme="minorHAnsi"/>
          <w:sz w:val="18"/>
          <w:szCs w:val="20"/>
        </w:rPr>
      </w:pPr>
      <w:r w:rsidRPr="00972C14">
        <w:rPr>
          <w:rFonts w:asciiTheme="minorHAnsi" w:hAnsiTheme="minorHAnsi"/>
          <w:b/>
          <w:sz w:val="18"/>
          <w:szCs w:val="20"/>
        </w:rPr>
        <w:t xml:space="preserve">Hostile bids </w:t>
      </w:r>
      <w:r>
        <w:rPr>
          <w:rFonts w:asciiTheme="minorHAnsi" w:hAnsiTheme="minorHAnsi"/>
          <w:sz w:val="18"/>
          <w:szCs w:val="20"/>
        </w:rPr>
        <w:t>occur when target mgmt/DIR</w:t>
      </w:r>
      <w:r w:rsidRPr="00972C14">
        <w:rPr>
          <w:rFonts w:asciiTheme="minorHAnsi" w:hAnsiTheme="minorHAnsi"/>
          <w:sz w:val="18"/>
          <w:szCs w:val="20"/>
        </w:rPr>
        <w:t>s do not invite and are not generally in favour of the bid</w:t>
      </w:r>
    </w:p>
    <w:p w:rsidR="00972C14" w:rsidRPr="00972C14" w:rsidRDefault="00972C14" w:rsidP="00FF0B61">
      <w:pPr>
        <w:pStyle w:val="Normal1"/>
        <w:widowControl w:val="0"/>
        <w:numPr>
          <w:ilvl w:val="1"/>
          <w:numId w:val="108"/>
        </w:numPr>
        <w:spacing w:line="240" w:lineRule="auto"/>
        <w:ind w:hanging="360"/>
        <w:contextualSpacing/>
        <w:rPr>
          <w:rFonts w:asciiTheme="minorHAnsi" w:hAnsiTheme="minorHAnsi"/>
          <w:sz w:val="18"/>
          <w:szCs w:val="20"/>
        </w:rPr>
      </w:pPr>
      <w:r w:rsidRPr="00972C14">
        <w:rPr>
          <w:rFonts w:asciiTheme="minorHAnsi" w:hAnsiTheme="minorHAnsi"/>
          <w:b/>
          <w:sz w:val="18"/>
          <w:szCs w:val="20"/>
        </w:rPr>
        <w:t xml:space="preserve">Friendly bids </w:t>
      </w:r>
      <w:r w:rsidRPr="00972C14">
        <w:rPr>
          <w:rFonts w:asciiTheme="minorHAnsi" w:hAnsiTheme="minorHAnsi"/>
          <w:sz w:val="18"/>
          <w:szCs w:val="20"/>
        </w:rPr>
        <w:t>occur when target mgmt. approves of the takeover and cooperates with the bidder in selling the bid to target shareholders</w:t>
      </w:r>
    </w:p>
    <w:p w:rsidR="00972C14" w:rsidRPr="00972C14" w:rsidRDefault="00972C14" w:rsidP="00FF0B61">
      <w:pPr>
        <w:pStyle w:val="Normal1"/>
        <w:widowControl w:val="0"/>
        <w:numPr>
          <w:ilvl w:val="0"/>
          <w:numId w:val="108"/>
        </w:numPr>
        <w:spacing w:line="240" w:lineRule="auto"/>
        <w:ind w:hanging="360"/>
        <w:contextualSpacing/>
        <w:rPr>
          <w:rFonts w:asciiTheme="minorHAnsi" w:hAnsiTheme="minorHAnsi"/>
          <w:sz w:val="18"/>
          <w:szCs w:val="20"/>
        </w:rPr>
      </w:pPr>
      <w:r w:rsidRPr="00972C14">
        <w:rPr>
          <w:rFonts w:asciiTheme="minorHAnsi" w:hAnsiTheme="minorHAnsi"/>
          <w:sz w:val="18"/>
          <w:szCs w:val="20"/>
        </w:rPr>
        <w:t>Takeover bid occurs with making of an offer, not with completion of transaction</w:t>
      </w:r>
    </w:p>
    <w:p w:rsidR="00F5260F" w:rsidRPr="00B65C66" w:rsidRDefault="00F5260F" w:rsidP="00FF0B61">
      <w:pPr>
        <w:pStyle w:val="Normal1"/>
        <w:widowControl w:val="0"/>
        <w:spacing w:line="240" w:lineRule="auto"/>
        <w:contextualSpacing/>
        <w:rPr>
          <w:rFonts w:asciiTheme="minorHAnsi" w:hAnsiTheme="minorHAnsi"/>
          <w:b/>
          <w:sz w:val="18"/>
          <w:szCs w:val="20"/>
        </w:rPr>
      </w:pPr>
    </w:p>
    <w:p w:rsidR="00BD5BF1" w:rsidRDefault="00DB1E04" w:rsidP="00FF0B61">
      <w:pPr>
        <w:pStyle w:val="Normal1"/>
        <w:widowControl w:val="0"/>
        <w:spacing w:line="240" w:lineRule="auto"/>
        <w:contextualSpacing/>
        <w:rPr>
          <w:rFonts w:asciiTheme="minorHAnsi" w:hAnsiTheme="minorHAnsi"/>
          <w:color w:val="auto"/>
          <w:sz w:val="18"/>
          <w:szCs w:val="20"/>
        </w:rPr>
      </w:pPr>
      <w:r>
        <w:rPr>
          <w:rFonts w:asciiTheme="minorHAnsi" w:hAnsiTheme="minorHAnsi"/>
          <w:b/>
          <w:color w:val="auto"/>
          <w:sz w:val="18"/>
          <w:szCs w:val="20"/>
        </w:rPr>
        <w:t>Purpose of TOB Regs</w:t>
      </w:r>
      <w:r w:rsidR="00F87C4D" w:rsidRPr="005E32CF">
        <w:rPr>
          <w:rFonts w:asciiTheme="minorHAnsi" w:hAnsiTheme="minorHAnsi"/>
          <w:b/>
          <w:color w:val="auto"/>
          <w:sz w:val="18"/>
          <w:szCs w:val="20"/>
        </w:rPr>
        <w:t xml:space="preserve"> </w:t>
      </w:r>
      <w:r w:rsidR="00F87C4D" w:rsidRPr="005E32CF">
        <w:rPr>
          <w:rFonts w:asciiTheme="minorHAnsi" w:hAnsiTheme="minorHAnsi"/>
          <w:b/>
          <w:color w:val="7030A0"/>
          <w:sz w:val="18"/>
          <w:szCs w:val="20"/>
        </w:rPr>
        <w:t>(</w:t>
      </w:r>
      <w:r w:rsidR="009E5244" w:rsidRPr="005E32CF">
        <w:rPr>
          <w:rFonts w:asciiTheme="minorHAnsi" w:hAnsiTheme="minorHAnsi"/>
          <w:b/>
          <w:color w:val="7030A0"/>
          <w:sz w:val="18"/>
          <w:szCs w:val="20"/>
        </w:rPr>
        <w:t>NP 62-202</w:t>
      </w:r>
      <w:r w:rsidR="00F87C4D" w:rsidRPr="005E32CF">
        <w:rPr>
          <w:rFonts w:asciiTheme="minorHAnsi" w:hAnsiTheme="minorHAnsi"/>
          <w:b/>
          <w:color w:val="7030A0"/>
          <w:sz w:val="18"/>
          <w:szCs w:val="20"/>
        </w:rPr>
        <w:t xml:space="preserve"> s.3(2))</w:t>
      </w:r>
      <w:r w:rsidR="009E5244" w:rsidRPr="005E32CF">
        <w:rPr>
          <w:rFonts w:asciiTheme="minorHAnsi" w:hAnsiTheme="minorHAnsi"/>
          <w:b/>
          <w:sz w:val="18"/>
          <w:szCs w:val="20"/>
        </w:rPr>
        <w:t xml:space="preserve">: </w:t>
      </w:r>
      <w:r w:rsidR="00F87C4D" w:rsidRPr="005E32CF">
        <w:rPr>
          <w:rFonts w:asciiTheme="minorHAnsi" w:hAnsiTheme="minorHAnsi"/>
          <w:b/>
          <w:color w:val="auto"/>
          <w:sz w:val="18"/>
          <w:szCs w:val="20"/>
        </w:rPr>
        <w:t>1)</w:t>
      </w:r>
      <w:r w:rsidR="00FC6842" w:rsidRPr="005E32CF">
        <w:rPr>
          <w:rFonts w:asciiTheme="minorHAnsi" w:hAnsiTheme="minorHAnsi"/>
          <w:color w:val="auto"/>
          <w:sz w:val="18"/>
          <w:szCs w:val="20"/>
        </w:rPr>
        <w:t xml:space="preserve"> the</w:t>
      </w:r>
      <w:r w:rsidR="00FC6842">
        <w:rPr>
          <w:rFonts w:asciiTheme="minorHAnsi" w:hAnsiTheme="minorHAnsi"/>
          <w:color w:val="auto"/>
          <w:sz w:val="18"/>
          <w:szCs w:val="20"/>
        </w:rPr>
        <w:t xml:space="preserve"> </w:t>
      </w:r>
      <w:r w:rsidR="00FC6842" w:rsidRPr="00AC7C42">
        <w:rPr>
          <w:rFonts w:asciiTheme="minorHAnsi" w:hAnsiTheme="minorHAnsi"/>
          <w:color w:val="auto"/>
          <w:sz w:val="18"/>
          <w:szCs w:val="20"/>
          <w:u w:val="single"/>
        </w:rPr>
        <w:t>protection</w:t>
      </w:r>
      <w:r w:rsidR="00FC6842">
        <w:rPr>
          <w:rFonts w:asciiTheme="minorHAnsi" w:hAnsiTheme="minorHAnsi"/>
          <w:color w:val="auto"/>
          <w:sz w:val="18"/>
          <w:szCs w:val="20"/>
        </w:rPr>
        <w:t xml:space="preserve"> </w:t>
      </w:r>
      <w:r w:rsidR="00F87C4D">
        <w:rPr>
          <w:rFonts w:asciiTheme="minorHAnsi" w:hAnsiTheme="minorHAnsi"/>
          <w:color w:val="auto"/>
          <w:sz w:val="18"/>
          <w:szCs w:val="20"/>
        </w:rPr>
        <w:t>of</w:t>
      </w:r>
      <w:r w:rsidR="00FC6842">
        <w:rPr>
          <w:rFonts w:asciiTheme="minorHAnsi" w:hAnsiTheme="minorHAnsi"/>
          <w:color w:val="auto"/>
          <w:sz w:val="18"/>
          <w:szCs w:val="20"/>
        </w:rPr>
        <w:t xml:space="preserve"> bona fide </w:t>
      </w:r>
      <w:r w:rsidR="00F87C4D">
        <w:rPr>
          <w:rFonts w:asciiTheme="minorHAnsi" w:hAnsiTheme="minorHAnsi"/>
          <w:color w:val="auto"/>
          <w:sz w:val="18"/>
          <w:szCs w:val="20"/>
        </w:rPr>
        <w:t>interests</w:t>
      </w:r>
      <w:r w:rsidR="00FC6842">
        <w:rPr>
          <w:rFonts w:asciiTheme="minorHAnsi" w:hAnsiTheme="minorHAnsi"/>
          <w:color w:val="auto"/>
          <w:sz w:val="18"/>
          <w:szCs w:val="20"/>
        </w:rPr>
        <w:t xml:space="preserve"> of the SH’s of the target company</w:t>
      </w:r>
      <w:r w:rsidR="00F87C4D">
        <w:rPr>
          <w:rFonts w:asciiTheme="minorHAnsi" w:hAnsiTheme="minorHAnsi"/>
          <w:color w:val="auto"/>
          <w:sz w:val="18"/>
          <w:szCs w:val="20"/>
        </w:rPr>
        <w:t xml:space="preserve">; </w:t>
      </w:r>
      <w:r w:rsidR="00F87C4D" w:rsidRPr="005E32CF">
        <w:rPr>
          <w:rFonts w:asciiTheme="minorHAnsi" w:hAnsiTheme="minorHAnsi"/>
          <w:b/>
          <w:color w:val="auto"/>
          <w:sz w:val="18"/>
          <w:szCs w:val="20"/>
        </w:rPr>
        <w:t>2)</w:t>
      </w:r>
      <w:r w:rsidR="00F87C4D">
        <w:rPr>
          <w:rFonts w:asciiTheme="minorHAnsi" w:hAnsiTheme="minorHAnsi"/>
          <w:color w:val="auto"/>
          <w:sz w:val="18"/>
          <w:szCs w:val="20"/>
        </w:rPr>
        <w:t xml:space="preserve"> </w:t>
      </w:r>
      <w:r w:rsidR="00F87C4D" w:rsidRPr="00F87C4D">
        <w:rPr>
          <w:rFonts w:asciiTheme="minorHAnsi" w:hAnsiTheme="minorHAnsi"/>
          <w:color w:val="auto"/>
          <w:sz w:val="18"/>
          <w:szCs w:val="20"/>
        </w:rPr>
        <w:t xml:space="preserve">to provide a </w:t>
      </w:r>
      <w:r w:rsidR="00F87C4D" w:rsidRPr="00AC7C42">
        <w:rPr>
          <w:rFonts w:asciiTheme="minorHAnsi" w:hAnsiTheme="minorHAnsi"/>
          <w:color w:val="auto"/>
          <w:sz w:val="18"/>
          <w:szCs w:val="20"/>
          <w:u w:val="single"/>
        </w:rPr>
        <w:t>regulatory framework</w:t>
      </w:r>
      <w:r w:rsidR="00F87C4D" w:rsidRPr="00F87C4D">
        <w:rPr>
          <w:rFonts w:asciiTheme="minorHAnsi" w:hAnsiTheme="minorHAnsi"/>
          <w:color w:val="auto"/>
          <w:sz w:val="18"/>
          <w:szCs w:val="20"/>
        </w:rPr>
        <w:t xml:space="preserve"> within which take-over bids may proceed in an open and </w:t>
      </w:r>
      <w:r w:rsidR="005E32CF" w:rsidRPr="00F87C4D">
        <w:rPr>
          <w:rFonts w:asciiTheme="minorHAnsi" w:hAnsiTheme="minorHAnsi"/>
          <w:color w:val="auto"/>
          <w:sz w:val="18"/>
          <w:szCs w:val="20"/>
        </w:rPr>
        <w:t>even-handed</w:t>
      </w:r>
      <w:r w:rsidR="00F87C4D">
        <w:rPr>
          <w:rFonts w:asciiTheme="minorHAnsi" w:hAnsiTheme="minorHAnsi"/>
          <w:color w:val="auto"/>
          <w:sz w:val="18"/>
          <w:szCs w:val="20"/>
        </w:rPr>
        <w:t xml:space="preserve"> </w:t>
      </w:r>
      <w:r w:rsidR="00F87C4D" w:rsidRPr="00F87C4D">
        <w:rPr>
          <w:rFonts w:asciiTheme="minorHAnsi" w:hAnsiTheme="minorHAnsi"/>
          <w:color w:val="auto"/>
          <w:sz w:val="18"/>
          <w:szCs w:val="20"/>
        </w:rPr>
        <w:t>environment</w:t>
      </w:r>
    </w:p>
    <w:p w:rsidR="008B5650" w:rsidRDefault="008B5650" w:rsidP="00FF0B61">
      <w:pPr>
        <w:pStyle w:val="Normal1"/>
        <w:widowControl w:val="0"/>
        <w:spacing w:line="240" w:lineRule="auto"/>
        <w:contextualSpacing/>
        <w:rPr>
          <w:rFonts w:asciiTheme="minorHAnsi" w:hAnsiTheme="minorHAnsi"/>
          <w:color w:val="auto"/>
          <w:sz w:val="18"/>
          <w:szCs w:val="20"/>
        </w:rPr>
      </w:pPr>
    </w:p>
    <w:p w:rsidR="008B5650" w:rsidRDefault="008B5650" w:rsidP="00FF0B61">
      <w:pPr>
        <w:pStyle w:val="Normal1"/>
        <w:widowControl w:val="0"/>
        <w:spacing w:line="240" w:lineRule="auto"/>
        <w:contextualSpacing/>
        <w:rPr>
          <w:rFonts w:asciiTheme="minorHAnsi" w:hAnsiTheme="minorHAnsi"/>
          <w:color w:val="auto"/>
          <w:sz w:val="18"/>
          <w:szCs w:val="20"/>
        </w:rPr>
      </w:pPr>
    </w:p>
    <w:p w:rsidR="00403BC8" w:rsidRDefault="00403BC8" w:rsidP="00FF0B61">
      <w:pPr>
        <w:pStyle w:val="Normal1"/>
        <w:widowControl w:val="0"/>
        <w:spacing w:line="240" w:lineRule="auto"/>
        <w:contextualSpacing/>
        <w:rPr>
          <w:rFonts w:asciiTheme="minorHAnsi" w:hAnsiTheme="minorHAnsi"/>
          <w:color w:val="auto"/>
          <w:sz w:val="18"/>
          <w:szCs w:val="20"/>
        </w:rPr>
      </w:pPr>
    </w:p>
    <w:p w:rsidR="00900975" w:rsidRDefault="00900975" w:rsidP="00FF0B61">
      <w:pPr>
        <w:pStyle w:val="Heading2"/>
        <w:spacing w:line="240" w:lineRule="auto"/>
      </w:pPr>
      <w:bookmarkStart w:id="80" w:name="_Toc468980451"/>
      <w:r>
        <w:lastRenderedPageBreak/>
        <w:t>Definition</w:t>
      </w:r>
      <w:bookmarkEnd w:id="80"/>
    </w:p>
    <w:p w:rsidR="00BD5BF1" w:rsidRPr="00BD0142" w:rsidRDefault="00650744" w:rsidP="00FF0B61">
      <w:pPr>
        <w:pStyle w:val="Normal1"/>
        <w:widowControl w:val="0"/>
        <w:spacing w:line="240" w:lineRule="auto"/>
        <w:contextualSpacing/>
        <w:rPr>
          <w:rFonts w:asciiTheme="minorHAnsi" w:hAnsiTheme="minorHAnsi"/>
          <w:b/>
          <w:color w:val="auto"/>
          <w:sz w:val="18"/>
          <w:szCs w:val="20"/>
        </w:rPr>
      </w:pPr>
      <w:r>
        <w:rPr>
          <w:rFonts w:asciiTheme="minorHAnsi" w:hAnsiTheme="minorHAnsi"/>
          <w:b/>
          <w:color w:val="auto"/>
          <w:sz w:val="18"/>
          <w:szCs w:val="20"/>
        </w:rPr>
        <w:t xml:space="preserve"> </w:t>
      </w:r>
      <w:r w:rsidR="00AF2FD1">
        <w:rPr>
          <w:rFonts w:asciiTheme="minorHAnsi" w:hAnsiTheme="minorHAnsi"/>
          <w:b/>
          <w:color w:val="auto"/>
          <w:sz w:val="18"/>
          <w:szCs w:val="20"/>
        </w:rPr>
        <w:t xml:space="preserve">“Takeover Bid” </w:t>
      </w:r>
      <w:r w:rsidR="00AF2FD1" w:rsidRPr="00AF2FD1">
        <w:rPr>
          <w:rFonts w:asciiTheme="minorHAnsi" w:hAnsiTheme="minorHAnsi"/>
          <w:b/>
          <w:color w:val="auto"/>
          <w:sz w:val="18"/>
          <w:szCs w:val="20"/>
        </w:rPr>
        <w:t>(</w:t>
      </w:r>
      <w:r w:rsidR="00AF2FD1" w:rsidRPr="00AF2FD1">
        <w:rPr>
          <w:rFonts w:asciiTheme="minorHAnsi" w:hAnsiTheme="minorHAnsi"/>
          <w:b/>
          <w:color w:val="C45911" w:themeColor="accent2" w:themeShade="BF"/>
          <w:sz w:val="18"/>
          <w:szCs w:val="20"/>
        </w:rPr>
        <w:t>BCSA 92</w:t>
      </w:r>
      <w:r w:rsidR="00AF2FD1" w:rsidRPr="00AF2FD1">
        <w:rPr>
          <w:rFonts w:asciiTheme="minorHAnsi" w:hAnsiTheme="minorHAnsi"/>
          <w:b/>
          <w:color w:val="auto"/>
          <w:sz w:val="18"/>
          <w:szCs w:val="20"/>
        </w:rPr>
        <w:t>)</w:t>
      </w:r>
      <w:r w:rsidR="00AF2FD1">
        <w:rPr>
          <w:rFonts w:asciiTheme="minorHAnsi" w:hAnsiTheme="minorHAnsi"/>
          <w:b/>
          <w:color w:val="C45911" w:themeColor="accent2" w:themeShade="BF"/>
          <w:sz w:val="18"/>
          <w:szCs w:val="20"/>
        </w:rPr>
        <w:t xml:space="preserve"> </w:t>
      </w:r>
      <w:r w:rsidR="00BD0142">
        <w:rPr>
          <w:rFonts w:asciiTheme="minorHAnsi" w:hAnsiTheme="minorHAnsi"/>
          <w:b/>
          <w:color w:val="auto"/>
          <w:sz w:val="18"/>
          <w:szCs w:val="20"/>
        </w:rPr>
        <w:t xml:space="preserve">– </w:t>
      </w:r>
      <w:r w:rsidR="00BD0142" w:rsidRPr="004630DC">
        <w:rPr>
          <w:rFonts w:asciiTheme="minorHAnsi" w:hAnsiTheme="minorHAnsi"/>
          <w:color w:val="auto"/>
          <w:sz w:val="18"/>
          <w:szCs w:val="20"/>
          <w:u w:val="single"/>
        </w:rPr>
        <w:t>Direct or indirect</w:t>
      </w:r>
      <w:r w:rsidR="00BD0142">
        <w:rPr>
          <w:rFonts w:asciiTheme="minorHAnsi" w:hAnsiTheme="minorHAnsi"/>
          <w:color w:val="auto"/>
          <w:sz w:val="18"/>
          <w:szCs w:val="20"/>
        </w:rPr>
        <w:t xml:space="preserve"> offer to acquire a security that is </w:t>
      </w:r>
      <w:r w:rsidR="00BD0142" w:rsidRPr="00AF2FD1">
        <w:rPr>
          <w:rFonts w:asciiTheme="minorHAnsi" w:hAnsiTheme="minorHAnsi"/>
          <w:b/>
          <w:color w:val="C45911" w:themeColor="accent2" w:themeShade="BF"/>
          <w:sz w:val="18"/>
          <w:szCs w:val="20"/>
        </w:rPr>
        <w:t>(a)</w:t>
      </w:r>
      <w:r w:rsidR="00BD0142" w:rsidRPr="00AF2FD1">
        <w:rPr>
          <w:rFonts w:asciiTheme="minorHAnsi" w:hAnsiTheme="minorHAnsi"/>
          <w:color w:val="C45911" w:themeColor="accent2" w:themeShade="BF"/>
          <w:sz w:val="18"/>
          <w:szCs w:val="20"/>
        </w:rPr>
        <w:t xml:space="preserve"> </w:t>
      </w:r>
      <w:r w:rsidR="00BD0142">
        <w:rPr>
          <w:rFonts w:asciiTheme="minorHAnsi" w:hAnsiTheme="minorHAnsi"/>
          <w:color w:val="auto"/>
          <w:sz w:val="18"/>
          <w:szCs w:val="20"/>
        </w:rPr>
        <w:t xml:space="preserve">made by a person other than the issuer of the security, and </w:t>
      </w:r>
      <w:r w:rsidR="00BD0142" w:rsidRPr="006D30E0">
        <w:rPr>
          <w:rFonts w:asciiTheme="minorHAnsi" w:hAnsiTheme="minorHAnsi"/>
          <w:b/>
          <w:color w:val="C45911" w:themeColor="accent2" w:themeShade="BF"/>
          <w:sz w:val="18"/>
          <w:szCs w:val="20"/>
        </w:rPr>
        <w:t>(b)</w:t>
      </w:r>
      <w:r w:rsidR="00BD0142" w:rsidRPr="006D30E0">
        <w:rPr>
          <w:rFonts w:asciiTheme="minorHAnsi" w:hAnsiTheme="minorHAnsi"/>
          <w:color w:val="C45911" w:themeColor="accent2" w:themeShade="BF"/>
          <w:sz w:val="18"/>
          <w:szCs w:val="20"/>
        </w:rPr>
        <w:t xml:space="preserve"> </w:t>
      </w:r>
      <w:r w:rsidR="00BD0142">
        <w:rPr>
          <w:rFonts w:asciiTheme="minorHAnsi" w:hAnsiTheme="minorHAnsi"/>
          <w:color w:val="auto"/>
          <w:sz w:val="18"/>
          <w:szCs w:val="20"/>
        </w:rPr>
        <w:t xml:space="preserve">within a </w:t>
      </w:r>
      <w:r w:rsidR="00BD0142" w:rsidRPr="00BD0142">
        <w:rPr>
          <w:rFonts w:asciiTheme="minorHAnsi" w:hAnsiTheme="minorHAnsi"/>
          <w:b/>
          <w:i/>
          <w:color w:val="auto"/>
          <w:sz w:val="18"/>
          <w:szCs w:val="20"/>
        </w:rPr>
        <w:t>prescribed class of offers</w:t>
      </w:r>
      <w:r w:rsidR="000906D3">
        <w:rPr>
          <w:rFonts w:asciiTheme="minorHAnsi" w:hAnsiTheme="minorHAnsi"/>
          <w:color w:val="auto"/>
          <w:sz w:val="18"/>
          <w:szCs w:val="20"/>
        </w:rPr>
        <w:t xml:space="preserve"> to acquire.</w:t>
      </w:r>
    </w:p>
    <w:p w:rsidR="00650744" w:rsidRPr="003B6C47" w:rsidRDefault="003B6C47" w:rsidP="00FF0B61">
      <w:pPr>
        <w:pStyle w:val="Normal1"/>
        <w:widowControl w:val="0"/>
        <w:numPr>
          <w:ilvl w:val="0"/>
          <w:numId w:val="109"/>
        </w:numPr>
        <w:spacing w:line="240" w:lineRule="auto"/>
        <w:contextualSpacing/>
        <w:rPr>
          <w:rFonts w:asciiTheme="minorHAnsi" w:hAnsiTheme="minorHAnsi"/>
          <w:b/>
          <w:color w:val="7030A0"/>
          <w:sz w:val="18"/>
          <w:szCs w:val="20"/>
        </w:rPr>
      </w:pPr>
      <w:r w:rsidRPr="003B6C47">
        <w:rPr>
          <w:rFonts w:asciiTheme="minorHAnsi" w:hAnsiTheme="minorHAnsi"/>
          <w:b/>
          <w:color w:val="7030A0"/>
          <w:sz w:val="18"/>
          <w:szCs w:val="20"/>
        </w:rPr>
        <w:t>NI 62-104 s.1.1:</w:t>
      </w:r>
      <w:r>
        <w:rPr>
          <w:rFonts w:asciiTheme="minorHAnsi" w:hAnsiTheme="minorHAnsi"/>
          <w:b/>
          <w:color w:val="7030A0"/>
          <w:sz w:val="18"/>
          <w:szCs w:val="20"/>
        </w:rPr>
        <w:t xml:space="preserve"> </w:t>
      </w:r>
      <w:r w:rsidR="00650744" w:rsidRPr="003B6C47">
        <w:rPr>
          <w:rFonts w:asciiTheme="minorHAnsi" w:hAnsiTheme="minorHAnsi"/>
          <w:sz w:val="18"/>
          <w:szCs w:val="20"/>
        </w:rPr>
        <w:t xml:space="preserve">An offer to acquire outstanding </w:t>
      </w:r>
      <w:r w:rsidR="00650744" w:rsidRPr="001C71E0">
        <w:rPr>
          <w:rFonts w:asciiTheme="minorHAnsi" w:hAnsiTheme="minorHAnsi"/>
          <w:sz w:val="18"/>
          <w:szCs w:val="20"/>
          <w:u w:val="single"/>
        </w:rPr>
        <w:t>voting securities or equity securities</w:t>
      </w:r>
      <w:r w:rsidR="00650744" w:rsidRPr="003B6C47">
        <w:rPr>
          <w:rFonts w:asciiTheme="minorHAnsi" w:hAnsiTheme="minorHAnsi"/>
          <w:sz w:val="18"/>
          <w:szCs w:val="20"/>
        </w:rPr>
        <w:t xml:space="preserve"> </w:t>
      </w:r>
      <w:r w:rsidR="001C71E0">
        <w:rPr>
          <w:rFonts w:asciiTheme="minorHAnsi" w:hAnsiTheme="minorHAnsi"/>
          <w:sz w:val="18"/>
          <w:szCs w:val="20"/>
        </w:rPr>
        <w:t xml:space="preserve">(i.e. not debt securities) </w:t>
      </w:r>
      <w:r w:rsidR="00650744" w:rsidRPr="003B6C47">
        <w:rPr>
          <w:rFonts w:asciiTheme="minorHAnsi" w:hAnsiTheme="minorHAnsi"/>
          <w:sz w:val="18"/>
          <w:szCs w:val="20"/>
        </w:rPr>
        <w:t xml:space="preserve">of a class made to 1+ persons, any of whom is in the local jurisdiction </w:t>
      </w:r>
      <w:r w:rsidR="000906D3" w:rsidRPr="003B6C47">
        <w:rPr>
          <w:rFonts w:asciiTheme="minorHAnsi" w:hAnsiTheme="minorHAnsi"/>
          <w:sz w:val="18"/>
          <w:szCs w:val="20"/>
        </w:rPr>
        <w:t>(i.e. Province)</w:t>
      </w:r>
      <w:r w:rsidR="00650744" w:rsidRPr="003B6C47">
        <w:rPr>
          <w:rFonts w:asciiTheme="minorHAnsi" w:hAnsiTheme="minorHAnsi"/>
          <w:sz w:val="18"/>
          <w:szCs w:val="20"/>
        </w:rPr>
        <w:t xml:space="preserve">, where the securities subject to the offer to acquire, together with the offeror’s securities, constitute in the </w:t>
      </w:r>
      <w:r w:rsidR="00650744" w:rsidRPr="00F57D3E">
        <w:rPr>
          <w:rFonts w:asciiTheme="minorHAnsi" w:hAnsiTheme="minorHAnsi"/>
          <w:b/>
          <w:sz w:val="18"/>
          <w:szCs w:val="20"/>
          <w:u w:val="single"/>
        </w:rPr>
        <w:t>aggregate 20% or more of the outstanding securities</w:t>
      </w:r>
      <w:r w:rsidR="00470904">
        <w:rPr>
          <w:rFonts w:asciiTheme="minorHAnsi" w:hAnsiTheme="minorHAnsi"/>
          <w:b/>
          <w:sz w:val="18"/>
          <w:szCs w:val="20"/>
        </w:rPr>
        <w:t xml:space="preserve"> </w:t>
      </w:r>
      <w:r w:rsidR="00470904" w:rsidRPr="00470904">
        <w:rPr>
          <w:rFonts w:asciiTheme="minorHAnsi" w:hAnsiTheme="minorHAnsi"/>
          <w:b/>
          <w:sz w:val="18"/>
          <w:szCs w:val="20"/>
        </w:rPr>
        <w:t xml:space="preserve">of that </w:t>
      </w:r>
      <w:r w:rsidR="00470904" w:rsidRPr="00470904">
        <w:rPr>
          <w:rFonts w:asciiTheme="minorHAnsi" w:hAnsiTheme="minorHAnsi"/>
          <w:b/>
          <w:i/>
          <w:sz w:val="18"/>
          <w:szCs w:val="20"/>
          <w:u w:val="single"/>
        </w:rPr>
        <w:t xml:space="preserve">class </w:t>
      </w:r>
      <w:r w:rsidR="00470904" w:rsidRPr="00470904">
        <w:rPr>
          <w:rFonts w:asciiTheme="minorHAnsi" w:hAnsiTheme="minorHAnsi"/>
          <w:b/>
          <w:sz w:val="18"/>
          <w:szCs w:val="20"/>
        </w:rPr>
        <w:t>of securities</w:t>
      </w:r>
      <w:r w:rsidR="00470904">
        <w:rPr>
          <w:rFonts w:asciiTheme="minorHAnsi" w:hAnsiTheme="minorHAnsi"/>
          <w:b/>
          <w:sz w:val="18"/>
          <w:szCs w:val="20"/>
        </w:rPr>
        <w:t xml:space="preserve">. </w:t>
      </w:r>
    </w:p>
    <w:p w:rsidR="00BD0142" w:rsidRPr="009848E7" w:rsidRDefault="00BD0142" w:rsidP="00FF0B61">
      <w:pPr>
        <w:pStyle w:val="Normal1"/>
        <w:widowControl w:val="0"/>
        <w:numPr>
          <w:ilvl w:val="1"/>
          <w:numId w:val="109"/>
        </w:numPr>
        <w:spacing w:line="240" w:lineRule="auto"/>
        <w:contextualSpacing/>
        <w:rPr>
          <w:rFonts w:asciiTheme="minorHAnsi" w:hAnsiTheme="minorHAnsi"/>
          <w:sz w:val="18"/>
          <w:szCs w:val="20"/>
        </w:rPr>
      </w:pPr>
      <w:r w:rsidRPr="009848E7">
        <w:rPr>
          <w:rFonts w:asciiTheme="minorHAnsi" w:hAnsiTheme="minorHAnsi"/>
          <w:sz w:val="18"/>
          <w:szCs w:val="20"/>
        </w:rPr>
        <w:t xml:space="preserve">If own 10% of company and buy another 10% </w:t>
      </w:r>
      <w:r w:rsidRPr="009848E7">
        <w:rPr>
          <w:rFonts w:asciiTheme="minorHAnsi" w:hAnsiTheme="minorHAnsi"/>
          <w:sz w:val="18"/>
          <w:szCs w:val="20"/>
        </w:rPr>
        <w:sym w:font="Wingdings" w:char="F0E0"/>
      </w:r>
      <w:r w:rsidR="009848E7" w:rsidRPr="009848E7">
        <w:rPr>
          <w:rFonts w:asciiTheme="minorHAnsi" w:hAnsiTheme="minorHAnsi"/>
          <w:sz w:val="18"/>
          <w:szCs w:val="20"/>
        </w:rPr>
        <w:t xml:space="preserve"> this would be a takeover bid. </w:t>
      </w:r>
      <w:r w:rsidRPr="009848E7">
        <w:rPr>
          <w:rFonts w:asciiTheme="minorHAnsi" w:hAnsiTheme="minorHAnsi"/>
          <w:sz w:val="18"/>
          <w:szCs w:val="20"/>
        </w:rPr>
        <w:t xml:space="preserve"> </w:t>
      </w:r>
    </w:p>
    <w:p w:rsidR="00EF615E" w:rsidRDefault="00BD0142" w:rsidP="00FF0B61">
      <w:pPr>
        <w:pStyle w:val="Normal1"/>
        <w:widowControl w:val="0"/>
        <w:numPr>
          <w:ilvl w:val="1"/>
          <w:numId w:val="109"/>
        </w:numPr>
        <w:spacing w:line="240" w:lineRule="auto"/>
        <w:contextualSpacing/>
        <w:rPr>
          <w:rFonts w:asciiTheme="minorHAnsi" w:hAnsiTheme="minorHAnsi"/>
          <w:sz w:val="18"/>
          <w:szCs w:val="20"/>
        </w:rPr>
      </w:pPr>
      <w:r w:rsidRPr="009848E7">
        <w:rPr>
          <w:rFonts w:asciiTheme="minorHAnsi" w:hAnsiTheme="minorHAnsi"/>
          <w:sz w:val="18"/>
          <w:szCs w:val="20"/>
        </w:rPr>
        <w:t xml:space="preserve">Does not matter whether you succeed or not, simply if offering to acquire enough securities to get to 20%. </w:t>
      </w:r>
    </w:p>
    <w:p w:rsidR="004D1258" w:rsidRPr="004D1258" w:rsidRDefault="0026373C" w:rsidP="00FF0B61">
      <w:pPr>
        <w:pStyle w:val="Normal1"/>
        <w:widowControl w:val="0"/>
        <w:numPr>
          <w:ilvl w:val="1"/>
          <w:numId w:val="109"/>
        </w:numPr>
        <w:spacing w:line="240" w:lineRule="auto"/>
        <w:contextualSpacing/>
        <w:rPr>
          <w:rFonts w:asciiTheme="minorHAnsi" w:hAnsiTheme="minorHAnsi"/>
          <w:sz w:val="18"/>
          <w:szCs w:val="20"/>
        </w:rPr>
      </w:pPr>
      <w:r>
        <w:rPr>
          <w:rFonts w:asciiTheme="minorHAnsi" w:hAnsiTheme="minorHAnsi"/>
          <w:b/>
          <w:sz w:val="18"/>
          <w:szCs w:val="20"/>
        </w:rPr>
        <w:t xml:space="preserve">Offer: </w:t>
      </w:r>
      <w:r>
        <w:rPr>
          <w:rFonts w:asciiTheme="minorHAnsi" w:hAnsiTheme="minorHAnsi"/>
          <w:sz w:val="18"/>
          <w:szCs w:val="20"/>
        </w:rPr>
        <w:t>can be both direct and indirect (tries to prevent the application of TOB regs by the use of intermediaries)</w:t>
      </w:r>
    </w:p>
    <w:p w:rsidR="00721194" w:rsidRPr="004D1258" w:rsidRDefault="00721194" w:rsidP="00FF0B61">
      <w:pPr>
        <w:pStyle w:val="Normal1"/>
        <w:widowControl w:val="0"/>
        <w:numPr>
          <w:ilvl w:val="1"/>
          <w:numId w:val="109"/>
        </w:numPr>
        <w:spacing w:line="240" w:lineRule="auto"/>
        <w:contextualSpacing/>
        <w:rPr>
          <w:rFonts w:asciiTheme="minorHAnsi" w:hAnsiTheme="minorHAnsi"/>
          <w:b/>
          <w:color w:val="auto"/>
          <w:sz w:val="18"/>
          <w:szCs w:val="20"/>
        </w:rPr>
      </w:pPr>
      <w:r w:rsidRPr="00721194">
        <w:rPr>
          <w:rFonts w:asciiTheme="minorHAnsi" w:hAnsiTheme="minorHAnsi"/>
          <w:b/>
          <w:color w:val="auto"/>
          <w:sz w:val="18"/>
          <w:szCs w:val="20"/>
        </w:rPr>
        <w:t xml:space="preserve">20% threshold may be met by the aggregate holdings of multiple parties acting </w:t>
      </w:r>
      <w:r w:rsidRPr="00C92C08">
        <w:rPr>
          <w:rFonts w:asciiTheme="minorHAnsi" w:hAnsiTheme="minorHAnsi"/>
          <w:b/>
          <w:color w:val="auto"/>
          <w:sz w:val="18"/>
          <w:szCs w:val="20"/>
          <w:u w:val="single"/>
        </w:rPr>
        <w:t>“jointly and in concert”</w:t>
      </w:r>
    </w:p>
    <w:p w:rsidR="004D1258" w:rsidRPr="004D1258" w:rsidRDefault="004D1258" w:rsidP="00FF0B61">
      <w:pPr>
        <w:pStyle w:val="Normal1"/>
        <w:widowControl w:val="0"/>
        <w:numPr>
          <w:ilvl w:val="2"/>
          <w:numId w:val="109"/>
        </w:numPr>
        <w:spacing w:line="240" w:lineRule="auto"/>
        <w:rPr>
          <w:rFonts w:asciiTheme="minorHAnsi" w:hAnsiTheme="minorHAnsi"/>
          <w:sz w:val="18"/>
          <w:szCs w:val="20"/>
        </w:rPr>
      </w:pPr>
      <w:r w:rsidRPr="00826244">
        <w:rPr>
          <w:rFonts w:asciiTheme="minorHAnsi" w:hAnsiTheme="minorHAnsi"/>
          <w:b/>
          <w:sz w:val="18"/>
          <w:szCs w:val="20"/>
        </w:rPr>
        <w:t xml:space="preserve">Acting </w:t>
      </w:r>
      <w:r>
        <w:rPr>
          <w:rFonts w:asciiTheme="minorHAnsi" w:hAnsiTheme="minorHAnsi"/>
          <w:b/>
          <w:sz w:val="18"/>
          <w:szCs w:val="20"/>
        </w:rPr>
        <w:t>“</w:t>
      </w:r>
      <w:r w:rsidRPr="00826244">
        <w:rPr>
          <w:rFonts w:asciiTheme="minorHAnsi" w:hAnsiTheme="minorHAnsi"/>
          <w:b/>
          <w:sz w:val="18"/>
          <w:szCs w:val="20"/>
        </w:rPr>
        <w:t>Jointly &amp; in Concert</w:t>
      </w:r>
      <w:r>
        <w:rPr>
          <w:rFonts w:asciiTheme="minorHAnsi" w:hAnsiTheme="minorHAnsi"/>
          <w:b/>
          <w:sz w:val="18"/>
          <w:szCs w:val="20"/>
        </w:rPr>
        <w:t>” (</w:t>
      </w:r>
      <w:r w:rsidRPr="00826244">
        <w:rPr>
          <w:rFonts w:asciiTheme="minorHAnsi" w:hAnsiTheme="minorHAnsi"/>
          <w:b/>
          <w:color w:val="7030A0"/>
          <w:sz w:val="18"/>
          <w:szCs w:val="20"/>
        </w:rPr>
        <w:t xml:space="preserve">s.1.9(1) of NI 62-104): </w:t>
      </w:r>
      <w:r w:rsidRPr="00C92C08">
        <w:rPr>
          <w:rFonts w:asciiTheme="minorHAnsi" w:hAnsiTheme="minorHAnsi"/>
          <w:color w:val="auto"/>
          <w:sz w:val="18"/>
          <w:szCs w:val="20"/>
        </w:rPr>
        <w:t>It</w:t>
      </w:r>
      <w:r w:rsidRPr="00826244">
        <w:rPr>
          <w:rFonts w:asciiTheme="minorHAnsi" w:hAnsiTheme="minorHAnsi"/>
          <w:sz w:val="18"/>
          <w:szCs w:val="20"/>
        </w:rPr>
        <w:t xml:space="preserve"> is a </w:t>
      </w:r>
      <w:r w:rsidRPr="00027FC5">
        <w:rPr>
          <w:rFonts w:asciiTheme="minorHAnsi" w:hAnsiTheme="minorHAnsi"/>
          <w:b/>
          <w:sz w:val="18"/>
          <w:szCs w:val="20"/>
          <w:u w:val="single"/>
        </w:rPr>
        <w:t>question of fact</w:t>
      </w:r>
      <w:r w:rsidRPr="00826244">
        <w:rPr>
          <w:rFonts w:asciiTheme="minorHAnsi" w:hAnsiTheme="minorHAnsi"/>
          <w:sz w:val="18"/>
          <w:szCs w:val="20"/>
        </w:rPr>
        <w:t xml:space="preserve"> as to whether a person is acting jointly </w:t>
      </w:r>
      <w:r>
        <w:rPr>
          <w:rFonts w:asciiTheme="minorHAnsi" w:hAnsiTheme="minorHAnsi"/>
          <w:sz w:val="18"/>
          <w:szCs w:val="20"/>
        </w:rPr>
        <w:t xml:space="preserve">with an offeror. Includes making a formal or informal agreement, commitment or understanding by </w:t>
      </w:r>
      <w:r w:rsidRPr="000A0299">
        <w:rPr>
          <w:rFonts w:asciiTheme="minorHAnsi" w:hAnsiTheme="minorHAnsi"/>
          <w:b/>
          <w:sz w:val="18"/>
          <w:szCs w:val="20"/>
        </w:rPr>
        <w:t>(a)</w:t>
      </w:r>
      <w:r>
        <w:rPr>
          <w:rFonts w:asciiTheme="minorHAnsi" w:hAnsiTheme="minorHAnsi"/>
          <w:sz w:val="18"/>
          <w:szCs w:val="20"/>
        </w:rPr>
        <w:t xml:space="preserve"> </w:t>
      </w:r>
      <w:r w:rsidRPr="00573F11">
        <w:rPr>
          <w:rFonts w:asciiTheme="minorHAnsi" w:hAnsiTheme="minorHAnsi"/>
          <w:b/>
          <w:i/>
          <w:sz w:val="18"/>
          <w:szCs w:val="20"/>
        </w:rPr>
        <w:t>acquiring or offering to acquire securities of the same class</w:t>
      </w:r>
      <w:r>
        <w:rPr>
          <w:rFonts w:asciiTheme="minorHAnsi" w:hAnsiTheme="minorHAnsi"/>
          <w:sz w:val="18"/>
          <w:szCs w:val="20"/>
        </w:rPr>
        <w:t xml:space="preserve"> as those under the TOB; or </w:t>
      </w:r>
      <w:r w:rsidRPr="000A0299">
        <w:rPr>
          <w:rFonts w:asciiTheme="minorHAnsi" w:hAnsiTheme="minorHAnsi"/>
          <w:b/>
          <w:sz w:val="18"/>
          <w:szCs w:val="20"/>
        </w:rPr>
        <w:t>(b)</w:t>
      </w:r>
      <w:r>
        <w:rPr>
          <w:rFonts w:asciiTheme="minorHAnsi" w:hAnsiTheme="minorHAnsi"/>
          <w:sz w:val="18"/>
          <w:szCs w:val="20"/>
        </w:rPr>
        <w:t xml:space="preserve"> </w:t>
      </w:r>
      <w:r w:rsidRPr="00573F11">
        <w:rPr>
          <w:rFonts w:asciiTheme="minorHAnsi" w:hAnsiTheme="minorHAnsi"/>
          <w:b/>
          <w:i/>
          <w:sz w:val="18"/>
          <w:szCs w:val="20"/>
        </w:rPr>
        <w:t>intending to exercise voting rights attached to the target’s securities</w:t>
      </w:r>
      <w:r>
        <w:rPr>
          <w:rFonts w:asciiTheme="minorHAnsi" w:hAnsiTheme="minorHAnsi"/>
          <w:sz w:val="18"/>
          <w:szCs w:val="20"/>
        </w:rPr>
        <w:t xml:space="preserve"> jointly or in concert with the offeror (or anyone acting joint</w:t>
      </w:r>
      <w:r w:rsidR="00300E6E">
        <w:rPr>
          <w:rFonts w:asciiTheme="minorHAnsi" w:hAnsiTheme="minorHAnsi"/>
          <w:sz w:val="18"/>
          <w:szCs w:val="20"/>
        </w:rPr>
        <w:t>ly or in concert with offeror) (</w:t>
      </w:r>
      <w:r w:rsidR="00300E6E" w:rsidRPr="00300E6E">
        <w:rPr>
          <w:rFonts w:asciiTheme="minorHAnsi" w:hAnsiTheme="minorHAnsi"/>
          <w:b/>
          <w:i/>
          <w:color w:val="1006E0"/>
          <w:sz w:val="18"/>
          <w:szCs w:val="20"/>
        </w:rPr>
        <w:t>Re Arthur-Jones</w:t>
      </w:r>
      <w:r w:rsidR="00300E6E">
        <w:rPr>
          <w:rFonts w:asciiTheme="minorHAnsi" w:hAnsiTheme="minorHAnsi"/>
          <w:b/>
          <w:sz w:val="18"/>
          <w:szCs w:val="20"/>
        </w:rPr>
        <w:t>)</w:t>
      </w:r>
    </w:p>
    <w:p w:rsidR="00EF615E" w:rsidRDefault="00D21B6F" w:rsidP="00FF0B61">
      <w:pPr>
        <w:pStyle w:val="Normal1"/>
        <w:widowControl w:val="0"/>
        <w:numPr>
          <w:ilvl w:val="0"/>
          <w:numId w:val="109"/>
        </w:numPr>
        <w:spacing w:line="240" w:lineRule="auto"/>
        <w:contextualSpacing/>
        <w:rPr>
          <w:rFonts w:asciiTheme="minorHAnsi" w:hAnsiTheme="minorHAnsi"/>
          <w:sz w:val="18"/>
          <w:szCs w:val="20"/>
        </w:rPr>
      </w:pPr>
      <w:r>
        <w:rPr>
          <w:rFonts w:asciiTheme="minorHAnsi" w:hAnsiTheme="minorHAnsi"/>
          <w:b/>
          <w:sz w:val="18"/>
          <w:szCs w:val="20"/>
        </w:rPr>
        <w:t>TOB does</w:t>
      </w:r>
      <w:r w:rsidR="00EF615E" w:rsidRPr="00222E53">
        <w:rPr>
          <w:rFonts w:asciiTheme="minorHAnsi" w:hAnsiTheme="minorHAnsi"/>
          <w:b/>
          <w:sz w:val="18"/>
          <w:szCs w:val="20"/>
        </w:rPr>
        <w:t xml:space="preserve"> </w:t>
      </w:r>
      <w:r w:rsidR="00EF615E" w:rsidRPr="00222E53">
        <w:rPr>
          <w:rFonts w:asciiTheme="minorHAnsi" w:hAnsiTheme="minorHAnsi"/>
          <w:b/>
          <w:sz w:val="18"/>
          <w:szCs w:val="20"/>
          <w:u w:val="single"/>
        </w:rPr>
        <w:t>not</w:t>
      </w:r>
      <w:r w:rsidR="00EF615E" w:rsidRPr="00222E53">
        <w:rPr>
          <w:rFonts w:asciiTheme="minorHAnsi" w:hAnsiTheme="minorHAnsi"/>
          <w:b/>
          <w:sz w:val="18"/>
          <w:szCs w:val="20"/>
        </w:rPr>
        <w:t xml:space="preserve"> include</w:t>
      </w:r>
      <w:r w:rsidR="00721194">
        <w:rPr>
          <w:rFonts w:asciiTheme="minorHAnsi" w:hAnsiTheme="minorHAnsi"/>
          <w:b/>
          <w:sz w:val="18"/>
          <w:szCs w:val="20"/>
        </w:rPr>
        <w:t xml:space="preserve"> (</w:t>
      </w:r>
      <w:r w:rsidR="00721194" w:rsidRPr="00721194">
        <w:rPr>
          <w:rFonts w:asciiTheme="minorHAnsi" w:hAnsiTheme="minorHAnsi"/>
          <w:b/>
          <w:color w:val="7030A0"/>
          <w:sz w:val="18"/>
          <w:szCs w:val="20"/>
        </w:rPr>
        <w:t>s.1.1</w:t>
      </w:r>
      <w:r w:rsidR="00721194">
        <w:rPr>
          <w:rFonts w:asciiTheme="minorHAnsi" w:hAnsiTheme="minorHAnsi"/>
          <w:b/>
          <w:sz w:val="18"/>
          <w:szCs w:val="20"/>
        </w:rPr>
        <w:t>)</w:t>
      </w:r>
      <w:r w:rsidR="00222E53" w:rsidRPr="00222E53">
        <w:rPr>
          <w:rFonts w:asciiTheme="minorHAnsi" w:hAnsiTheme="minorHAnsi"/>
          <w:sz w:val="18"/>
          <w:szCs w:val="20"/>
        </w:rPr>
        <w:t xml:space="preserve">: </w:t>
      </w:r>
      <w:r w:rsidR="00EF615E" w:rsidRPr="00222E53">
        <w:rPr>
          <w:rFonts w:asciiTheme="minorHAnsi" w:hAnsiTheme="minorHAnsi"/>
          <w:sz w:val="18"/>
          <w:szCs w:val="20"/>
        </w:rPr>
        <w:t>an offer to acquire if it is a step in an amalgamation, merger, reorganization or arrangement that requires approval in a vote of security holders</w:t>
      </w:r>
      <w:r w:rsidR="00222E53">
        <w:rPr>
          <w:rFonts w:asciiTheme="minorHAnsi" w:hAnsiTheme="minorHAnsi"/>
          <w:sz w:val="18"/>
          <w:szCs w:val="20"/>
        </w:rPr>
        <w:t xml:space="preserve"> </w:t>
      </w:r>
      <w:r w:rsidR="00222E53" w:rsidRPr="00222E53">
        <w:rPr>
          <w:rFonts w:asciiTheme="minorHAnsi" w:hAnsiTheme="minorHAnsi"/>
          <w:b/>
          <w:sz w:val="18"/>
          <w:szCs w:val="20"/>
        </w:rPr>
        <w:sym w:font="Wingdings" w:char="F0E0"/>
      </w:r>
      <w:r w:rsidR="00222E53" w:rsidRPr="00222E53">
        <w:rPr>
          <w:rFonts w:asciiTheme="minorHAnsi" w:hAnsiTheme="minorHAnsi"/>
          <w:b/>
          <w:sz w:val="18"/>
          <w:szCs w:val="20"/>
        </w:rPr>
        <w:t xml:space="preserve"> </w:t>
      </w:r>
      <w:r w:rsidR="00EF615E" w:rsidRPr="00222E53">
        <w:rPr>
          <w:rFonts w:asciiTheme="minorHAnsi" w:hAnsiTheme="minorHAnsi"/>
          <w:sz w:val="18"/>
          <w:szCs w:val="20"/>
        </w:rPr>
        <w:t>Anything subject to SH vote under corporate law is not a takeover bid.</w:t>
      </w:r>
      <w:r w:rsidR="00EF615E" w:rsidRPr="00760C22">
        <w:rPr>
          <w:rFonts w:asciiTheme="minorHAnsi" w:hAnsiTheme="minorHAnsi"/>
          <w:sz w:val="18"/>
          <w:szCs w:val="20"/>
        </w:rPr>
        <w:t xml:space="preserve"> </w:t>
      </w:r>
    </w:p>
    <w:p w:rsidR="001B46F2" w:rsidRDefault="001B46F2" w:rsidP="00FF0B61">
      <w:pPr>
        <w:pStyle w:val="Normal1"/>
        <w:widowControl w:val="0"/>
        <w:spacing w:line="240" w:lineRule="auto"/>
        <w:ind w:left="720"/>
        <w:contextualSpacing/>
        <w:rPr>
          <w:rFonts w:asciiTheme="minorHAnsi" w:hAnsiTheme="minorHAnsi"/>
          <w:sz w:val="18"/>
          <w:szCs w:val="20"/>
        </w:rPr>
      </w:pPr>
    </w:p>
    <w:p w:rsidR="00DF5217" w:rsidRDefault="00DF5217" w:rsidP="00FF0B61">
      <w:pPr>
        <w:pStyle w:val="Heading2"/>
        <w:spacing w:line="240" w:lineRule="auto"/>
      </w:pPr>
      <w:bookmarkStart w:id="81" w:name="_Toc468980452"/>
      <w:r w:rsidRPr="00374DBD">
        <w:t>Exemptions from “formal” takeover bid requirements (</w:t>
      </w:r>
      <w:r w:rsidRPr="00374DBD">
        <w:rPr>
          <w:color w:val="7030A0"/>
        </w:rPr>
        <w:t>NI 62-104; PART 4 – DIV 1</w:t>
      </w:r>
      <w:r w:rsidRPr="00374DBD">
        <w:t>)</w:t>
      </w:r>
      <w:r w:rsidR="00300E6E">
        <w:t xml:space="preserve"> (Catch-then-exclude)</w:t>
      </w:r>
      <w:bookmarkEnd w:id="81"/>
    </w:p>
    <w:p w:rsidR="00DF5217" w:rsidRPr="004F6840" w:rsidRDefault="00DF5217" w:rsidP="00FF0B61">
      <w:pPr>
        <w:pStyle w:val="Normal1"/>
        <w:widowControl w:val="0"/>
        <w:spacing w:line="240" w:lineRule="auto"/>
        <w:contextualSpacing/>
        <w:rPr>
          <w:rFonts w:asciiTheme="minorHAnsi" w:hAnsiTheme="minorHAnsi"/>
          <w:sz w:val="18"/>
          <w:szCs w:val="20"/>
        </w:rPr>
      </w:pPr>
      <w:r w:rsidRPr="004F6840">
        <w:rPr>
          <w:rFonts w:asciiTheme="minorHAnsi" w:hAnsiTheme="minorHAnsi"/>
          <w:b/>
          <w:sz w:val="18"/>
          <w:szCs w:val="20"/>
        </w:rPr>
        <w:t>[1] Normal Course Purchase Exemption (</w:t>
      </w:r>
      <w:r w:rsidRPr="004F6840">
        <w:rPr>
          <w:rFonts w:asciiTheme="minorHAnsi" w:hAnsiTheme="minorHAnsi"/>
          <w:b/>
          <w:color w:val="7030A0"/>
          <w:sz w:val="18"/>
          <w:szCs w:val="20"/>
        </w:rPr>
        <w:t>4.1</w:t>
      </w:r>
      <w:r w:rsidRPr="004F6840">
        <w:rPr>
          <w:rFonts w:asciiTheme="minorHAnsi" w:hAnsiTheme="minorHAnsi"/>
          <w:b/>
          <w:sz w:val="18"/>
          <w:szCs w:val="20"/>
        </w:rPr>
        <w:t>)</w:t>
      </w:r>
      <w:r w:rsidR="004F6840" w:rsidRPr="004F6840">
        <w:rPr>
          <w:rFonts w:asciiTheme="minorHAnsi" w:hAnsiTheme="minorHAnsi"/>
          <w:b/>
          <w:sz w:val="18"/>
          <w:szCs w:val="20"/>
        </w:rPr>
        <w:t xml:space="preserve">: </w:t>
      </w:r>
      <w:r w:rsidR="004F6840" w:rsidRPr="004F6840">
        <w:rPr>
          <w:rFonts w:asciiTheme="minorHAnsi" w:hAnsiTheme="minorHAnsi"/>
          <w:sz w:val="18"/>
          <w:szCs w:val="20"/>
        </w:rPr>
        <w:t xml:space="preserve">Offeror may acquire up to 5% of the outstanding securities of a given class over a 12-month period w/o triggering TOB regulation. </w:t>
      </w:r>
    </w:p>
    <w:p w:rsidR="004F6840" w:rsidRPr="004F6840" w:rsidRDefault="004F6840" w:rsidP="00FF0B61">
      <w:pPr>
        <w:pStyle w:val="Normal1"/>
        <w:widowControl w:val="0"/>
        <w:numPr>
          <w:ilvl w:val="0"/>
          <w:numId w:val="114"/>
        </w:numPr>
        <w:spacing w:line="240" w:lineRule="auto"/>
        <w:contextualSpacing/>
        <w:rPr>
          <w:rFonts w:asciiTheme="minorHAnsi" w:hAnsiTheme="minorHAnsi"/>
          <w:sz w:val="18"/>
          <w:szCs w:val="20"/>
        </w:rPr>
      </w:pPr>
      <w:r w:rsidRPr="004F6840">
        <w:rPr>
          <w:rFonts w:asciiTheme="minorHAnsi" w:hAnsiTheme="minorHAnsi"/>
          <w:sz w:val="18"/>
          <w:szCs w:val="20"/>
        </w:rPr>
        <w:t>Target securities must be listed or quoted for trading on a published market</w:t>
      </w:r>
      <w:r>
        <w:rPr>
          <w:rFonts w:asciiTheme="minorHAnsi" w:hAnsiTheme="minorHAnsi"/>
          <w:sz w:val="18"/>
          <w:szCs w:val="20"/>
        </w:rPr>
        <w:t>.</w:t>
      </w:r>
    </w:p>
    <w:p w:rsidR="004F6840" w:rsidRDefault="004F6840" w:rsidP="00FF0B61">
      <w:pPr>
        <w:pStyle w:val="Normal1"/>
        <w:widowControl w:val="0"/>
        <w:numPr>
          <w:ilvl w:val="0"/>
          <w:numId w:val="114"/>
        </w:numPr>
        <w:spacing w:line="240" w:lineRule="auto"/>
        <w:contextualSpacing/>
        <w:rPr>
          <w:rFonts w:asciiTheme="minorHAnsi" w:hAnsiTheme="minorHAnsi"/>
          <w:sz w:val="18"/>
          <w:szCs w:val="20"/>
        </w:rPr>
      </w:pPr>
      <w:r w:rsidRPr="001C1066">
        <w:rPr>
          <w:rFonts w:asciiTheme="minorHAnsi" w:hAnsiTheme="minorHAnsi"/>
          <w:b/>
          <w:sz w:val="18"/>
          <w:szCs w:val="20"/>
        </w:rPr>
        <w:t xml:space="preserve">Value </w:t>
      </w:r>
      <w:r w:rsidRPr="004F6840">
        <w:rPr>
          <w:rFonts w:asciiTheme="minorHAnsi" w:hAnsiTheme="minorHAnsi"/>
          <w:sz w:val="18"/>
          <w:szCs w:val="20"/>
        </w:rPr>
        <w:t xml:space="preserve">of the consideration paid </w:t>
      </w:r>
      <w:r w:rsidRPr="001C1066">
        <w:rPr>
          <w:rFonts w:asciiTheme="minorHAnsi" w:hAnsiTheme="minorHAnsi"/>
          <w:b/>
          <w:sz w:val="18"/>
          <w:szCs w:val="20"/>
        </w:rPr>
        <w:t>cannot exceed the market price</w:t>
      </w:r>
      <w:r w:rsidRPr="004F6840">
        <w:rPr>
          <w:rFonts w:asciiTheme="minorHAnsi" w:hAnsiTheme="minorHAnsi"/>
          <w:sz w:val="18"/>
          <w:szCs w:val="20"/>
        </w:rPr>
        <w:t xml:space="preserve"> of the target securities at the date of acquisition</w:t>
      </w:r>
      <w:r w:rsidR="004262C8">
        <w:rPr>
          <w:rFonts w:asciiTheme="minorHAnsi" w:hAnsiTheme="minorHAnsi"/>
          <w:sz w:val="18"/>
          <w:szCs w:val="20"/>
        </w:rPr>
        <w:t>,</w:t>
      </w:r>
    </w:p>
    <w:p w:rsidR="004262C8" w:rsidRPr="004F6840" w:rsidRDefault="004262C8" w:rsidP="00FF0B61">
      <w:pPr>
        <w:pStyle w:val="Normal1"/>
        <w:widowControl w:val="0"/>
        <w:numPr>
          <w:ilvl w:val="1"/>
          <w:numId w:val="114"/>
        </w:numPr>
        <w:spacing w:line="240" w:lineRule="auto"/>
        <w:contextualSpacing/>
        <w:rPr>
          <w:rFonts w:asciiTheme="minorHAnsi" w:hAnsiTheme="minorHAnsi"/>
          <w:sz w:val="18"/>
          <w:szCs w:val="20"/>
        </w:rPr>
      </w:pPr>
      <w:r>
        <w:rPr>
          <w:rFonts w:asciiTheme="minorHAnsi" w:hAnsiTheme="minorHAnsi"/>
          <w:b/>
          <w:i/>
          <w:sz w:val="18"/>
          <w:szCs w:val="20"/>
        </w:rPr>
        <w:t xml:space="preserve">Market Price = </w:t>
      </w:r>
      <w:r>
        <w:rPr>
          <w:rFonts w:asciiTheme="minorHAnsi" w:hAnsiTheme="minorHAnsi"/>
          <w:sz w:val="18"/>
          <w:szCs w:val="20"/>
        </w:rPr>
        <w:t>simple average of the closing price over the past 20 biz days (</w:t>
      </w:r>
      <w:r w:rsidRPr="004262C8">
        <w:rPr>
          <w:rFonts w:asciiTheme="minorHAnsi" w:hAnsiTheme="minorHAnsi"/>
          <w:b/>
          <w:color w:val="7030A0"/>
          <w:sz w:val="18"/>
          <w:szCs w:val="20"/>
        </w:rPr>
        <w:t>s.1.11(1)</w:t>
      </w:r>
      <w:r>
        <w:rPr>
          <w:rFonts w:asciiTheme="minorHAnsi" w:hAnsiTheme="minorHAnsi"/>
          <w:sz w:val="18"/>
          <w:szCs w:val="20"/>
        </w:rPr>
        <w:t>)</w:t>
      </w:r>
    </w:p>
    <w:p w:rsidR="00DF5217" w:rsidRDefault="00DF5217" w:rsidP="00FF0B61">
      <w:pPr>
        <w:pStyle w:val="Normal1"/>
        <w:widowControl w:val="0"/>
        <w:spacing w:line="240" w:lineRule="auto"/>
        <w:contextualSpacing/>
        <w:rPr>
          <w:rFonts w:asciiTheme="minorHAnsi" w:hAnsiTheme="minorHAnsi"/>
          <w:sz w:val="18"/>
          <w:szCs w:val="20"/>
        </w:rPr>
      </w:pPr>
      <w:r w:rsidRPr="004F6840">
        <w:rPr>
          <w:rFonts w:asciiTheme="minorHAnsi" w:hAnsiTheme="minorHAnsi"/>
          <w:b/>
          <w:sz w:val="18"/>
          <w:szCs w:val="20"/>
        </w:rPr>
        <w:t>[2] Private agreement exemption (</w:t>
      </w:r>
      <w:r w:rsidRPr="004F6840">
        <w:rPr>
          <w:rFonts w:asciiTheme="minorHAnsi" w:hAnsiTheme="minorHAnsi"/>
          <w:b/>
          <w:color w:val="7030A0"/>
          <w:sz w:val="18"/>
          <w:szCs w:val="20"/>
        </w:rPr>
        <w:t>4.2</w:t>
      </w:r>
      <w:r w:rsidRPr="004F6840">
        <w:rPr>
          <w:rFonts w:asciiTheme="minorHAnsi" w:hAnsiTheme="minorHAnsi"/>
          <w:b/>
          <w:sz w:val="18"/>
          <w:szCs w:val="20"/>
        </w:rPr>
        <w:t>)</w:t>
      </w:r>
      <w:r w:rsidR="004F6840" w:rsidRPr="004F6840">
        <w:rPr>
          <w:rFonts w:asciiTheme="minorHAnsi" w:hAnsiTheme="minorHAnsi"/>
          <w:b/>
          <w:sz w:val="18"/>
          <w:szCs w:val="20"/>
        </w:rPr>
        <w:t xml:space="preserve">: </w:t>
      </w:r>
      <w:r w:rsidR="004F6840">
        <w:rPr>
          <w:rFonts w:asciiTheme="minorHAnsi" w:hAnsiTheme="minorHAnsi"/>
          <w:sz w:val="18"/>
          <w:szCs w:val="20"/>
        </w:rPr>
        <w:t>W</w:t>
      </w:r>
      <w:r w:rsidR="004F6840" w:rsidRPr="004F6840">
        <w:rPr>
          <w:rFonts w:asciiTheme="minorHAnsi" w:hAnsiTheme="minorHAnsi"/>
          <w:sz w:val="18"/>
          <w:szCs w:val="20"/>
        </w:rPr>
        <w:t xml:space="preserve">hereby purchaser may enter single or separate agreements </w:t>
      </w:r>
      <w:r w:rsidR="004F6840" w:rsidRPr="001C1066">
        <w:rPr>
          <w:rFonts w:asciiTheme="minorHAnsi" w:hAnsiTheme="minorHAnsi"/>
          <w:sz w:val="18"/>
          <w:szCs w:val="20"/>
          <w:u w:val="single"/>
        </w:rPr>
        <w:t>with up to 5 vendors</w:t>
      </w:r>
      <w:r w:rsidR="004F6840" w:rsidRPr="004F6840">
        <w:rPr>
          <w:rFonts w:asciiTheme="minorHAnsi" w:hAnsiTheme="minorHAnsi"/>
          <w:sz w:val="18"/>
          <w:szCs w:val="20"/>
        </w:rPr>
        <w:t xml:space="preserve"> – cannot be made to security holders generally and value of consideration paid may not exceed 115%</w:t>
      </w:r>
      <w:r w:rsidR="00AA24F7">
        <w:rPr>
          <w:rFonts w:asciiTheme="minorHAnsi" w:hAnsiTheme="minorHAnsi"/>
          <w:sz w:val="18"/>
          <w:szCs w:val="20"/>
        </w:rPr>
        <w:t>, incl broker fees and commissions,</w:t>
      </w:r>
      <w:r w:rsidR="004F6840" w:rsidRPr="004F6840">
        <w:rPr>
          <w:rFonts w:asciiTheme="minorHAnsi" w:hAnsiTheme="minorHAnsi"/>
          <w:sz w:val="18"/>
          <w:szCs w:val="20"/>
        </w:rPr>
        <w:t xml:space="preserve"> of m</w:t>
      </w:r>
      <w:r w:rsidR="006B0FB6">
        <w:rPr>
          <w:rFonts w:asciiTheme="minorHAnsi" w:hAnsiTheme="minorHAnsi"/>
          <w:sz w:val="18"/>
          <w:szCs w:val="20"/>
        </w:rPr>
        <w:t>arket price at date of bid (e.g. 5 target SH’s may control 80% of shares)</w:t>
      </w:r>
    </w:p>
    <w:p w:rsidR="00BE59C3" w:rsidRPr="00BE59C3" w:rsidRDefault="00BE59C3" w:rsidP="00FF0B61">
      <w:pPr>
        <w:pStyle w:val="Normal1"/>
        <w:widowControl w:val="0"/>
        <w:numPr>
          <w:ilvl w:val="0"/>
          <w:numId w:val="115"/>
        </w:numPr>
        <w:spacing w:line="240" w:lineRule="auto"/>
        <w:contextualSpacing/>
        <w:rPr>
          <w:rFonts w:asciiTheme="minorHAnsi" w:hAnsiTheme="minorHAnsi"/>
          <w:sz w:val="18"/>
          <w:szCs w:val="20"/>
        </w:rPr>
      </w:pPr>
      <w:r>
        <w:rPr>
          <w:rFonts w:asciiTheme="minorHAnsi" w:hAnsiTheme="minorHAnsi"/>
          <w:sz w:val="18"/>
          <w:szCs w:val="20"/>
        </w:rPr>
        <w:t>Often used to purchase securities from a control block person</w:t>
      </w:r>
    </w:p>
    <w:p w:rsidR="00DF5217" w:rsidRPr="008F1F0D" w:rsidRDefault="00DF5217" w:rsidP="00FF0B61">
      <w:pPr>
        <w:pStyle w:val="Normal1"/>
        <w:widowControl w:val="0"/>
        <w:spacing w:line="240" w:lineRule="auto"/>
        <w:contextualSpacing/>
        <w:rPr>
          <w:rFonts w:asciiTheme="minorHAnsi" w:hAnsiTheme="minorHAnsi"/>
          <w:b/>
          <w:sz w:val="18"/>
          <w:szCs w:val="20"/>
        </w:rPr>
      </w:pPr>
      <w:r w:rsidRPr="008F1F0D">
        <w:rPr>
          <w:rFonts w:asciiTheme="minorHAnsi" w:hAnsiTheme="minorHAnsi"/>
          <w:b/>
          <w:sz w:val="18"/>
          <w:szCs w:val="20"/>
        </w:rPr>
        <w:t>[3] Non-reporting Issuer Exemption (</w:t>
      </w:r>
      <w:r w:rsidRPr="008F1F0D">
        <w:rPr>
          <w:rFonts w:asciiTheme="minorHAnsi" w:hAnsiTheme="minorHAnsi"/>
          <w:b/>
          <w:color w:val="7030A0"/>
          <w:sz w:val="18"/>
          <w:szCs w:val="20"/>
        </w:rPr>
        <w:t>4.3</w:t>
      </w:r>
      <w:r w:rsidRPr="008F1F0D">
        <w:rPr>
          <w:rFonts w:asciiTheme="minorHAnsi" w:hAnsiTheme="minorHAnsi"/>
          <w:b/>
          <w:sz w:val="18"/>
          <w:szCs w:val="20"/>
        </w:rPr>
        <w:t>)</w:t>
      </w:r>
      <w:r w:rsidR="00BE59C3" w:rsidRPr="008F1F0D">
        <w:rPr>
          <w:rFonts w:asciiTheme="minorHAnsi" w:hAnsiTheme="minorHAnsi"/>
          <w:b/>
          <w:sz w:val="18"/>
          <w:szCs w:val="20"/>
        </w:rPr>
        <w:t xml:space="preserve">: </w:t>
      </w:r>
      <w:r w:rsidR="0062486F" w:rsidRPr="0062486F">
        <w:rPr>
          <w:rFonts w:asciiTheme="minorHAnsi" w:hAnsiTheme="minorHAnsi"/>
          <w:sz w:val="18"/>
          <w:szCs w:val="20"/>
        </w:rPr>
        <w:t xml:space="preserve">TOB exempt </w:t>
      </w:r>
      <w:r w:rsidR="0062486F" w:rsidRPr="001C1066">
        <w:rPr>
          <w:rFonts w:asciiTheme="minorHAnsi" w:hAnsiTheme="minorHAnsi"/>
          <w:b/>
          <w:sz w:val="18"/>
          <w:szCs w:val="20"/>
        </w:rPr>
        <w:t>if target</w:t>
      </w:r>
      <w:r w:rsidR="0062486F" w:rsidRPr="0062486F">
        <w:rPr>
          <w:rFonts w:asciiTheme="minorHAnsi" w:hAnsiTheme="minorHAnsi"/>
          <w:sz w:val="18"/>
          <w:szCs w:val="20"/>
        </w:rPr>
        <w:t xml:space="preserve"> </w:t>
      </w:r>
      <w:r w:rsidR="0062486F" w:rsidRPr="001C1066">
        <w:rPr>
          <w:rFonts w:asciiTheme="minorHAnsi" w:hAnsiTheme="minorHAnsi"/>
          <w:b/>
          <w:sz w:val="18"/>
          <w:szCs w:val="20"/>
        </w:rPr>
        <w:t>(1)</w:t>
      </w:r>
      <w:r w:rsidR="0062486F">
        <w:rPr>
          <w:rFonts w:asciiTheme="minorHAnsi" w:hAnsiTheme="minorHAnsi"/>
          <w:sz w:val="18"/>
          <w:szCs w:val="20"/>
        </w:rPr>
        <w:t xml:space="preserve"> </w:t>
      </w:r>
      <w:r w:rsidR="0062486F" w:rsidRPr="0062486F">
        <w:rPr>
          <w:rFonts w:asciiTheme="minorHAnsi" w:hAnsiTheme="minorHAnsi"/>
          <w:sz w:val="18"/>
          <w:szCs w:val="20"/>
        </w:rPr>
        <w:t xml:space="preserve">Is not a reporting issuer </w:t>
      </w:r>
      <w:r w:rsidR="0062486F" w:rsidRPr="001C1066">
        <w:rPr>
          <w:rFonts w:asciiTheme="minorHAnsi" w:hAnsiTheme="minorHAnsi"/>
          <w:b/>
          <w:sz w:val="18"/>
          <w:szCs w:val="20"/>
        </w:rPr>
        <w:t>(2)</w:t>
      </w:r>
      <w:r w:rsidR="0062486F">
        <w:rPr>
          <w:rFonts w:asciiTheme="minorHAnsi" w:hAnsiTheme="minorHAnsi"/>
          <w:sz w:val="18"/>
          <w:szCs w:val="20"/>
        </w:rPr>
        <w:t xml:space="preserve"> </w:t>
      </w:r>
      <w:r w:rsidR="0062486F" w:rsidRPr="0062486F">
        <w:rPr>
          <w:rFonts w:asciiTheme="minorHAnsi" w:hAnsiTheme="minorHAnsi"/>
          <w:sz w:val="18"/>
          <w:szCs w:val="20"/>
        </w:rPr>
        <w:t xml:space="preserve">No published market for its securities </w:t>
      </w:r>
      <w:r w:rsidR="0062486F" w:rsidRPr="001C1066">
        <w:rPr>
          <w:rFonts w:asciiTheme="minorHAnsi" w:hAnsiTheme="minorHAnsi"/>
          <w:b/>
          <w:sz w:val="18"/>
          <w:szCs w:val="20"/>
        </w:rPr>
        <w:t>(3)</w:t>
      </w:r>
      <w:r w:rsidR="0062486F">
        <w:rPr>
          <w:rFonts w:asciiTheme="minorHAnsi" w:hAnsiTheme="minorHAnsi"/>
          <w:sz w:val="18"/>
          <w:szCs w:val="20"/>
        </w:rPr>
        <w:t xml:space="preserve"> M</w:t>
      </w:r>
      <w:r w:rsidR="0062486F" w:rsidRPr="0062486F">
        <w:rPr>
          <w:rFonts w:asciiTheme="minorHAnsi" w:hAnsiTheme="minorHAnsi"/>
          <w:sz w:val="18"/>
          <w:szCs w:val="20"/>
        </w:rPr>
        <w:t>ax of 50 securityholders (excluding employees)</w:t>
      </w:r>
      <w:r w:rsidR="0062486F">
        <w:rPr>
          <w:rFonts w:asciiTheme="minorHAnsi" w:hAnsiTheme="minorHAnsi"/>
          <w:sz w:val="18"/>
          <w:szCs w:val="20"/>
        </w:rPr>
        <w:t xml:space="preserve">. </w:t>
      </w:r>
    </w:p>
    <w:p w:rsidR="00DF5217" w:rsidRPr="005E37B8" w:rsidRDefault="00DF5217" w:rsidP="00FF0B61">
      <w:pPr>
        <w:pStyle w:val="Normal1"/>
        <w:widowControl w:val="0"/>
        <w:spacing w:line="240" w:lineRule="auto"/>
        <w:contextualSpacing/>
        <w:rPr>
          <w:rFonts w:asciiTheme="minorHAnsi" w:hAnsiTheme="minorHAnsi"/>
          <w:b/>
          <w:sz w:val="18"/>
          <w:szCs w:val="20"/>
        </w:rPr>
      </w:pPr>
      <w:r w:rsidRPr="005E37B8">
        <w:rPr>
          <w:rFonts w:asciiTheme="minorHAnsi" w:hAnsiTheme="minorHAnsi"/>
          <w:b/>
          <w:sz w:val="18"/>
          <w:szCs w:val="20"/>
        </w:rPr>
        <w:t>[4] Foreign take-over bid exemption (</w:t>
      </w:r>
      <w:r w:rsidRPr="005E37B8">
        <w:rPr>
          <w:rFonts w:asciiTheme="minorHAnsi" w:hAnsiTheme="minorHAnsi"/>
          <w:b/>
          <w:color w:val="7030A0"/>
          <w:sz w:val="18"/>
          <w:szCs w:val="20"/>
        </w:rPr>
        <w:t>4.4</w:t>
      </w:r>
      <w:r w:rsidRPr="005E37B8">
        <w:rPr>
          <w:rFonts w:asciiTheme="minorHAnsi" w:hAnsiTheme="minorHAnsi"/>
          <w:b/>
          <w:sz w:val="18"/>
          <w:szCs w:val="20"/>
        </w:rPr>
        <w:t>)</w:t>
      </w:r>
      <w:r w:rsidR="005E37B8" w:rsidRPr="005E37B8">
        <w:rPr>
          <w:rFonts w:asciiTheme="minorHAnsi" w:hAnsiTheme="minorHAnsi"/>
          <w:b/>
          <w:sz w:val="18"/>
          <w:szCs w:val="20"/>
        </w:rPr>
        <w:t xml:space="preserve">: </w:t>
      </w:r>
      <w:r w:rsidR="00AF1756" w:rsidRPr="00AF1756">
        <w:rPr>
          <w:rFonts w:asciiTheme="minorHAnsi" w:hAnsiTheme="minorHAnsi"/>
          <w:sz w:val="18"/>
          <w:szCs w:val="20"/>
        </w:rPr>
        <w:t xml:space="preserve">90% of offerees are outside of Canada, offeror reasonably believed that Canada residents beneficially </w:t>
      </w:r>
      <w:r w:rsidR="00AF1756" w:rsidRPr="001B46FB">
        <w:rPr>
          <w:rFonts w:asciiTheme="minorHAnsi" w:hAnsiTheme="minorHAnsi"/>
          <w:b/>
          <w:sz w:val="18"/>
          <w:szCs w:val="20"/>
        </w:rPr>
        <w:t>own less than 10%, published market with greatest volume outside Canada</w:t>
      </w:r>
      <w:r w:rsidR="00AF1756" w:rsidRPr="00AF1756">
        <w:rPr>
          <w:rFonts w:asciiTheme="minorHAnsi" w:hAnsiTheme="minorHAnsi"/>
          <w:sz w:val="18"/>
          <w:szCs w:val="20"/>
        </w:rPr>
        <w:t>.</w:t>
      </w:r>
    </w:p>
    <w:p w:rsidR="008102F3" w:rsidRPr="008102F3" w:rsidRDefault="00DF5217" w:rsidP="00FF0B61">
      <w:pPr>
        <w:pStyle w:val="Normal1"/>
        <w:widowControl w:val="0"/>
        <w:spacing w:line="240" w:lineRule="auto"/>
        <w:contextualSpacing/>
        <w:rPr>
          <w:rFonts w:asciiTheme="minorHAnsi" w:hAnsiTheme="minorHAnsi"/>
          <w:sz w:val="18"/>
          <w:szCs w:val="18"/>
        </w:rPr>
      </w:pPr>
      <w:r w:rsidRPr="00673060">
        <w:rPr>
          <w:rFonts w:asciiTheme="minorHAnsi" w:hAnsiTheme="minorHAnsi"/>
          <w:b/>
          <w:sz w:val="18"/>
          <w:szCs w:val="20"/>
        </w:rPr>
        <w:t>[5] De Minimis Exemption (</w:t>
      </w:r>
      <w:r w:rsidRPr="00673060">
        <w:rPr>
          <w:rFonts w:asciiTheme="minorHAnsi" w:hAnsiTheme="minorHAnsi"/>
          <w:b/>
          <w:color w:val="7030A0"/>
          <w:sz w:val="18"/>
          <w:szCs w:val="20"/>
        </w:rPr>
        <w:t>4.5</w:t>
      </w:r>
      <w:r w:rsidRPr="00673060">
        <w:rPr>
          <w:rFonts w:asciiTheme="minorHAnsi" w:hAnsiTheme="minorHAnsi"/>
          <w:b/>
          <w:sz w:val="18"/>
          <w:szCs w:val="20"/>
        </w:rPr>
        <w:t>)</w:t>
      </w:r>
      <w:r w:rsidR="008102F3">
        <w:rPr>
          <w:rFonts w:asciiTheme="minorHAnsi" w:hAnsiTheme="minorHAnsi"/>
          <w:b/>
          <w:sz w:val="18"/>
          <w:szCs w:val="20"/>
        </w:rPr>
        <w:t xml:space="preserve">: </w:t>
      </w:r>
      <w:r w:rsidR="007E35A1">
        <w:rPr>
          <w:rFonts w:asciiTheme="minorHAnsi" w:hAnsiTheme="minorHAnsi"/>
          <w:sz w:val="18"/>
          <w:szCs w:val="18"/>
        </w:rPr>
        <w:t xml:space="preserve">TOB is exempt from regulation w/in a jurisdiction (i.e. a province or territory) if only a minimal portion of the bid occurs in the jurisdiction. </w:t>
      </w:r>
      <w:r w:rsidR="007E35A1" w:rsidRPr="001B46FB">
        <w:rPr>
          <w:rFonts w:asciiTheme="minorHAnsi" w:hAnsiTheme="minorHAnsi"/>
          <w:b/>
          <w:sz w:val="18"/>
          <w:szCs w:val="18"/>
          <w:u w:val="single"/>
        </w:rPr>
        <w:t>Factors:</w:t>
      </w:r>
      <w:r w:rsidR="007E35A1">
        <w:rPr>
          <w:rFonts w:asciiTheme="minorHAnsi" w:hAnsiTheme="minorHAnsi"/>
          <w:sz w:val="18"/>
          <w:szCs w:val="18"/>
        </w:rPr>
        <w:t xml:space="preserve"> </w:t>
      </w:r>
    </w:p>
    <w:p w:rsidR="00EF1BDF" w:rsidRDefault="008102F3" w:rsidP="00FF0B61">
      <w:pPr>
        <w:pStyle w:val="Normal1"/>
        <w:widowControl w:val="0"/>
        <w:numPr>
          <w:ilvl w:val="0"/>
          <w:numId w:val="115"/>
        </w:numPr>
        <w:spacing w:line="240" w:lineRule="auto"/>
        <w:contextualSpacing/>
        <w:rPr>
          <w:rFonts w:asciiTheme="minorHAnsi" w:hAnsiTheme="minorHAnsi"/>
          <w:sz w:val="18"/>
          <w:szCs w:val="18"/>
        </w:rPr>
      </w:pPr>
      <w:r w:rsidRPr="008102F3">
        <w:rPr>
          <w:rFonts w:asciiTheme="minorHAnsi" w:hAnsiTheme="minorHAnsi"/>
          <w:sz w:val="18"/>
          <w:szCs w:val="18"/>
        </w:rPr>
        <w:t>Maximum 49 beneficial holders of target securities in jurisdiction</w:t>
      </w:r>
      <w:r w:rsidR="00E35424">
        <w:rPr>
          <w:rFonts w:asciiTheme="minorHAnsi" w:hAnsiTheme="minorHAnsi"/>
          <w:sz w:val="18"/>
          <w:szCs w:val="18"/>
        </w:rPr>
        <w:t>;</w:t>
      </w:r>
    </w:p>
    <w:p w:rsidR="00EF1BDF" w:rsidRDefault="008102F3" w:rsidP="00FF0B61">
      <w:pPr>
        <w:pStyle w:val="Normal1"/>
        <w:widowControl w:val="0"/>
        <w:numPr>
          <w:ilvl w:val="0"/>
          <w:numId w:val="115"/>
        </w:numPr>
        <w:spacing w:line="240" w:lineRule="auto"/>
        <w:contextualSpacing/>
        <w:rPr>
          <w:rFonts w:asciiTheme="minorHAnsi" w:hAnsiTheme="minorHAnsi"/>
          <w:sz w:val="18"/>
          <w:szCs w:val="18"/>
        </w:rPr>
      </w:pPr>
      <w:r w:rsidRPr="00EF1BDF">
        <w:rPr>
          <w:rFonts w:asciiTheme="minorHAnsi" w:hAnsiTheme="minorHAnsi"/>
          <w:sz w:val="18"/>
          <w:szCs w:val="18"/>
        </w:rPr>
        <w:t>Who hold less than 2% of the outstanding shares of the class in the aggregate</w:t>
      </w:r>
      <w:r w:rsidR="00E35424">
        <w:rPr>
          <w:rFonts w:asciiTheme="minorHAnsi" w:hAnsiTheme="minorHAnsi"/>
          <w:sz w:val="18"/>
          <w:szCs w:val="18"/>
        </w:rPr>
        <w:t>;</w:t>
      </w:r>
    </w:p>
    <w:p w:rsidR="00EF1BDF" w:rsidRDefault="008102F3" w:rsidP="00FF0B61">
      <w:pPr>
        <w:pStyle w:val="Normal1"/>
        <w:widowControl w:val="0"/>
        <w:numPr>
          <w:ilvl w:val="0"/>
          <w:numId w:val="115"/>
        </w:numPr>
        <w:spacing w:line="240" w:lineRule="auto"/>
        <w:contextualSpacing/>
        <w:rPr>
          <w:rFonts w:asciiTheme="minorHAnsi" w:hAnsiTheme="minorHAnsi"/>
          <w:sz w:val="18"/>
          <w:szCs w:val="18"/>
        </w:rPr>
      </w:pPr>
      <w:r w:rsidRPr="00EF1BDF">
        <w:rPr>
          <w:rFonts w:asciiTheme="minorHAnsi" w:hAnsiTheme="minorHAnsi"/>
          <w:sz w:val="18"/>
          <w:szCs w:val="18"/>
        </w:rPr>
        <w:t>Security holders in the jurisdiction are entitled to participate in the takeover bid on terms at least as favourable as those that apply to general body of security holders of the same class</w:t>
      </w:r>
      <w:r w:rsidR="00E35424">
        <w:rPr>
          <w:rFonts w:asciiTheme="minorHAnsi" w:hAnsiTheme="minorHAnsi"/>
          <w:sz w:val="18"/>
          <w:szCs w:val="18"/>
        </w:rPr>
        <w:t>;</w:t>
      </w:r>
    </w:p>
    <w:p w:rsidR="008102F3" w:rsidRDefault="008102F3" w:rsidP="00FF0B61">
      <w:pPr>
        <w:pStyle w:val="Normal1"/>
        <w:widowControl w:val="0"/>
        <w:numPr>
          <w:ilvl w:val="0"/>
          <w:numId w:val="115"/>
        </w:numPr>
        <w:spacing w:line="240" w:lineRule="auto"/>
        <w:contextualSpacing/>
        <w:rPr>
          <w:rFonts w:asciiTheme="minorHAnsi" w:hAnsiTheme="minorHAnsi"/>
          <w:sz w:val="18"/>
          <w:szCs w:val="18"/>
        </w:rPr>
      </w:pPr>
      <w:r w:rsidRPr="00EF1BDF">
        <w:rPr>
          <w:rFonts w:asciiTheme="minorHAnsi" w:hAnsiTheme="minorHAnsi"/>
          <w:sz w:val="18"/>
          <w:szCs w:val="18"/>
        </w:rPr>
        <w:t>Takeover bid materials must be filed on SEDAR and sent to security holders in the jurisdiction</w:t>
      </w:r>
      <w:r w:rsidR="00E35424">
        <w:rPr>
          <w:rFonts w:asciiTheme="minorHAnsi" w:hAnsiTheme="minorHAnsi"/>
          <w:sz w:val="18"/>
          <w:szCs w:val="18"/>
        </w:rPr>
        <w:t xml:space="preserve">. </w:t>
      </w:r>
    </w:p>
    <w:p w:rsidR="001B46FB" w:rsidRPr="001B46FB" w:rsidRDefault="001B46FB" w:rsidP="00FF0B61">
      <w:pPr>
        <w:pStyle w:val="Normal1"/>
        <w:widowControl w:val="0"/>
        <w:spacing w:line="240" w:lineRule="auto"/>
        <w:contextualSpacing/>
        <w:rPr>
          <w:rFonts w:asciiTheme="minorHAnsi" w:hAnsiTheme="minorHAnsi"/>
          <w:sz w:val="18"/>
          <w:szCs w:val="18"/>
        </w:rPr>
      </w:pPr>
      <w:r>
        <w:rPr>
          <w:rFonts w:asciiTheme="minorHAnsi" w:hAnsiTheme="minorHAnsi"/>
          <w:b/>
          <w:sz w:val="18"/>
          <w:szCs w:val="18"/>
        </w:rPr>
        <w:t>[6] Discretionary Exemption (</w:t>
      </w:r>
      <w:r w:rsidRPr="001B46FB">
        <w:rPr>
          <w:rFonts w:asciiTheme="minorHAnsi" w:hAnsiTheme="minorHAnsi"/>
          <w:b/>
          <w:color w:val="C45911" w:themeColor="accent2" w:themeShade="BF"/>
          <w:sz w:val="18"/>
          <w:szCs w:val="18"/>
        </w:rPr>
        <w:t>BCSA 114</w:t>
      </w:r>
      <w:r>
        <w:rPr>
          <w:rFonts w:asciiTheme="minorHAnsi" w:hAnsiTheme="minorHAnsi"/>
          <w:b/>
          <w:sz w:val="18"/>
          <w:szCs w:val="18"/>
        </w:rPr>
        <w:t xml:space="preserve">): </w:t>
      </w:r>
      <w:r>
        <w:rPr>
          <w:rFonts w:asciiTheme="minorHAnsi" w:hAnsiTheme="minorHAnsi"/>
          <w:sz w:val="18"/>
          <w:szCs w:val="18"/>
        </w:rPr>
        <w:t xml:space="preserve">On application of an interested person or on own motion, may be exempt from TOB req’s if not prejudicial to the public interest. </w:t>
      </w:r>
    </w:p>
    <w:p w:rsidR="00DF5217" w:rsidRDefault="00DF5217" w:rsidP="00FF0B61">
      <w:pPr>
        <w:pStyle w:val="Normal1"/>
        <w:widowControl w:val="0"/>
        <w:spacing w:line="240" w:lineRule="auto"/>
        <w:contextualSpacing/>
        <w:rPr>
          <w:rFonts w:asciiTheme="minorHAnsi" w:hAnsiTheme="minorHAnsi"/>
          <w:b/>
          <w:sz w:val="18"/>
          <w:szCs w:val="20"/>
        </w:rPr>
      </w:pPr>
    </w:p>
    <w:p w:rsidR="00DF5217" w:rsidRPr="004E5416" w:rsidRDefault="00EE520A" w:rsidP="00FF0B61">
      <w:pPr>
        <w:pStyle w:val="Heading2"/>
        <w:spacing w:line="240" w:lineRule="auto"/>
      </w:pPr>
      <w:bookmarkStart w:id="82" w:name="_Toc468980453"/>
      <w:r w:rsidRPr="004E5416">
        <w:t>TOB Procedures</w:t>
      </w:r>
      <w:bookmarkEnd w:id="82"/>
    </w:p>
    <w:p w:rsidR="00634B34" w:rsidRDefault="00634B34" w:rsidP="00FF0B61">
      <w:pPr>
        <w:pStyle w:val="Normal1"/>
        <w:widowControl w:val="0"/>
        <w:spacing w:line="240" w:lineRule="auto"/>
        <w:rPr>
          <w:rFonts w:ascii="Calibri" w:hAnsi="Calibri"/>
          <w:bCs/>
          <w:position w:val="4"/>
          <w:sz w:val="18"/>
          <w:szCs w:val="21"/>
        </w:rPr>
      </w:pPr>
      <w:r w:rsidRPr="004E5416">
        <w:rPr>
          <w:rFonts w:ascii="Calibri" w:hAnsi="Calibri"/>
          <w:bCs/>
          <w:position w:val="4"/>
          <w:sz w:val="18"/>
          <w:szCs w:val="21"/>
        </w:rPr>
        <w:t>A person must not make a take over bid, whether alone or acting jointly or in concert with one or more persons, except in accordance with the regulations (</w:t>
      </w:r>
      <w:r w:rsidRPr="004E5416">
        <w:rPr>
          <w:rFonts w:ascii="Calibri" w:hAnsi="Calibri"/>
          <w:b/>
          <w:bCs/>
          <w:color w:val="C45911" w:themeColor="accent2" w:themeShade="BF"/>
          <w:position w:val="4"/>
          <w:sz w:val="18"/>
          <w:szCs w:val="21"/>
        </w:rPr>
        <w:t>BCSA 98</w:t>
      </w:r>
      <w:r w:rsidRPr="004E5416">
        <w:rPr>
          <w:rFonts w:ascii="Calibri" w:hAnsi="Calibri"/>
          <w:bCs/>
          <w:position w:val="4"/>
          <w:sz w:val="18"/>
          <w:szCs w:val="21"/>
        </w:rPr>
        <w:t>)</w:t>
      </w:r>
    </w:p>
    <w:p w:rsidR="00E27C5A" w:rsidRPr="00E27C5A" w:rsidRDefault="00E27C5A" w:rsidP="00FF0B61">
      <w:pPr>
        <w:pStyle w:val="Normal1"/>
        <w:widowControl w:val="0"/>
        <w:numPr>
          <w:ilvl w:val="0"/>
          <w:numId w:val="125"/>
        </w:numPr>
        <w:spacing w:line="240" w:lineRule="auto"/>
        <w:contextualSpacing/>
        <w:rPr>
          <w:rFonts w:asciiTheme="minorHAnsi" w:hAnsiTheme="minorHAnsi"/>
          <w:sz w:val="18"/>
          <w:szCs w:val="20"/>
        </w:rPr>
      </w:pPr>
      <w:r w:rsidRPr="00E27C5A">
        <w:rPr>
          <w:rFonts w:asciiTheme="minorHAnsi" w:hAnsiTheme="minorHAnsi"/>
          <w:b/>
          <w:i/>
          <w:color w:val="1006E0"/>
          <w:sz w:val="18"/>
          <w:szCs w:val="20"/>
        </w:rPr>
        <w:t xml:space="preserve">BCE </w:t>
      </w:r>
      <w:r w:rsidRPr="00E27C5A">
        <w:rPr>
          <w:rFonts w:asciiTheme="minorHAnsi" w:hAnsiTheme="minorHAnsi"/>
          <w:b/>
          <w:color w:val="1006E0"/>
          <w:sz w:val="18"/>
          <w:szCs w:val="20"/>
        </w:rPr>
        <w:t>decision</w:t>
      </w:r>
      <w:r w:rsidRPr="009B6DD8">
        <w:rPr>
          <w:rFonts w:asciiTheme="minorHAnsi" w:hAnsiTheme="minorHAnsi"/>
          <w:color w:val="1006E0"/>
          <w:sz w:val="18"/>
          <w:szCs w:val="20"/>
        </w:rPr>
        <w:t xml:space="preserve"> </w:t>
      </w:r>
      <w:r>
        <w:rPr>
          <w:rFonts w:asciiTheme="minorHAnsi" w:hAnsiTheme="minorHAnsi"/>
          <w:sz w:val="18"/>
          <w:szCs w:val="20"/>
        </w:rPr>
        <w:t xml:space="preserve">– there is a fiduciary obligation to consider best interests of the corp </w:t>
      </w:r>
      <w:r w:rsidRPr="00433938">
        <w:rPr>
          <w:rFonts w:asciiTheme="minorHAnsi" w:hAnsiTheme="minorHAnsi"/>
          <w:b/>
          <w:sz w:val="18"/>
          <w:szCs w:val="20"/>
          <w:u w:val="single"/>
        </w:rPr>
        <w:t>BUT under</w:t>
      </w:r>
      <w:r>
        <w:rPr>
          <w:rFonts w:asciiTheme="minorHAnsi" w:hAnsiTheme="minorHAnsi"/>
          <w:sz w:val="18"/>
          <w:szCs w:val="20"/>
        </w:rPr>
        <w:t xml:space="preserve"> </w:t>
      </w:r>
      <w:r w:rsidRPr="00E61C1C">
        <w:rPr>
          <w:rFonts w:asciiTheme="minorHAnsi" w:hAnsiTheme="minorHAnsi"/>
          <w:b/>
          <w:color w:val="7030A0"/>
          <w:sz w:val="18"/>
          <w:szCs w:val="20"/>
        </w:rPr>
        <w:t>NI 62-202</w:t>
      </w:r>
      <w:r w:rsidRPr="00E61C1C">
        <w:rPr>
          <w:rFonts w:asciiTheme="minorHAnsi" w:hAnsiTheme="minorHAnsi"/>
          <w:color w:val="7030A0"/>
          <w:sz w:val="18"/>
          <w:szCs w:val="20"/>
        </w:rPr>
        <w:t xml:space="preserve"> </w:t>
      </w:r>
      <w:r>
        <w:rPr>
          <w:rFonts w:asciiTheme="minorHAnsi" w:hAnsiTheme="minorHAnsi"/>
          <w:sz w:val="18"/>
          <w:szCs w:val="20"/>
        </w:rPr>
        <w:t xml:space="preserve">what is supposed to be considered is the </w:t>
      </w:r>
      <w:r w:rsidRPr="00E27C5A">
        <w:rPr>
          <w:rFonts w:asciiTheme="minorHAnsi" w:hAnsiTheme="minorHAnsi"/>
          <w:i/>
          <w:sz w:val="18"/>
          <w:szCs w:val="20"/>
        </w:rPr>
        <w:t>bone fide</w:t>
      </w:r>
      <w:r>
        <w:rPr>
          <w:rFonts w:asciiTheme="minorHAnsi" w:hAnsiTheme="minorHAnsi"/>
          <w:sz w:val="18"/>
          <w:szCs w:val="20"/>
        </w:rPr>
        <w:t xml:space="preserve"> interests of the shareholders of the target company </w:t>
      </w:r>
      <w:r w:rsidRPr="009B6DD8">
        <w:rPr>
          <w:rFonts w:asciiTheme="minorHAnsi" w:hAnsiTheme="minorHAnsi"/>
          <w:b/>
          <w:sz w:val="18"/>
          <w:szCs w:val="20"/>
        </w:rPr>
        <w:sym w:font="Wingdings" w:char="F0E0"/>
      </w:r>
      <w:r>
        <w:rPr>
          <w:rFonts w:asciiTheme="minorHAnsi" w:hAnsiTheme="minorHAnsi"/>
          <w:sz w:val="18"/>
          <w:szCs w:val="20"/>
        </w:rPr>
        <w:t xml:space="preserve"> </w:t>
      </w:r>
      <w:r w:rsidRPr="00433938">
        <w:rPr>
          <w:rFonts w:asciiTheme="minorHAnsi" w:hAnsiTheme="minorHAnsi"/>
          <w:b/>
          <w:sz w:val="18"/>
          <w:szCs w:val="20"/>
        </w:rPr>
        <w:t>This is an unresolved problem b/w securities regulation and corporate law.</w:t>
      </w:r>
      <w:r>
        <w:rPr>
          <w:rFonts w:asciiTheme="minorHAnsi" w:hAnsiTheme="minorHAnsi"/>
          <w:sz w:val="18"/>
          <w:szCs w:val="20"/>
        </w:rPr>
        <w:t xml:space="preserve"> </w:t>
      </w:r>
    </w:p>
    <w:p w:rsidR="00634B34" w:rsidRDefault="00634B34" w:rsidP="00FF0B61">
      <w:pPr>
        <w:pStyle w:val="Normal1"/>
        <w:widowControl w:val="0"/>
        <w:spacing w:line="240" w:lineRule="auto"/>
        <w:rPr>
          <w:rFonts w:asciiTheme="minorHAnsi" w:hAnsiTheme="minorHAnsi"/>
          <w:b/>
          <w:sz w:val="18"/>
          <w:szCs w:val="20"/>
          <w:highlight w:val="yellow"/>
          <w:u w:val="single"/>
        </w:rPr>
      </w:pPr>
    </w:p>
    <w:p w:rsidR="00634B34" w:rsidRPr="006E4520" w:rsidRDefault="00040637" w:rsidP="00FF0B61">
      <w:pPr>
        <w:pStyle w:val="Normal1"/>
        <w:widowControl w:val="0"/>
        <w:spacing w:line="240" w:lineRule="auto"/>
        <w:rPr>
          <w:rFonts w:asciiTheme="minorHAnsi" w:hAnsiTheme="minorHAnsi"/>
          <w:sz w:val="18"/>
          <w:szCs w:val="20"/>
        </w:rPr>
      </w:pPr>
      <w:r>
        <w:rPr>
          <w:rFonts w:asciiTheme="minorHAnsi" w:hAnsiTheme="minorHAnsi"/>
          <w:b/>
          <w:sz w:val="18"/>
          <w:szCs w:val="20"/>
          <w:u w:val="single"/>
        </w:rPr>
        <w:t xml:space="preserve">[A] </w:t>
      </w:r>
      <w:r w:rsidR="00321038" w:rsidRPr="00892FF4">
        <w:rPr>
          <w:rFonts w:asciiTheme="minorHAnsi" w:hAnsiTheme="minorHAnsi"/>
          <w:b/>
          <w:sz w:val="18"/>
          <w:szCs w:val="20"/>
          <w:u w:val="single"/>
        </w:rPr>
        <w:t>Early Warning System</w:t>
      </w:r>
      <w:r w:rsidR="00321038" w:rsidRPr="00892FF4">
        <w:rPr>
          <w:rFonts w:asciiTheme="minorHAnsi" w:hAnsiTheme="minorHAnsi"/>
          <w:b/>
          <w:sz w:val="18"/>
          <w:szCs w:val="20"/>
        </w:rPr>
        <w:t xml:space="preserve">: </w:t>
      </w:r>
      <w:r w:rsidR="006E4520" w:rsidRPr="00892FF4">
        <w:rPr>
          <w:rFonts w:asciiTheme="minorHAnsi" w:hAnsiTheme="minorHAnsi"/>
          <w:sz w:val="18"/>
          <w:szCs w:val="20"/>
        </w:rPr>
        <w:t>Persons</w:t>
      </w:r>
      <w:r w:rsidR="006E4520" w:rsidRPr="006E4520">
        <w:rPr>
          <w:rFonts w:asciiTheme="minorHAnsi" w:hAnsiTheme="minorHAnsi"/>
          <w:sz w:val="18"/>
          <w:szCs w:val="20"/>
        </w:rPr>
        <w:t xml:space="preserve"> to </w:t>
      </w:r>
      <w:r w:rsidR="006E4520" w:rsidRPr="0073663F">
        <w:rPr>
          <w:rFonts w:asciiTheme="minorHAnsi" w:hAnsiTheme="minorHAnsi"/>
          <w:b/>
          <w:sz w:val="18"/>
          <w:szCs w:val="20"/>
          <w:u w:val="single"/>
        </w:rPr>
        <w:t>disclose</w:t>
      </w:r>
      <w:r w:rsidR="006E4520" w:rsidRPr="006E4520">
        <w:rPr>
          <w:rFonts w:asciiTheme="minorHAnsi" w:hAnsiTheme="minorHAnsi"/>
          <w:sz w:val="18"/>
          <w:szCs w:val="20"/>
        </w:rPr>
        <w:t xml:space="preserve"> their holdings of a company’s securities at certain thresholds – prevents creeping take-overs.</w:t>
      </w:r>
    </w:p>
    <w:p w:rsidR="007A482F" w:rsidRPr="007A482F" w:rsidRDefault="007A482F" w:rsidP="00FF0B61">
      <w:pPr>
        <w:pStyle w:val="Body"/>
        <w:numPr>
          <w:ilvl w:val="0"/>
          <w:numId w:val="121"/>
        </w:numPr>
        <w:rPr>
          <w:rFonts w:ascii="Calibri" w:hAnsi="Calibri"/>
          <w:bCs/>
          <w:position w:val="4"/>
          <w:sz w:val="18"/>
          <w:szCs w:val="21"/>
        </w:rPr>
      </w:pPr>
      <w:r w:rsidRPr="007A482F">
        <w:rPr>
          <w:rFonts w:ascii="Calibri" w:hAnsi="Calibri"/>
          <w:b/>
          <w:bCs/>
          <w:position w:val="4"/>
          <w:sz w:val="18"/>
          <w:szCs w:val="21"/>
        </w:rPr>
        <w:t>When 10%+ of a class, must “promptly” issue and file a news release.</w:t>
      </w:r>
      <w:r>
        <w:rPr>
          <w:rFonts w:ascii="Calibri" w:hAnsi="Calibri"/>
          <w:bCs/>
          <w:position w:val="4"/>
          <w:sz w:val="18"/>
          <w:szCs w:val="21"/>
        </w:rPr>
        <w:t xml:space="preserve"> W/in</w:t>
      </w:r>
      <w:r w:rsidRPr="007A482F">
        <w:rPr>
          <w:rFonts w:ascii="Calibri" w:hAnsi="Calibri"/>
          <w:bCs/>
          <w:position w:val="4"/>
          <w:sz w:val="18"/>
          <w:szCs w:val="21"/>
        </w:rPr>
        <w:t xml:space="preserve"> 2 days, must file a formal report with the Commission</w:t>
      </w:r>
      <w:r>
        <w:rPr>
          <w:rFonts w:ascii="Calibri" w:hAnsi="Calibri"/>
          <w:bCs/>
          <w:position w:val="4"/>
          <w:sz w:val="18"/>
          <w:szCs w:val="21"/>
        </w:rPr>
        <w:t xml:space="preserve"> – includes name</w:t>
      </w:r>
      <w:r w:rsidRPr="007A482F">
        <w:rPr>
          <w:rFonts w:ascii="Calibri" w:hAnsi="Calibri"/>
          <w:bCs/>
          <w:position w:val="4"/>
          <w:sz w:val="18"/>
          <w:szCs w:val="21"/>
        </w:rPr>
        <w:t>, address and security holdings, consideration offered, person’s purpose (</w:t>
      </w:r>
      <w:r>
        <w:rPr>
          <w:rFonts w:ascii="Calibri" w:hAnsi="Calibri"/>
          <w:b/>
          <w:bCs/>
          <w:color w:val="7030A0"/>
          <w:position w:val="4"/>
          <w:sz w:val="18"/>
          <w:szCs w:val="21"/>
        </w:rPr>
        <w:t>62-104 s 5.2(1)(a); 62-103</w:t>
      </w:r>
      <w:r w:rsidRPr="007A482F">
        <w:rPr>
          <w:rFonts w:ascii="Calibri" w:hAnsi="Calibri"/>
          <w:b/>
          <w:bCs/>
          <w:color w:val="7030A0"/>
          <w:position w:val="4"/>
          <w:sz w:val="18"/>
          <w:szCs w:val="21"/>
        </w:rPr>
        <w:t xml:space="preserve"> s. 3.1(1)).</w:t>
      </w:r>
    </w:p>
    <w:p w:rsidR="007A482F" w:rsidRPr="007A482F" w:rsidRDefault="00DD06AB" w:rsidP="00FF0B61">
      <w:pPr>
        <w:pStyle w:val="Body"/>
        <w:numPr>
          <w:ilvl w:val="0"/>
          <w:numId w:val="121"/>
        </w:numPr>
        <w:rPr>
          <w:rFonts w:ascii="Calibri" w:hAnsi="Calibri"/>
          <w:bCs/>
          <w:position w:val="4"/>
          <w:sz w:val="18"/>
          <w:szCs w:val="21"/>
        </w:rPr>
      </w:pPr>
      <w:r>
        <w:rPr>
          <w:rFonts w:ascii="Calibri" w:hAnsi="Calibri"/>
          <w:b/>
          <w:bCs/>
          <w:position w:val="4"/>
          <w:sz w:val="18"/>
          <w:szCs w:val="21"/>
        </w:rPr>
        <w:t>Every 2% increase or decrease,</w:t>
      </w:r>
      <w:r w:rsidR="00AB1C5B">
        <w:rPr>
          <w:rFonts w:ascii="Calibri" w:hAnsi="Calibri"/>
          <w:b/>
          <w:bCs/>
          <w:position w:val="4"/>
          <w:sz w:val="18"/>
          <w:szCs w:val="21"/>
        </w:rPr>
        <w:t xml:space="preserve"> </w:t>
      </w:r>
      <w:r w:rsidR="007A482F" w:rsidRPr="007A482F">
        <w:rPr>
          <w:rFonts w:ascii="Calibri" w:hAnsi="Calibri"/>
          <w:b/>
          <w:bCs/>
          <w:position w:val="4"/>
          <w:sz w:val="18"/>
          <w:szCs w:val="21"/>
        </w:rPr>
        <w:t>must do this again</w:t>
      </w:r>
      <w:r w:rsidR="00424D2F">
        <w:rPr>
          <w:rFonts w:ascii="Calibri" w:hAnsi="Calibri"/>
          <w:bCs/>
          <w:position w:val="4"/>
          <w:sz w:val="18"/>
          <w:szCs w:val="21"/>
        </w:rPr>
        <w:t xml:space="preserve"> </w:t>
      </w:r>
      <w:r w:rsidR="00892FF4">
        <w:rPr>
          <w:rFonts w:ascii="Calibri" w:hAnsi="Calibri"/>
          <w:bCs/>
          <w:position w:val="4"/>
          <w:sz w:val="18"/>
          <w:szCs w:val="21"/>
        </w:rPr>
        <w:t xml:space="preserve">(only if still above 10%) </w:t>
      </w:r>
      <w:r w:rsidR="00424D2F">
        <w:rPr>
          <w:rFonts w:ascii="Calibri" w:hAnsi="Calibri"/>
          <w:bCs/>
          <w:position w:val="4"/>
          <w:sz w:val="18"/>
          <w:szCs w:val="21"/>
        </w:rPr>
        <w:t xml:space="preserve">– Must disclose </w:t>
      </w:r>
      <w:r w:rsidR="007A482F" w:rsidRPr="007A482F">
        <w:rPr>
          <w:rFonts w:ascii="Calibri" w:hAnsi="Calibri"/>
          <w:bCs/>
          <w:position w:val="4"/>
          <w:sz w:val="18"/>
          <w:szCs w:val="21"/>
        </w:rPr>
        <w:t>any change in any material fac</w:t>
      </w:r>
      <w:r w:rsidR="00424D2F">
        <w:rPr>
          <w:rFonts w:ascii="Calibri" w:hAnsi="Calibri"/>
          <w:bCs/>
          <w:position w:val="4"/>
          <w:sz w:val="18"/>
          <w:szCs w:val="21"/>
        </w:rPr>
        <w:t>t set out in a previous report</w:t>
      </w:r>
      <w:r w:rsidR="003031BC">
        <w:rPr>
          <w:rFonts w:ascii="Calibri" w:hAnsi="Calibri"/>
          <w:bCs/>
          <w:position w:val="4"/>
          <w:sz w:val="18"/>
          <w:szCs w:val="21"/>
        </w:rPr>
        <w:t>.</w:t>
      </w:r>
    </w:p>
    <w:p w:rsidR="007A482F" w:rsidRPr="007A482F" w:rsidRDefault="007A482F" w:rsidP="00FF0B61">
      <w:pPr>
        <w:pStyle w:val="Body"/>
        <w:numPr>
          <w:ilvl w:val="0"/>
          <w:numId w:val="121"/>
        </w:numPr>
        <w:rPr>
          <w:rFonts w:ascii="Calibri" w:hAnsi="Calibri"/>
          <w:bCs/>
          <w:position w:val="4"/>
          <w:sz w:val="18"/>
          <w:szCs w:val="21"/>
        </w:rPr>
      </w:pPr>
      <w:r w:rsidRPr="007A482F">
        <w:rPr>
          <w:rFonts w:ascii="Calibri" w:hAnsi="Calibri"/>
          <w:bCs/>
          <w:position w:val="4"/>
          <w:sz w:val="18"/>
          <w:szCs w:val="21"/>
        </w:rPr>
        <w:t>The person is restricted from trading in securities of the class while the info is being disclosed and disseminated (</w:t>
      </w:r>
      <w:r w:rsidRPr="00DD06AB">
        <w:rPr>
          <w:rFonts w:ascii="Calibri" w:hAnsi="Calibri"/>
          <w:b/>
          <w:bCs/>
          <w:color w:val="7030A0"/>
          <w:position w:val="4"/>
          <w:sz w:val="18"/>
          <w:szCs w:val="21"/>
        </w:rPr>
        <w:t>5.2(3)</w:t>
      </w:r>
      <w:r w:rsidR="00592F70">
        <w:rPr>
          <w:rFonts w:ascii="Calibri" w:hAnsi="Calibri"/>
          <w:bCs/>
          <w:position w:val="4"/>
          <w:sz w:val="18"/>
          <w:szCs w:val="21"/>
        </w:rPr>
        <w:t>) – from filing, one biz</w:t>
      </w:r>
      <w:r w:rsidRPr="007A482F">
        <w:rPr>
          <w:rFonts w:ascii="Calibri" w:hAnsi="Calibri"/>
          <w:bCs/>
          <w:position w:val="4"/>
          <w:sz w:val="18"/>
          <w:szCs w:val="21"/>
        </w:rPr>
        <w:t xml:space="preserve"> day.</w:t>
      </w:r>
    </w:p>
    <w:p w:rsidR="007A482F" w:rsidRPr="007A482F" w:rsidRDefault="007A482F" w:rsidP="00FF0B61">
      <w:pPr>
        <w:pStyle w:val="Body"/>
        <w:numPr>
          <w:ilvl w:val="0"/>
          <w:numId w:val="121"/>
        </w:numPr>
        <w:rPr>
          <w:rFonts w:ascii="Calibri" w:hAnsi="Calibri"/>
          <w:bCs/>
          <w:position w:val="4"/>
          <w:sz w:val="18"/>
          <w:szCs w:val="21"/>
        </w:rPr>
      </w:pPr>
      <w:r w:rsidRPr="007A482F">
        <w:rPr>
          <w:rFonts w:ascii="Calibri" w:hAnsi="Calibri"/>
          <w:b/>
          <w:bCs/>
          <w:position w:val="4"/>
          <w:sz w:val="18"/>
          <w:szCs w:val="21"/>
        </w:rPr>
        <w:t>Four major exemptions</w:t>
      </w:r>
      <w:r w:rsidR="00592F70">
        <w:rPr>
          <w:rFonts w:ascii="Calibri" w:hAnsi="Calibri"/>
          <w:b/>
          <w:bCs/>
          <w:position w:val="4"/>
          <w:sz w:val="18"/>
          <w:szCs w:val="21"/>
        </w:rPr>
        <w:t xml:space="preserve"> </w:t>
      </w:r>
      <w:r w:rsidR="00592F70" w:rsidRPr="00343AC2">
        <w:rPr>
          <w:rFonts w:ascii="Calibri" w:hAnsi="Calibri"/>
          <w:b/>
          <w:bCs/>
          <w:position w:val="4"/>
          <w:sz w:val="18"/>
          <w:szCs w:val="21"/>
          <w:u w:val="single"/>
        </w:rPr>
        <w:t>from Early Warning</w:t>
      </w:r>
      <w:r w:rsidRPr="00343AC2">
        <w:rPr>
          <w:rFonts w:ascii="Calibri" w:hAnsi="Calibri"/>
          <w:b/>
          <w:bCs/>
          <w:position w:val="4"/>
          <w:sz w:val="18"/>
          <w:szCs w:val="21"/>
          <w:u w:val="single"/>
        </w:rPr>
        <w:t>:</w:t>
      </w:r>
      <w:r w:rsidRPr="007A482F">
        <w:rPr>
          <w:rFonts w:ascii="Calibri" w:hAnsi="Calibri"/>
          <w:bCs/>
          <w:position w:val="4"/>
          <w:sz w:val="18"/>
          <w:szCs w:val="21"/>
        </w:rPr>
        <w:t xml:space="preserve"> </w:t>
      </w:r>
    </w:p>
    <w:p w:rsidR="007A482F" w:rsidRPr="007A482F" w:rsidRDefault="00A03A9A" w:rsidP="00FF0B61">
      <w:pPr>
        <w:pStyle w:val="Body"/>
        <w:numPr>
          <w:ilvl w:val="1"/>
          <w:numId w:val="121"/>
        </w:numPr>
        <w:rPr>
          <w:rFonts w:ascii="Calibri" w:hAnsi="Calibri"/>
          <w:bCs/>
          <w:position w:val="4"/>
          <w:sz w:val="18"/>
          <w:szCs w:val="21"/>
        </w:rPr>
      </w:pPr>
      <w:r>
        <w:rPr>
          <w:rFonts w:ascii="Calibri" w:hAnsi="Calibri"/>
          <w:b/>
          <w:bCs/>
          <w:position w:val="4"/>
          <w:sz w:val="18"/>
          <w:szCs w:val="21"/>
        </w:rPr>
        <w:t xml:space="preserve">(a) Passive Investors - </w:t>
      </w:r>
      <w:r w:rsidR="007A482F" w:rsidRPr="007A482F">
        <w:rPr>
          <w:rFonts w:ascii="Calibri" w:hAnsi="Calibri"/>
          <w:bCs/>
          <w:position w:val="4"/>
          <w:sz w:val="18"/>
          <w:szCs w:val="21"/>
        </w:rPr>
        <w:t xml:space="preserve">Mutual funds or other “eligible institutional investors” who make use of </w:t>
      </w:r>
      <w:r w:rsidR="007A482F" w:rsidRPr="007938D5">
        <w:rPr>
          <w:rFonts w:ascii="Calibri" w:hAnsi="Calibri"/>
          <w:b/>
          <w:bCs/>
          <w:position w:val="4"/>
          <w:sz w:val="18"/>
          <w:szCs w:val="21"/>
        </w:rPr>
        <w:t>an alternative monthly reporting system</w:t>
      </w:r>
      <w:r w:rsidR="007A482F" w:rsidRPr="007A482F">
        <w:rPr>
          <w:rFonts w:ascii="Calibri" w:hAnsi="Calibri"/>
          <w:bCs/>
          <w:position w:val="4"/>
          <w:sz w:val="18"/>
          <w:szCs w:val="21"/>
        </w:rPr>
        <w:t xml:space="preserve"> (</w:t>
      </w:r>
      <w:r w:rsidR="00746B56" w:rsidRPr="00343AC2">
        <w:rPr>
          <w:rFonts w:ascii="Calibri" w:hAnsi="Calibri"/>
          <w:b/>
          <w:bCs/>
          <w:color w:val="7030A0"/>
          <w:position w:val="4"/>
          <w:sz w:val="18"/>
          <w:szCs w:val="21"/>
        </w:rPr>
        <w:t>NI</w:t>
      </w:r>
      <w:r w:rsidR="00746B56">
        <w:rPr>
          <w:rFonts w:ascii="Calibri" w:hAnsi="Calibri"/>
          <w:b/>
          <w:bCs/>
          <w:position w:val="4"/>
          <w:sz w:val="18"/>
          <w:szCs w:val="21"/>
        </w:rPr>
        <w:t xml:space="preserve"> </w:t>
      </w:r>
      <w:r w:rsidR="007A482F" w:rsidRPr="00424D2F">
        <w:rPr>
          <w:rFonts w:ascii="Calibri" w:hAnsi="Calibri"/>
          <w:b/>
          <w:bCs/>
          <w:color w:val="7030A0"/>
          <w:position w:val="4"/>
          <w:sz w:val="18"/>
          <w:szCs w:val="21"/>
        </w:rPr>
        <w:t>62-103 ss 3.3, 4.1-4.8</w:t>
      </w:r>
      <w:r w:rsidR="007A482F" w:rsidRPr="007A482F">
        <w:rPr>
          <w:rFonts w:ascii="Calibri" w:hAnsi="Calibri"/>
          <w:bCs/>
          <w:position w:val="4"/>
          <w:sz w:val="18"/>
          <w:szCs w:val="21"/>
        </w:rPr>
        <w:t xml:space="preserve">).; </w:t>
      </w:r>
    </w:p>
    <w:p w:rsidR="007A482F" w:rsidRPr="007A482F" w:rsidRDefault="00A03A9A" w:rsidP="00FF0B61">
      <w:pPr>
        <w:pStyle w:val="Body"/>
        <w:numPr>
          <w:ilvl w:val="1"/>
          <w:numId w:val="121"/>
        </w:numPr>
        <w:rPr>
          <w:rFonts w:ascii="Calibri" w:hAnsi="Calibri"/>
          <w:bCs/>
          <w:position w:val="4"/>
          <w:sz w:val="18"/>
          <w:szCs w:val="21"/>
        </w:rPr>
      </w:pPr>
      <w:r>
        <w:rPr>
          <w:rFonts w:ascii="Calibri" w:hAnsi="Calibri"/>
          <w:b/>
          <w:bCs/>
          <w:position w:val="4"/>
          <w:sz w:val="18"/>
          <w:szCs w:val="21"/>
        </w:rPr>
        <w:t xml:space="preserve">(b) </w:t>
      </w:r>
      <w:r w:rsidR="007A482F" w:rsidRPr="007A482F">
        <w:rPr>
          <w:rFonts w:ascii="Calibri" w:hAnsi="Calibri"/>
          <w:bCs/>
          <w:position w:val="4"/>
          <w:sz w:val="18"/>
          <w:szCs w:val="21"/>
        </w:rPr>
        <w:t>When share redemptions or distributions from the treasury change a person’s security</w:t>
      </w:r>
      <w:r>
        <w:rPr>
          <w:rFonts w:ascii="Calibri" w:hAnsi="Calibri"/>
          <w:bCs/>
          <w:position w:val="4"/>
          <w:sz w:val="18"/>
          <w:szCs w:val="21"/>
        </w:rPr>
        <w:t xml:space="preserve"> </w:t>
      </w:r>
      <w:r w:rsidR="007A482F" w:rsidRPr="007A482F">
        <w:rPr>
          <w:rFonts w:ascii="Calibri" w:hAnsi="Calibri"/>
          <w:bCs/>
          <w:position w:val="4"/>
          <w:sz w:val="18"/>
          <w:szCs w:val="21"/>
        </w:rPr>
        <w:t>holdings (</w:t>
      </w:r>
      <w:r>
        <w:rPr>
          <w:rFonts w:ascii="Calibri" w:hAnsi="Calibri"/>
          <w:b/>
          <w:bCs/>
          <w:color w:val="7030A0"/>
          <w:position w:val="4"/>
          <w:sz w:val="18"/>
          <w:szCs w:val="21"/>
        </w:rPr>
        <w:t>62-103</w:t>
      </w:r>
      <w:r w:rsidR="007A482F" w:rsidRPr="00A03A9A">
        <w:rPr>
          <w:rFonts w:ascii="Calibri" w:hAnsi="Calibri"/>
          <w:b/>
          <w:bCs/>
          <w:color w:val="7030A0"/>
          <w:position w:val="4"/>
          <w:sz w:val="18"/>
          <w:szCs w:val="21"/>
        </w:rPr>
        <w:t xml:space="preserve"> </w:t>
      </w:r>
      <w:r>
        <w:rPr>
          <w:rFonts w:ascii="Calibri" w:hAnsi="Calibri"/>
          <w:b/>
          <w:bCs/>
          <w:color w:val="7030A0"/>
          <w:position w:val="4"/>
          <w:sz w:val="18"/>
          <w:szCs w:val="21"/>
        </w:rPr>
        <w:t>ss.</w:t>
      </w:r>
      <w:r w:rsidR="00040637">
        <w:rPr>
          <w:rFonts w:ascii="Calibri" w:hAnsi="Calibri"/>
          <w:b/>
          <w:bCs/>
          <w:color w:val="7030A0"/>
          <w:position w:val="4"/>
          <w:sz w:val="18"/>
          <w:szCs w:val="21"/>
        </w:rPr>
        <w:t>6.1</w:t>
      </w:r>
      <w:r w:rsidR="007A482F" w:rsidRPr="007A482F">
        <w:rPr>
          <w:rFonts w:ascii="Calibri" w:hAnsi="Calibri"/>
          <w:bCs/>
          <w:position w:val="4"/>
          <w:sz w:val="18"/>
          <w:szCs w:val="21"/>
        </w:rPr>
        <w:t xml:space="preserve">); </w:t>
      </w:r>
    </w:p>
    <w:p w:rsidR="007A482F" w:rsidRDefault="00A03A9A" w:rsidP="00FF0B61">
      <w:pPr>
        <w:pStyle w:val="Body"/>
        <w:numPr>
          <w:ilvl w:val="1"/>
          <w:numId w:val="121"/>
        </w:numPr>
        <w:rPr>
          <w:rFonts w:ascii="Calibri" w:hAnsi="Calibri"/>
          <w:bCs/>
          <w:position w:val="4"/>
          <w:sz w:val="18"/>
          <w:szCs w:val="21"/>
        </w:rPr>
      </w:pPr>
      <w:r>
        <w:rPr>
          <w:rFonts w:ascii="Calibri" w:hAnsi="Calibri"/>
          <w:b/>
          <w:bCs/>
          <w:position w:val="4"/>
          <w:sz w:val="18"/>
          <w:szCs w:val="21"/>
        </w:rPr>
        <w:t>(c)</w:t>
      </w:r>
      <w:r w:rsidR="00C22A29">
        <w:rPr>
          <w:rFonts w:ascii="Calibri" w:hAnsi="Calibri"/>
          <w:b/>
          <w:bCs/>
          <w:position w:val="4"/>
          <w:sz w:val="18"/>
          <w:szCs w:val="21"/>
        </w:rPr>
        <w:t xml:space="preserve"> </w:t>
      </w:r>
      <w:r w:rsidR="00C22A29">
        <w:rPr>
          <w:rFonts w:ascii="Calibri" w:hAnsi="Calibri"/>
          <w:bCs/>
          <w:position w:val="4"/>
          <w:sz w:val="18"/>
          <w:szCs w:val="21"/>
        </w:rPr>
        <w:t xml:space="preserve">An UW </w:t>
      </w:r>
      <w:r w:rsidR="007A482F" w:rsidRPr="007A482F">
        <w:rPr>
          <w:rFonts w:ascii="Calibri" w:hAnsi="Calibri"/>
          <w:bCs/>
          <w:position w:val="4"/>
          <w:sz w:val="18"/>
          <w:szCs w:val="21"/>
        </w:rPr>
        <w:t xml:space="preserve">who owns the </w:t>
      </w:r>
      <w:r w:rsidR="00C22A29">
        <w:rPr>
          <w:rFonts w:ascii="Calibri" w:hAnsi="Calibri"/>
          <w:bCs/>
          <w:position w:val="4"/>
          <w:sz w:val="18"/>
          <w:szCs w:val="21"/>
        </w:rPr>
        <w:t>securities only as an UW</w:t>
      </w:r>
      <w:r w:rsidR="007A482F" w:rsidRPr="007A482F">
        <w:rPr>
          <w:rFonts w:ascii="Calibri" w:hAnsi="Calibri"/>
          <w:bCs/>
          <w:position w:val="4"/>
          <w:sz w:val="18"/>
          <w:szCs w:val="21"/>
        </w:rPr>
        <w:t xml:space="preserve"> and has made certain disclosure by new release (</w:t>
      </w:r>
      <w:r w:rsidR="007A482F" w:rsidRPr="00424D2F">
        <w:rPr>
          <w:rFonts w:ascii="Calibri" w:hAnsi="Calibri"/>
          <w:b/>
          <w:bCs/>
          <w:color w:val="7030A0"/>
          <w:position w:val="4"/>
          <w:sz w:val="18"/>
          <w:szCs w:val="21"/>
        </w:rPr>
        <w:t>62-103, 7.1</w:t>
      </w:r>
      <w:r w:rsidR="007A482F" w:rsidRPr="007A482F">
        <w:rPr>
          <w:rFonts w:ascii="Calibri" w:hAnsi="Calibri"/>
          <w:bCs/>
          <w:position w:val="4"/>
          <w:sz w:val="18"/>
          <w:szCs w:val="21"/>
        </w:rPr>
        <w:t xml:space="preserve">); </w:t>
      </w:r>
    </w:p>
    <w:p w:rsidR="007A482F" w:rsidRPr="007A482F" w:rsidRDefault="00424D2F" w:rsidP="00FF0B61">
      <w:pPr>
        <w:pStyle w:val="Body"/>
        <w:numPr>
          <w:ilvl w:val="1"/>
          <w:numId w:val="121"/>
        </w:numPr>
        <w:rPr>
          <w:rFonts w:ascii="Calibri" w:hAnsi="Calibri"/>
          <w:bCs/>
          <w:position w:val="4"/>
          <w:sz w:val="18"/>
          <w:szCs w:val="21"/>
        </w:rPr>
      </w:pPr>
      <w:r>
        <w:rPr>
          <w:rFonts w:ascii="Calibri" w:hAnsi="Calibri"/>
          <w:b/>
          <w:bCs/>
          <w:position w:val="4"/>
          <w:sz w:val="18"/>
          <w:szCs w:val="21"/>
        </w:rPr>
        <w:t xml:space="preserve">(d) </w:t>
      </w:r>
      <w:r w:rsidR="007A482F" w:rsidRPr="007A482F">
        <w:rPr>
          <w:rFonts w:ascii="Calibri" w:hAnsi="Calibri"/>
          <w:bCs/>
          <w:position w:val="4"/>
          <w:sz w:val="18"/>
          <w:szCs w:val="21"/>
        </w:rPr>
        <w:t>Commissions have the discretion to grant exemptions</w:t>
      </w:r>
      <w:r w:rsidR="003031BC">
        <w:rPr>
          <w:rFonts w:ascii="Calibri" w:hAnsi="Calibri"/>
          <w:bCs/>
          <w:position w:val="4"/>
          <w:sz w:val="18"/>
          <w:szCs w:val="21"/>
        </w:rPr>
        <w:t xml:space="preserve"> (</w:t>
      </w:r>
      <w:r w:rsidR="003031BC" w:rsidRPr="003C6E1D">
        <w:rPr>
          <w:rFonts w:ascii="Calibri" w:hAnsi="Calibri"/>
          <w:b/>
          <w:bCs/>
          <w:position w:val="4"/>
          <w:sz w:val="18"/>
          <w:szCs w:val="21"/>
        </w:rPr>
        <w:t>“Public Interest”)</w:t>
      </w:r>
      <w:r w:rsidR="007A482F" w:rsidRPr="007A482F">
        <w:rPr>
          <w:rFonts w:ascii="Calibri" w:hAnsi="Calibri"/>
          <w:bCs/>
          <w:position w:val="4"/>
          <w:sz w:val="18"/>
          <w:szCs w:val="21"/>
        </w:rPr>
        <w:t xml:space="preserve"> (</w:t>
      </w:r>
      <w:r w:rsidR="007A482F" w:rsidRPr="00424D2F">
        <w:rPr>
          <w:rFonts w:ascii="Calibri" w:hAnsi="Calibri"/>
          <w:b/>
          <w:bCs/>
          <w:color w:val="7030A0"/>
          <w:position w:val="4"/>
          <w:sz w:val="18"/>
          <w:szCs w:val="21"/>
        </w:rPr>
        <w:t>62-103, 11.1</w:t>
      </w:r>
      <w:r w:rsidR="007A482F" w:rsidRPr="007A482F">
        <w:rPr>
          <w:rFonts w:ascii="Calibri" w:hAnsi="Calibri"/>
          <w:bCs/>
          <w:position w:val="4"/>
          <w:sz w:val="18"/>
          <w:szCs w:val="21"/>
        </w:rPr>
        <w:t>).</w:t>
      </w:r>
    </w:p>
    <w:p w:rsidR="00321038" w:rsidRPr="00040637" w:rsidRDefault="00040637" w:rsidP="00FF0B61">
      <w:pPr>
        <w:pStyle w:val="Normal1"/>
        <w:widowControl w:val="0"/>
        <w:spacing w:line="240" w:lineRule="auto"/>
        <w:contextualSpacing/>
        <w:rPr>
          <w:rFonts w:asciiTheme="minorHAnsi" w:hAnsiTheme="minorHAnsi"/>
          <w:b/>
          <w:color w:val="auto"/>
          <w:sz w:val="18"/>
          <w:szCs w:val="20"/>
          <w:u w:val="single"/>
        </w:rPr>
      </w:pPr>
      <w:r w:rsidRPr="00E7665D">
        <w:rPr>
          <w:rFonts w:asciiTheme="minorHAnsi" w:hAnsiTheme="minorHAnsi"/>
          <w:b/>
          <w:color w:val="auto"/>
          <w:sz w:val="18"/>
          <w:szCs w:val="20"/>
          <w:u w:val="single"/>
        </w:rPr>
        <w:lastRenderedPageBreak/>
        <w:t>[B] The Offer:</w:t>
      </w:r>
      <w:r w:rsidRPr="00040637">
        <w:rPr>
          <w:rFonts w:asciiTheme="minorHAnsi" w:hAnsiTheme="minorHAnsi"/>
          <w:b/>
          <w:color w:val="auto"/>
          <w:sz w:val="18"/>
          <w:szCs w:val="20"/>
          <w:u w:val="single"/>
        </w:rPr>
        <w:t xml:space="preserve"> </w:t>
      </w:r>
    </w:p>
    <w:p w:rsidR="003D694A" w:rsidRDefault="00F36ED5" w:rsidP="00FF0B61">
      <w:pPr>
        <w:pStyle w:val="Normal1"/>
        <w:widowControl w:val="0"/>
        <w:spacing w:line="240" w:lineRule="auto"/>
        <w:contextualSpacing/>
        <w:rPr>
          <w:rFonts w:asciiTheme="minorHAnsi" w:hAnsiTheme="minorHAnsi"/>
          <w:b/>
          <w:color w:val="7030A0"/>
          <w:sz w:val="18"/>
          <w:szCs w:val="20"/>
        </w:rPr>
      </w:pPr>
      <w:r>
        <w:rPr>
          <w:rFonts w:asciiTheme="minorHAnsi" w:hAnsiTheme="minorHAnsi"/>
          <w:b/>
          <w:sz w:val="18"/>
          <w:szCs w:val="20"/>
        </w:rPr>
        <w:t xml:space="preserve">(1) To Whom: </w:t>
      </w:r>
      <w:r w:rsidRPr="00F36ED5">
        <w:rPr>
          <w:rFonts w:asciiTheme="minorHAnsi" w:hAnsiTheme="minorHAnsi"/>
          <w:sz w:val="18"/>
          <w:szCs w:val="20"/>
        </w:rPr>
        <w:t xml:space="preserve">A TOB must be made to all </w:t>
      </w:r>
      <w:r w:rsidRPr="007C6206">
        <w:rPr>
          <w:rFonts w:asciiTheme="minorHAnsi" w:hAnsiTheme="minorHAnsi"/>
          <w:sz w:val="18"/>
          <w:szCs w:val="20"/>
          <w:u w:val="single"/>
        </w:rPr>
        <w:t>in the class</w:t>
      </w:r>
      <w:r w:rsidRPr="00F36ED5">
        <w:rPr>
          <w:rFonts w:asciiTheme="minorHAnsi" w:hAnsiTheme="minorHAnsi"/>
          <w:sz w:val="18"/>
          <w:szCs w:val="20"/>
        </w:rPr>
        <w:t xml:space="preserve"> in the jurisdiction</w:t>
      </w:r>
      <w:r w:rsidRPr="00F36ED5">
        <w:rPr>
          <w:rFonts w:asciiTheme="minorHAnsi" w:hAnsiTheme="minorHAnsi"/>
          <w:b/>
          <w:sz w:val="18"/>
          <w:szCs w:val="20"/>
        </w:rPr>
        <w:t xml:space="preserve"> (</w:t>
      </w:r>
      <w:r w:rsidRPr="00F36ED5">
        <w:rPr>
          <w:rFonts w:asciiTheme="minorHAnsi" w:hAnsiTheme="minorHAnsi"/>
          <w:b/>
          <w:color w:val="7030A0"/>
          <w:sz w:val="18"/>
          <w:szCs w:val="20"/>
        </w:rPr>
        <w:t>62-104, 2.8).</w:t>
      </w:r>
    </w:p>
    <w:p w:rsidR="00BB61E1" w:rsidRPr="00BB61E1" w:rsidRDefault="00BB61E1" w:rsidP="00FF0B61">
      <w:pPr>
        <w:pStyle w:val="Normal1"/>
        <w:widowControl w:val="0"/>
        <w:numPr>
          <w:ilvl w:val="0"/>
          <w:numId w:val="110"/>
        </w:numPr>
        <w:spacing w:line="240" w:lineRule="auto"/>
        <w:contextualSpacing/>
        <w:rPr>
          <w:rFonts w:asciiTheme="minorHAnsi" w:hAnsiTheme="minorHAnsi"/>
          <w:color w:val="auto"/>
          <w:sz w:val="18"/>
          <w:szCs w:val="20"/>
        </w:rPr>
      </w:pPr>
      <w:r w:rsidRPr="00BB61E1">
        <w:rPr>
          <w:rFonts w:asciiTheme="minorHAnsi" w:hAnsiTheme="minorHAnsi"/>
          <w:b/>
          <w:color w:val="auto"/>
          <w:sz w:val="18"/>
          <w:szCs w:val="20"/>
        </w:rPr>
        <w:t>50% Minimum Tender Requirement</w:t>
      </w:r>
      <w:r w:rsidRPr="00BB61E1">
        <w:rPr>
          <w:rFonts w:asciiTheme="minorHAnsi" w:hAnsiTheme="minorHAnsi"/>
          <w:color w:val="auto"/>
          <w:sz w:val="18"/>
          <w:szCs w:val="20"/>
        </w:rPr>
        <w:t xml:space="preserve"> – Bids will be subject to a mandatory minimum tender requirement of more than 50% of the outstanding securities of the class that are subject to the bid, excluding those beneficially owned, or over which control or direction is exercised, by </w:t>
      </w:r>
      <w:r>
        <w:rPr>
          <w:rFonts w:asciiTheme="minorHAnsi" w:hAnsiTheme="minorHAnsi"/>
          <w:color w:val="auto"/>
          <w:sz w:val="18"/>
          <w:szCs w:val="20"/>
        </w:rPr>
        <w:t>the bidder and its joint actors (</w:t>
      </w:r>
      <w:r w:rsidRPr="00BB61E1">
        <w:rPr>
          <w:rFonts w:asciiTheme="minorHAnsi" w:hAnsiTheme="minorHAnsi"/>
          <w:b/>
          <w:color w:val="7030A0"/>
          <w:sz w:val="18"/>
          <w:szCs w:val="20"/>
        </w:rPr>
        <w:t>2.29.1</w:t>
      </w:r>
      <w:r>
        <w:rPr>
          <w:rFonts w:asciiTheme="minorHAnsi" w:hAnsiTheme="minorHAnsi"/>
          <w:b/>
          <w:color w:val="auto"/>
          <w:sz w:val="18"/>
          <w:szCs w:val="20"/>
        </w:rPr>
        <w:t>)</w:t>
      </w:r>
    </w:p>
    <w:p w:rsidR="00F36ED5" w:rsidRPr="00F36ED5" w:rsidRDefault="00F36ED5" w:rsidP="00FF0B61">
      <w:pPr>
        <w:pStyle w:val="Normal1"/>
        <w:widowControl w:val="0"/>
        <w:spacing w:line="240" w:lineRule="auto"/>
        <w:contextualSpacing/>
        <w:rPr>
          <w:rFonts w:asciiTheme="minorHAnsi" w:hAnsiTheme="minorHAnsi"/>
          <w:b/>
          <w:sz w:val="18"/>
          <w:szCs w:val="20"/>
        </w:rPr>
      </w:pPr>
      <w:r>
        <w:rPr>
          <w:rFonts w:asciiTheme="minorHAnsi" w:hAnsiTheme="minorHAnsi"/>
          <w:b/>
          <w:sz w:val="18"/>
          <w:szCs w:val="20"/>
        </w:rPr>
        <w:t xml:space="preserve">(2) Commencing the Bid: </w:t>
      </w:r>
      <w:r w:rsidRPr="00F36ED5">
        <w:rPr>
          <w:rFonts w:asciiTheme="minorHAnsi" w:hAnsiTheme="minorHAnsi"/>
          <w:b/>
          <w:sz w:val="18"/>
          <w:szCs w:val="20"/>
        </w:rPr>
        <w:t xml:space="preserve">Two ways: </w:t>
      </w:r>
    </w:p>
    <w:p w:rsidR="00F36ED5" w:rsidRDefault="00F36ED5" w:rsidP="00FF0B61">
      <w:pPr>
        <w:pStyle w:val="Normal1"/>
        <w:widowControl w:val="0"/>
        <w:numPr>
          <w:ilvl w:val="0"/>
          <w:numId w:val="122"/>
        </w:numPr>
        <w:spacing w:line="240" w:lineRule="auto"/>
        <w:contextualSpacing/>
        <w:rPr>
          <w:rFonts w:asciiTheme="minorHAnsi" w:hAnsiTheme="minorHAnsi"/>
          <w:sz w:val="18"/>
          <w:szCs w:val="20"/>
        </w:rPr>
      </w:pPr>
      <w:r w:rsidRPr="00F36ED5">
        <w:rPr>
          <w:rFonts w:asciiTheme="minorHAnsi" w:hAnsiTheme="minorHAnsi"/>
          <w:b/>
          <w:sz w:val="18"/>
          <w:szCs w:val="20"/>
        </w:rPr>
        <w:t>(i)</w:t>
      </w:r>
      <w:r>
        <w:rPr>
          <w:rFonts w:asciiTheme="minorHAnsi" w:hAnsiTheme="minorHAnsi"/>
          <w:sz w:val="18"/>
          <w:szCs w:val="20"/>
        </w:rPr>
        <w:t xml:space="preserve"> </w:t>
      </w:r>
      <w:r w:rsidRPr="00F36ED5">
        <w:rPr>
          <w:rFonts w:asciiTheme="minorHAnsi" w:hAnsiTheme="minorHAnsi"/>
          <w:sz w:val="18"/>
          <w:szCs w:val="20"/>
        </w:rPr>
        <w:t>Delivering the bid to the offerees (</w:t>
      </w:r>
      <w:r w:rsidRPr="00F36ED5">
        <w:rPr>
          <w:rFonts w:asciiTheme="minorHAnsi" w:hAnsiTheme="minorHAnsi"/>
          <w:b/>
          <w:color w:val="7030A0"/>
          <w:sz w:val="18"/>
          <w:szCs w:val="20"/>
        </w:rPr>
        <w:t>62-104, 2.9(1)(b)</w:t>
      </w:r>
      <w:r w:rsidRPr="00F36ED5">
        <w:rPr>
          <w:rFonts w:asciiTheme="minorHAnsi" w:hAnsiTheme="minorHAnsi"/>
          <w:sz w:val="18"/>
          <w:szCs w:val="20"/>
        </w:rPr>
        <w:t xml:space="preserve">); </w:t>
      </w:r>
    </w:p>
    <w:p w:rsidR="00F36ED5" w:rsidRDefault="00F36ED5" w:rsidP="00FF0B61">
      <w:pPr>
        <w:pStyle w:val="Normal1"/>
        <w:widowControl w:val="0"/>
        <w:numPr>
          <w:ilvl w:val="0"/>
          <w:numId w:val="122"/>
        </w:numPr>
        <w:spacing w:line="240" w:lineRule="auto"/>
        <w:contextualSpacing/>
        <w:rPr>
          <w:rFonts w:asciiTheme="minorHAnsi" w:hAnsiTheme="minorHAnsi"/>
          <w:sz w:val="18"/>
          <w:szCs w:val="20"/>
        </w:rPr>
      </w:pPr>
      <w:r w:rsidRPr="00F36ED5">
        <w:rPr>
          <w:rFonts w:asciiTheme="minorHAnsi" w:hAnsiTheme="minorHAnsi"/>
          <w:b/>
          <w:sz w:val="18"/>
          <w:szCs w:val="20"/>
        </w:rPr>
        <w:t>(ii)</w:t>
      </w:r>
      <w:r w:rsidRPr="00F36ED5">
        <w:rPr>
          <w:rFonts w:asciiTheme="minorHAnsi" w:hAnsiTheme="minorHAnsi"/>
          <w:sz w:val="18"/>
          <w:szCs w:val="20"/>
        </w:rPr>
        <w:t xml:space="preserve"> Publishing an ad with a brief summary of the bid in a “major daily newspaper of general and regular paid circulation” in each jurisdiction in which offerees reside (</w:t>
      </w:r>
      <w:r w:rsidRPr="00F36ED5">
        <w:rPr>
          <w:rFonts w:asciiTheme="minorHAnsi" w:hAnsiTheme="minorHAnsi"/>
          <w:b/>
          <w:color w:val="7030A0"/>
          <w:sz w:val="18"/>
          <w:szCs w:val="20"/>
        </w:rPr>
        <w:t>2.9(1)(a)).</w:t>
      </w:r>
      <w:r w:rsidRPr="00F36ED5">
        <w:rPr>
          <w:rFonts w:asciiTheme="minorHAnsi" w:hAnsiTheme="minorHAnsi"/>
          <w:color w:val="7030A0"/>
          <w:sz w:val="18"/>
          <w:szCs w:val="20"/>
        </w:rPr>
        <w:t xml:space="preserve"> </w:t>
      </w:r>
      <w:r w:rsidRPr="00F36ED5">
        <w:rPr>
          <w:rFonts w:asciiTheme="minorHAnsi" w:hAnsiTheme="minorHAnsi"/>
          <w:b/>
          <w:color w:val="auto"/>
          <w:sz w:val="18"/>
          <w:szCs w:val="20"/>
        </w:rPr>
        <w:t>Conditions:</w:t>
      </w:r>
    </w:p>
    <w:p w:rsidR="00F36ED5" w:rsidRDefault="00F36ED5" w:rsidP="00FF0B61">
      <w:pPr>
        <w:pStyle w:val="Normal1"/>
        <w:widowControl w:val="0"/>
        <w:numPr>
          <w:ilvl w:val="1"/>
          <w:numId w:val="122"/>
        </w:numPr>
        <w:spacing w:line="240" w:lineRule="auto"/>
        <w:contextualSpacing/>
        <w:rPr>
          <w:rFonts w:asciiTheme="minorHAnsi" w:hAnsiTheme="minorHAnsi"/>
          <w:sz w:val="18"/>
          <w:szCs w:val="20"/>
        </w:rPr>
      </w:pPr>
      <w:r w:rsidRPr="00F36ED5">
        <w:rPr>
          <w:rFonts w:asciiTheme="minorHAnsi" w:hAnsiTheme="minorHAnsi"/>
          <w:b/>
          <w:sz w:val="18"/>
          <w:szCs w:val="20"/>
        </w:rPr>
        <w:t>(1)</w:t>
      </w:r>
      <w:r w:rsidRPr="00F36ED5">
        <w:rPr>
          <w:rFonts w:asciiTheme="minorHAnsi" w:hAnsiTheme="minorHAnsi"/>
          <w:sz w:val="18"/>
          <w:szCs w:val="20"/>
        </w:rPr>
        <w:t xml:space="preserve"> TOB must be filed and delivered to target issuer’s principal office on or before the date on which the ad is first published;</w:t>
      </w:r>
    </w:p>
    <w:p w:rsidR="00F36ED5" w:rsidRDefault="00F36ED5" w:rsidP="00FF0B61">
      <w:pPr>
        <w:pStyle w:val="Normal1"/>
        <w:widowControl w:val="0"/>
        <w:numPr>
          <w:ilvl w:val="1"/>
          <w:numId w:val="122"/>
        </w:numPr>
        <w:spacing w:line="240" w:lineRule="auto"/>
        <w:contextualSpacing/>
        <w:rPr>
          <w:rFonts w:asciiTheme="minorHAnsi" w:hAnsiTheme="minorHAnsi"/>
          <w:sz w:val="18"/>
          <w:szCs w:val="20"/>
        </w:rPr>
      </w:pPr>
      <w:r w:rsidRPr="00F36ED5">
        <w:rPr>
          <w:rFonts w:asciiTheme="minorHAnsi" w:hAnsiTheme="minorHAnsi"/>
          <w:b/>
          <w:sz w:val="18"/>
          <w:szCs w:val="20"/>
        </w:rPr>
        <w:t>(2)</w:t>
      </w:r>
      <w:r w:rsidRPr="00F36ED5">
        <w:rPr>
          <w:rFonts w:asciiTheme="minorHAnsi" w:hAnsiTheme="minorHAnsi"/>
          <w:sz w:val="18"/>
          <w:szCs w:val="20"/>
        </w:rPr>
        <w:t xml:space="preserve"> Offeror must request a list from the target issuer of its securityholders in the jurisdiction on or before the date of publication;</w:t>
      </w:r>
    </w:p>
    <w:p w:rsidR="00F36ED5" w:rsidRDefault="00F36ED5" w:rsidP="00FF0B61">
      <w:pPr>
        <w:pStyle w:val="Normal1"/>
        <w:widowControl w:val="0"/>
        <w:numPr>
          <w:ilvl w:val="1"/>
          <w:numId w:val="122"/>
        </w:numPr>
        <w:spacing w:line="240" w:lineRule="auto"/>
        <w:contextualSpacing/>
        <w:rPr>
          <w:rFonts w:asciiTheme="minorHAnsi" w:hAnsiTheme="minorHAnsi"/>
          <w:sz w:val="18"/>
          <w:szCs w:val="20"/>
        </w:rPr>
      </w:pPr>
      <w:r w:rsidRPr="00F36ED5">
        <w:rPr>
          <w:rFonts w:asciiTheme="minorHAnsi" w:hAnsiTheme="minorHAnsi"/>
          <w:b/>
          <w:sz w:val="18"/>
          <w:szCs w:val="20"/>
        </w:rPr>
        <w:t>(3)</w:t>
      </w:r>
      <w:r w:rsidRPr="00F36ED5">
        <w:rPr>
          <w:rFonts w:asciiTheme="minorHAnsi" w:hAnsiTheme="minorHAnsi"/>
          <w:sz w:val="18"/>
          <w:szCs w:val="20"/>
        </w:rPr>
        <w:t xml:space="preserve"> Offeror must deliver the TOB to the offerees within 2 business-days of receiving the list (</w:t>
      </w:r>
      <w:r w:rsidRPr="00F36ED5">
        <w:rPr>
          <w:rFonts w:asciiTheme="minorHAnsi" w:hAnsiTheme="minorHAnsi"/>
          <w:b/>
          <w:color w:val="7030A0"/>
          <w:sz w:val="18"/>
          <w:szCs w:val="20"/>
        </w:rPr>
        <w:t>62-104, 2.10(2)</w:t>
      </w:r>
      <w:r w:rsidRPr="00F36ED5">
        <w:rPr>
          <w:rFonts w:asciiTheme="minorHAnsi" w:hAnsiTheme="minorHAnsi"/>
          <w:sz w:val="18"/>
          <w:szCs w:val="20"/>
        </w:rPr>
        <w:t>).</w:t>
      </w:r>
    </w:p>
    <w:p w:rsidR="00294F7F" w:rsidRDefault="00294F7F" w:rsidP="00FF0B61">
      <w:pPr>
        <w:pStyle w:val="Normal1"/>
        <w:widowControl w:val="0"/>
        <w:spacing w:line="240" w:lineRule="auto"/>
        <w:contextualSpacing/>
        <w:rPr>
          <w:rFonts w:asciiTheme="minorHAnsi" w:hAnsiTheme="minorHAnsi"/>
          <w:b/>
          <w:sz w:val="18"/>
          <w:szCs w:val="20"/>
        </w:rPr>
      </w:pPr>
    </w:p>
    <w:p w:rsidR="00F36ED5" w:rsidRDefault="00F36ED5" w:rsidP="00FF0B61">
      <w:pPr>
        <w:pStyle w:val="Normal1"/>
        <w:widowControl w:val="0"/>
        <w:spacing w:line="240" w:lineRule="auto"/>
        <w:contextualSpacing/>
        <w:rPr>
          <w:rFonts w:asciiTheme="minorHAnsi" w:hAnsiTheme="minorHAnsi"/>
          <w:b/>
          <w:sz w:val="18"/>
          <w:szCs w:val="20"/>
        </w:rPr>
      </w:pPr>
      <w:r>
        <w:rPr>
          <w:rFonts w:asciiTheme="minorHAnsi" w:hAnsiTheme="minorHAnsi"/>
          <w:b/>
          <w:sz w:val="18"/>
          <w:szCs w:val="20"/>
        </w:rPr>
        <w:t xml:space="preserve">(3) Minimum Deposit Period: </w:t>
      </w:r>
      <w:r w:rsidR="00A65FB0" w:rsidRPr="00A65FB0">
        <w:rPr>
          <w:rFonts w:asciiTheme="minorHAnsi" w:hAnsiTheme="minorHAnsi"/>
          <w:sz w:val="18"/>
          <w:szCs w:val="20"/>
        </w:rPr>
        <w:t>TOB must allo</w:t>
      </w:r>
      <w:r w:rsidR="00E7665D">
        <w:rPr>
          <w:rFonts w:asciiTheme="minorHAnsi" w:hAnsiTheme="minorHAnsi"/>
          <w:sz w:val="18"/>
          <w:szCs w:val="20"/>
        </w:rPr>
        <w:t xml:space="preserve">w offerees </w:t>
      </w:r>
      <w:r w:rsidR="00E7665D" w:rsidRPr="00E7665D">
        <w:rPr>
          <w:rFonts w:asciiTheme="minorHAnsi" w:hAnsiTheme="minorHAnsi"/>
          <w:b/>
          <w:sz w:val="18"/>
          <w:szCs w:val="20"/>
          <w:u w:val="single"/>
        </w:rPr>
        <w:t>105 days</w:t>
      </w:r>
      <w:r w:rsidR="00E7665D">
        <w:rPr>
          <w:rFonts w:asciiTheme="minorHAnsi" w:hAnsiTheme="minorHAnsi"/>
          <w:sz w:val="18"/>
          <w:szCs w:val="20"/>
        </w:rPr>
        <w:t xml:space="preserve"> to decide</w:t>
      </w:r>
      <w:r w:rsidR="007C6206">
        <w:rPr>
          <w:rFonts w:asciiTheme="minorHAnsi" w:hAnsiTheme="minorHAnsi"/>
          <w:sz w:val="18"/>
          <w:szCs w:val="20"/>
        </w:rPr>
        <w:t xml:space="preserve"> whether to accept the bid and deposit their </w:t>
      </w:r>
      <w:r w:rsidR="008D798C">
        <w:rPr>
          <w:rFonts w:asciiTheme="minorHAnsi" w:hAnsiTheme="minorHAnsi"/>
          <w:sz w:val="18"/>
          <w:szCs w:val="20"/>
        </w:rPr>
        <w:t>securities</w:t>
      </w:r>
      <w:r w:rsidR="007C6206">
        <w:rPr>
          <w:rFonts w:asciiTheme="minorHAnsi" w:hAnsiTheme="minorHAnsi"/>
          <w:sz w:val="18"/>
          <w:szCs w:val="20"/>
        </w:rPr>
        <w:t xml:space="preserve"> under the terms of the TOB</w:t>
      </w:r>
      <w:r w:rsidR="00E7665D">
        <w:rPr>
          <w:rFonts w:asciiTheme="minorHAnsi" w:hAnsiTheme="minorHAnsi"/>
          <w:sz w:val="18"/>
          <w:szCs w:val="20"/>
        </w:rPr>
        <w:t xml:space="preserve"> </w:t>
      </w:r>
      <w:r w:rsidR="00A65FB0" w:rsidRPr="00A65FB0">
        <w:rPr>
          <w:rFonts w:asciiTheme="minorHAnsi" w:hAnsiTheme="minorHAnsi"/>
          <w:b/>
          <w:sz w:val="18"/>
          <w:szCs w:val="20"/>
        </w:rPr>
        <w:t>(</w:t>
      </w:r>
      <w:r w:rsidR="00A65FB0" w:rsidRPr="00A65FB0">
        <w:rPr>
          <w:rFonts w:asciiTheme="minorHAnsi" w:hAnsiTheme="minorHAnsi"/>
          <w:b/>
          <w:color w:val="7030A0"/>
          <w:sz w:val="18"/>
          <w:szCs w:val="20"/>
        </w:rPr>
        <w:t>62-104, 2.28</w:t>
      </w:r>
      <w:r w:rsidR="0067023E">
        <w:rPr>
          <w:rFonts w:asciiTheme="minorHAnsi" w:hAnsiTheme="minorHAnsi"/>
          <w:b/>
          <w:color w:val="7030A0"/>
          <w:sz w:val="18"/>
          <w:szCs w:val="20"/>
        </w:rPr>
        <w:t>.1</w:t>
      </w:r>
      <w:r w:rsidR="00A65FB0" w:rsidRPr="00A65FB0">
        <w:rPr>
          <w:rFonts w:asciiTheme="minorHAnsi" w:hAnsiTheme="minorHAnsi"/>
          <w:b/>
          <w:sz w:val="18"/>
          <w:szCs w:val="20"/>
        </w:rPr>
        <w:t>).</w:t>
      </w:r>
    </w:p>
    <w:p w:rsidR="009B5AB3" w:rsidRPr="00671F98" w:rsidRDefault="009B5AB3" w:rsidP="00FF0B61">
      <w:pPr>
        <w:pStyle w:val="Normal1"/>
        <w:widowControl w:val="0"/>
        <w:numPr>
          <w:ilvl w:val="0"/>
          <w:numId w:val="110"/>
        </w:numPr>
        <w:spacing w:line="240" w:lineRule="auto"/>
        <w:contextualSpacing/>
        <w:rPr>
          <w:rFonts w:asciiTheme="minorHAnsi" w:hAnsiTheme="minorHAnsi"/>
          <w:b/>
          <w:sz w:val="18"/>
          <w:szCs w:val="20"/>
        </w:rPr>
      </w:pPr>
      <w:r>
        <w:rPr>
          <w:rFonts w:asciiTheme="minorHAnsi" w:hAnsiTheme="minorHAnsi"/>
          <w:b/>
          <w:sz w:val="18"/>
          <w:szCs w:val="20"/>
        </w:rPr>
        <w:t>Exceptions:</w:t>
      </w:r>
    </w:p>
    <w:p w:rsidR="009B5AB3" w:rsidRPr="00671F98" w:rsidRDefault="009B5AB3" w:rsidP="00FF0B61">
      <w:pPr>
        <w:pStyle w:val="Normal1"/>
        <w:widowControl w:val="0"/>
        <w:numPr>
          <w:ilvl w:val="1"/>
          <w:numId w:val="110"/>
        </w:numPr>
        <w:spacing w:line="240" w:lineRule="auto"/>
        <w:contextualSpacing/>
        <w:rPr>
          <w:rFonts w:asciiTheme="minorHAnsi" w:hAnsiTheme="minorHAnsi"/>
          <w:b/>
          <w:sz w:val="18"/>
          <w:szCs w:val="20"/>
        </w:rPr>
      </w:pPr>
      <w:r w:rsidRPr="00834582">
        <w:rPr>
          <w:rFonts w:asciiTheme="minorHAnsi" w:hAnsiTheme="minorHAnsi"/>
          <w:b/>
          <w:color w:val="7030A0"/>
          <w:sz w:val="18"/>
          <w:szCs w:val="20"/>
        </w:rPr>
        <w:t xml:space="preserve">2.28.2 </w:t>
      </w:r>
      <w:r>
        <w:rPr>
          <w:rFonts w:asciiTheme="minorHAnsi" w:hAnsiTheme="minorHAnsi"/>
          <w:b/>
          <w:sz w:val="18"/>
          <w:szCs w:val="20"/>
        </w:rPr>
        <w:t xml:space="preserve">– </w:t>
      </w:r>
      <w:r w:rsidR="008D798C" w:rsidRPr="008D798C">
        <w:rPr>
          <w:rFonts w:asciiTheme="minorHAnsi" w:hAnsiTheme="minorHAnsi"/>
          <w:sz w:val="18"/>
          <w:szCs w:val="20"/>
        </w:rPr>
        <w:t xml:space="preserve"> target issuer’s board of directors may issue a “deposit period news release” in respect of a proposed or commenced take-over bid providing for an initial bid period that is shorter than 105 days but not less than 35 days</w:t>
      </w:r>
    </w:p>
    <w:p w:rsidR="009B5AB3" w:rsidRPr="00E7665D" w:rsidRDefault="009B5AB3" w:rsidP="00FF0B61">
      <w:pPr>
        <w:pStyle w:val="Normal1"/>
        <w:widowControl w:val="0"/>
        <w:numPr>
          <w:ilvl w:val="1"/>
          <w:numId w:val="110"/>
        </w:numPr>
        <w:spacing w:line="240" w:lineRule="auto"/>
        <w:contextualSpacing/>
        <w:rPr>
          <w:rFonts w:asciiTheme="minorHAnsi" w:hAnsiTheme="minorHAnsi"/>
          <w:b/>
          <w:color w:val="auto"/>
          <w:sz w:val="18"/>
          <w:szCs w:val="20"/>
        </w:rPr>
      </w:pPr>
      <w:r>
        <w:rPr>
          <w:rFonts w:asciiTheme="minorHAnsi" w:hAnsiTheme="minorHAnsi"/>
          <w:b/>
          <w:color w:val="7030A0"/>
          <w:sz w:val="18"/>
          <w:szCs w:val="20"/>
        </w:rPr>
        <w:t xml:space="preserve">2.28.3 - </w:t>
      </w:r>
      <w:r w:rsidRPr="00671F98">
        <w:rPr>
          <w:rFonts w:asciiTheme="minorHAnsi" w:hAnsiTheme="minorHAnsi"/>
          <w:b/>
          <w:color w:val="auto"/>
          <w:sz w:val="18"/>
          <w:szCs w:val="20"/>
        </w:rPr>
        <w:t>Alternative transaction</w:t>
      </w:r>
      <w:r w:rsidR="008D798C">
        <w:rPr>
          <w:rFonts w:asciiTheme="minorHAnsi" w:hAnsiTheme="minorHAnsi"/>
          <w:b/>
          <w:color w:val="auto"/>
          <w:sz w:val="18"/>
          <w:szCs w:val="20"/>
        </w:rPr>
        <w:t xml:space="preserve"> (Issuer issues a news release that it is doing this)</w:t>
      </w:r>
      <w:r w:rsidRPr="00671F98">
        <w:rPr>
          <w:rFonts w:asciiTheme="minorHAnsi" w:hAnsiTheme="minorHAnsi"/>
          <w:b/>
          <w:color w:val="auto"/>
          <w:sz w:val="18"/>
          <w:szCs w:val="20"/>
        </w:rPr>
        <w:t xml:space="preserve"> </w:t>
      </w:r>
      <w:r>
        <w:rPr>
          <w:rFonts w:asciiTheme="minorHAnsi" w:hAnsiTheme="minorHAnsi"/>
          <w:b/>
          <w:color w:val="auto"/>
          <w:sz w:val="18"/>
          <w:szCs w:val="20"/>
        </w:rPr>
        <w:t xml:space="preserve">– </w:t>
      </w:r>
      <w:r w:rsidRPr="00E7665D">
        <w:rPr>
          <w:rFonts w:asciiTheme="minorHAnsi" w:hAnsiTheme="minorHAnsi"/>
          <w:b/>
          <w:color w:val="auto"/>
          <w:sz w:val="18"/>
          <w:szCs w:val="20"/>
        </w:rPr>
        <w:t>E.g.</w:t>
      </w:r>
      <w:r>
        <w:rPr>
          <w:rFonts w:asciiTheme="minorHAnsi" w:hAnsiTheme="minorHAnsi"/>
          <w:color w:val="auto"/>
          <w:sz w:val="18"/>
          <w:szCs w:val="20"/>
        </w:rPr>
        <w:t xml:space="preserve"> trying to use defensive tactic (e.g. White Knight) then bid period can only be 35 days. </w:t>
      </w:r>
    </w:p>
    <w:p w:rsidR="00724C40" w:rsidRPr="00724C40" w:rsidRDefault="00E7665D" w:rsidP="00FF0B61">
      <w:pPr>
        <w:pStyle w:val="Body"/>
        <w:rPr>
          <w:rFonts w:ascii="Calibri" w:hAnsi="Calibri"/>
          <w:bCs/>
          <w:position w:val="4"/>
          <w:sz w:val="18"/>
          <w:szCs w:val="21"/>
        </w:rPr>
      </w:pPr>
      <w:r>
        <w:rPr>
          <w:rFonts w:asciiTheme="minorHAnsi" w:hAnsiTheme="minorHAnsi"/>
          <w:b/>
          <w:color w:val="auto"/>
          <w:sz w:val="18"/>
          <w:szCs w:val="20"/>
        </w:rPr>
        <w:t xml:space="preserve">(4) Consideration: </w:t>
      </w:r>
      <w:r w:rsidR="00724C40" w:rsidRPr="00724C40">
        <w:rPr>
          <w:rFonts w:asciiTheme="minorHAnsi" w:hAnsiTheme="minorHAnsi"/>
          <w:color w:val="auto"/>
          <w:sz w:val="18"/>
          <w:szCs w:val="20"/>
        </w:rPr>
        <w:t>Cash,</w:t>
      </w:r>
      <w:r w:rsidR="00724C40">
        <w:rPr>
          <w:rFonts w:asciiTheme="minorHAnsi" w:hAnsiTheme="minorHAnsi"/>
          <w:color w:val="auto"/>
          <w:sz w:val="18"/>
          <w:szCs w:val="20"/>
        </w:rPr>
        <w:t xml:space="preserve"> securities, other, or a combo </w:t>
      </w:r>
      <w:r w:rsidR="00724C40" w:rsidRPr="00724C40">
        <w:rPr>
          <w:rFonts w:asciiTheme="minorHAnsi" w:hAnsiTheme="minorHAnsi"/>
          <w:color w:val="auto"/>
          <w:sz w:val="18"/>
          <w:szCs w:val="20"/>
        </w:rPr>
        <w:t>– if cash, must be ready to go</w:t>
      </w:r>
      <w:r w:rsidR="00724C40" w:rsidRPr="00724C40">
        <w:rPr>
          <w:rFonts w:asciiTheme="minorHAnsi" w:hAnsiTheme="minorHAnsi"/>
          <w:b/>
          <w:color w:val="auto"/>
          <w:sz w:val="18"/>
          <w:szCs w:val="20"/>
        </w:rPr>
        <w:t xml:space="preserve"> (</w:t>
      </w:r>
      <w:r w:rsidR="00724C40" w:rsidRPr="00724C40">
        <w:rPr>
          <w:rFonts w:asciiTheme="minorHAnsi" w:hAnsiTheme="minorHAnsi"/>
          <w:b/>
          <w:color w:val="7030A0"/>
          <w:sz w:val="18"/>
          <w:szCs w:val="20"/>
        </w:rPr>
        <w:t>62-104, 2.27(1)</w:t>
      </w:r>
      <w:r w:rsidR="00724C40" w:rsidRPr="00724C40">
        <w:rPr>
          <w:rFonts w:asciiTheme="minorHAnsi" w:hAnsiTheme="minorHAnsi"/>
          <w:b/>
          <w:color w:val="auto"/>
          <w:sz w:val="18"/>
          <w:szCs w:val="20"/>
        </w:rPr>
        <w:t>).</w:t>
      </w:r>
    </w:p>
    <w:p w:rsidR="00724C40" w:rsidRDefault="00724C40" w:rsidP="00FF0B61">
      <w:pPr>
        <w:pStyle w:val="Body"/>
        <w:numPr>
          <w:ilvl w:val="0"/>
          <w:numId w:val="123"/>
        </w:numPr>
        <w:rPr>
          <w:rFonts w:ascii="Calibri" w:hAnsi="Calibri"/>
          <w:bCs/>
          <w:position w:val="4"/>
          <w:sz w:val="18"/>
          <w:szCs w:val="21"/>
        </w:rPr>
      </w:pPr>
      <w:r w:rsidRPr="00724C40">
        <w:rPr>
          <w:rFonts w:ascii="Calibri" w:hAnsi="Calibri"/>
          <w:b/>
          <w:bCs/>
          <w:position w:val="4"/>
          <w:sz w:val="18"/>
          <w:szCs w:val="21"/>
        </w:rPr>
        <w:t>A class must receive identical consideration</w:t>
      </w:r>
      <w:r w:rsidRPr="00724C40">
        <w:rPr>
          <w:rFonts w:ascii="Calibri" w:hAnsi="Calibri"/>
          <w:bCs/>
          <w:position w:val="4"/>
          <w:sz w:val="18"/>
          <w:szCs w:val="21"/>
        </w:rPr>
        <w:t xml:space="preserve"> (</w:t>
      </w:r>
      <w:r w:rsidRPr="00724C40">
        <w:rPr>
          <w:rFonts w:ascii="Calibri" w:hAnsi="Calibri"/>
          <w:b/>
          <w:bCs/>
          <w:color w:val="7030A0"/>
          <w:position w:val="4"/>
          <w:sz w:val="18"/>
          <w:szCs w:val="21"/>
        </w:rPr>
        <w:t>2.23(1)</w:t>
      </w:r>
      <w:r w:rsidRPr="00724C40">
        <w:rPr>
          <w:rFonts w:ascii="Calibri" w:hAnsi="Calibri"/>
          <w:bCs/>
          <w:position w:val="4"/>
          <w:sz w:val="18"/>
          <w:szCs w:val="21"/>
        </w:rPr>
        <w:t>) – even if buys some then ups the offer, must reimburse all – this includes up to 90 days before the TOB.</w:t>
      </w:r>
    </w:p>
    <w:p w:rsidR="00E67914" w:rsidRPr="00E67914" w:rsidRDefault="00E67914" w:rsidP="00FF0B61">
      <w:pPr>
        <w:pStyle w:val="ListParagraph"/>
        <w:numPr>
          <w:ilvl w:val="1"/>
          <w:numId w:val="123"/>
        </w:numPr>
        <w:rPr>
          <w:rFonts w:ascii="Calibri" w:eastAsia="Arial Unicode MS" w:hAnsi="Calibri" w:cs="Arial Unicode MS"/>
          <w:b/>
          <w:bCs/>
          <w:color w:val="000000"/>
          <w:position w:val="4"/>
          <w:szCs w:val="21"/>
          <w:bdr w:val="nil"/>
        </w:rPr>
      </w:pPr>
      <w:r w:rsidRPr="00E65763">
        <w:rPr>
          <w:rFonts w:ascii="Calibri" w:hAnsi="Calibri"/>
          <w:b/>
          <w:bCs/>
          <w:position w:val="4"/>
          <w:szCs w:val="21"/>
        </w:rPr>
        <w:t>Exemption</w:t>
      </w:r>
      <w:r w:rsidRPr="00E65763">
        <w:rPr>
          <w:rFonts w:ascii="Calibri" w:hAnsi="Calibri"/>
          <w:bCs/>
          <w:position w:val="4"/>
          <w:szCs w:val="21"/>
        </w:rPr>
        <w:t>: Normal course trades in a published market, as long as no unreasonable fee or commission, nor any solicitation by the seller or purchaser (</w:t>
      </w:r>
      <w:r w:rsidRPr="00E65763">
        <w:rPr>
          <w:rFonts w:ascii="Calibri" w:hAnsi="Calibri"/>
          <w:b/>
          <w:bCs/>
          <w:color w:val="7030A0"/>
          <w:position w:val="4"/>
          <w:szCs w:val="21"/>
        </w:rPr>
        <w:t>s.2.6</w:t>
      </w:r>
      <w:r w:rsidRPr="00E65763">
        <w:rPr>
          <w:rFonts w:ascii="Calibri" w:hAnsi="Calibri"/>
          <w:b/>
          <w:bCs/>
          <w:position w:val="4"/>
          <w:szCs w:val="21"/>
        </w:rPr>
        <w:t>)</w:t>
      </w:r>
    </w:p>
    <w:p w:rsidR="00E65763" w:rsidRPr="00E67914" w:rsidRDefault="00E65763" w:rsidP="00FF0B61">
      <w:pPr>
        <w:pStyle w:val="ListParagraph"/>
        <w:numPr>
          <w:ilvl w:val="0"/>
          <w:numId w:val="123"/>
        </w:numPr>
        <w:rPr>
          <w:rFonts w:ascii="Calibri" w:eastAsia="Arial Unicode MS" w:hAnsi="Calibri" w:cs="Arial Unicode MS"/>
          <w:b/>
          <w:bCs/>
          <w:color w:val="000000"/>
          <w:position w:val="4"/>
          <w:szCs w:val="21"/>
          <w:bdr w:val="nil"/>
        </w:rPr>
      </w:pPr>
      <w:r w:rsidRPr="00E65763">
        <w:rPr>
          <w:rFonts w:ascii="Calibri" w:hAnsi="Calibri"/>
          <w:b/>
          <w:bCs/>
          <w:position w:val="4"/>
          <w:szCs w:val="21"/>
        </w:rPr>
        <w:t xml:space="preserve">Prohibition </w:t>
      </w:r>
      <w:r w:rsidRPr="00F016D7">
        <w:rPr>
          <w:rFonts w:ascii="Calibri" w:hAnsi="Calibri"/>
          <w:b/>
          <w:bCs/>
          <w:position w:val="4"/>
          <w:szCs w:val="21"/>
          <w:u w:val="single"/>
        </w:rPr>
        <w:t>Against Collateral Agreements</w:t>
      </w:r>
      <w:r w:rsidRPr="00E65763">
        <w:rPr>
          <w:rFonts w:ascii="Calibri" w:hAnsi="Calibri"/>
          <w:b/>
          <w:bCs/>
          <w:position w:val="4"/>
          <w:szCs w:val="21"/>
        </w:rPr>
        <w:t xml:space="preserve"> (</w:t>
      </w:r>
      <w:r w:rsidRPr="00E65763">
        <w:rPr>
          <w:rFonts w:ascii="Calibri" w:hAnsi="Calibri"/>
          <w:b/>
          <w:bCs/>
          <w:color w:val="7030A0"/>
          <w:position w:val="4"/>
          <w:szCs w:val="21"/>
        </w:rPr>
        <w:t>2.24</w:t>
      </w:r>
      <w:r w:rsidRPr="00E65763">
        <w:rPr>
          <w:rFonts w:ascii="Calibri" w:hAnsi="Calibri"/>
          <w:b/>
          <w:bCs/>
          <w:position w:val="4"/>
          <w:szCs w:val="21"/>
        </w:rPr>
        <w:t xml:space="preserve">) </w:t>
      </w:r>
      <w:r>
        <w:rPr>
          <w:rFonts w:ascii="Calibri" w:hAnsi="Calibri"/>
          <w:b/>
          <w:bCs/>
          <w:position w:val="4"/>
          <w:szCs w:val="21"/>
        </w:rPr>
        <w:t>-</w:t>
      </w:r>
      <w:r w:rsidRPr="00E65763">
        <w:rPr>
          <w:rFonts w:ascii="Calibri" w:eastAsia="Arial Unicode MS" w:hAnsi="Calibri" w:cs="Arial Unicode MS"/>
          <w:b/>
          <w:bCs/>
          <w:color w:val="000000"/>
          <w:position w:val="4"/>
          <w:szCs w:val="21"/>
          <w:bdr w:val="nil"/>
        </w:rPr>
        <w:t xml:space="preserve"> </w:t>
      </w:r>
      <w:r w:rsidRPr="00E65763">
        <w:rPr>
          <w:rFonts w:ascii="Calibri" w:eastAsia="Arial Unicode MS" w:hAnsi="Calibri" w:cs="Arial Unicode MS"/>
          <w:bCs/>
          <w:color w:val="000000"/>
          <w:position w:val="4"/>
          <w:szCs w:val="21"/>
          <w:bdr w:val="nil"/>
        </w:rPr>
        <w:t>If a person makes or intends to make a take-over bid, the person or any person acting jointly or in concert with that person MUST NOT ENTER into any collateral agreement</w:t>
      </w:r>
      <w:r w:rsidRPr="00E65763">
        <w:rPr>
          <w:rFonts w:ascii="Calibri" w:eastAsia="Arial Unicode MS" w:hAnsi="Calibri" w:cs="Arial Unicode MS"/>
          <w:b/>
          <w:bCs/>
          <w:i/>
          <w:color w:val="000000"/>
          <w:position w:val="4"/>
          <w:szCs w:val="21"/>
          <w:bdr w:val="nil"/>
        </w:rPr>
        <w:t>, commitment or understanding that has the effect, directly or indirectly, of providing a security holder of the offeree issuer with consideration of greater value than that offered to the other security holders of the same class of securities</w:t>
      </w:r>
      <w:r w:rsidRPr="00E65763">
        <w:rPr>
          <w:rFonts w:ascii="Calibri" w:eastAsia="Arial Unicode MS" w:hAnsi="Calibri" w:cs="Arial Unicode MS"/>
          <w:bCs/>
          <w:color w:val="000000"/>
          <w:position w:val="4"/>
          <w:szCs w:val="21"/>
          <w:bdr w:val="nil"/>
        </w:rPr>
        <w:t>.</w:t>
      </w:r>
    </w:p>
    <w:p w:rsidR="00040637" w:rsidRPr="00E67914" w:rsidRDefault="00E67914" w:rsidP="00FF0B61">
      <w:pPr>
        <w:pStyle w:val="ListParagraph"/>
        <w:numPr>
          <w:ilvl w:val="1"/>
          <w:numId w:val="123"/>
        </w:numPr>
        <w:rPr>
          <w:rFonts w:ascii="Calibri" w:eastAsia="Arial Unicode MS" w:hAnsi="Calibri" w:cs="Arial Unicode MS"/>
          <w:b/>
          <w:bCs/>
          <w:color w:val="000000"/>
          <w:position w:val="4"/>
          <w:szCs w:val="21"/>
          <w:bdr w:val="nil"/>
        </w:rPr>
      </w:pPr>
      <w:r>
        <w:rPr>
          <w:rFonts w:ascii="Calibri" w:hAnsi="Calibri"/>
          <w:b/>
          <w:bCs/>
          <w:position w:val="4"/>
          <w:szCs w:val="21"/>
        </w:rPr>
        <w:t>Exception (</w:t>
      </w:r>
      <w:r w:rsidRPr="00E67914">
        <w:rPr>
          <w:rFonts w:ascii="Calibri" w:hAnsi="Calibri"/>
          <w:b/>
          <w:bCs/>
          <w:color w:val="7030A0"/>
          <w:position w:val="4"/>
          <w:szCs w:val="21"/>
        </w:rPr>
        <w:t xml:space="preserve">2.25) </w:t>
      </w:r>
      <w:r>
        <w:rPr>
          <w:rFonts w:ascii="Calibri" w:hAnsi="Calibri"/>
          <w:b/>
          <w:bCs/>
          <w:position w:val="4"/>
          <w:szCs w:val="21"/>
        </w:rPr>
        <w:t xml:space="preserve">– </w:t>
      </w:r>
      <w:r>
        <w:rPr>
          <w:rFonts w:ascii="Calibri" w:hAnsi="Calibri"/>
          <w:bCs/>
          <w:position w:val="4"/>
          <w:szCs w:val="21"/>
        </w:rPr>
        <w:t xml:space="preserve">2.24 does not apply to employment compensation arrangement, severance arrangement or other employment benefit if certain conditions are met. </w:t>
      </w:r>
    </w:p>
    <w:p w:rsidR="002528ED" w:rsidRPr="001D4B16" w:rsidRDefault="002528ED" w:rsidP="00FF0B61">
      <w:pPr>
        <w:pStyle w:val="Normal1"/>
        <w:widowControl w:val="0"/>
        <w:spacing w:line="240" w:lineRule="auto"/>
        <w:contextualSpacing/>
        <w:rPr>
          <w:rFonts w:asciiTheme="minorHAnsi" w:hAnsiTheme="minorHAnsi"/>
          <w:b/>
          <w:sz w:val="18"/>
          <w:szCs w:val="20"/>
          <w:u w:val="single"/>
        </w:rPr>
      </w:pPr>
      <w:r>
        <w:rPr>
          <w:rFonts w:asciiTheme="minorHAnsi" w:hAnsiTheme="minorHAnsi"/>
          <w:b/>
          <w:sz w:val="18"/>
          <w:szCs w:val="20"/>
          <w:u w:val="single"/>
        </w:rPr>
        <w:t>[C] Supplemental Warning S</w:t>
      </w:r>
      <w:r w:rsidR="001D4B16">
        <w:rPr>
          <w:rFonts w:asciiTheme="minorHAnsi" w:hAnsiTheme="minorHAnsi"/>
          <w:b/>
          <w:sz w:val="18"/>
          <w:szCs w:val="20"/>
          <w:u w:val="single"/>
        </w:rPr>
        <w:t xml:space="preserve">ystem: </w:t>
      </w:r>
      <w:r w:rsidR="00E50264" w:rsidRPr="00E50264">
        <w:rPr>
          <w:rFonts w:asciiTheme="minorHAnsi" w:hAnsiTheme="minorHAnsi"/>
          <w:sz w:val="18"/>
          <w:szCs w:val="20"/>
        </w:rPr>
        <w:t>Operates after a TOB is launched. A person</w:t>
      </w:r>
      <w:r w:rsidR="00E50264">
        <w:rPr>
          <w:rFonts w:asciiTheme="minorHAnsi" w:hAnsiTheme="minorHAnsi"/>
          <w:sz w:val="18"/>
          <w:szCs w:val="20"/>
        </w:rPr>
        <w:t xml:space="preserve"> acquiring an aggregate of 5%+ of the securities subject to the bid </w:t>
      </w:r>
      <w:r w:rsidR="00E50264" w:rsidRPr="00E50264">
        <w:rPr>
          <w:rFonts w:asciiTheme="minorHAnsi" w:hAnsiTheme="minorHAnsi"/>
          <w:sz w:val="18"/>
          <w:szCs w:val="20"/>
        </w:rPr>
        <w:t>must issue a new</w:t>
      </w:r>
      <w:r w:rsidR="00B32E4C">
        <w:rPr>
          <w:rFonts w:asciiTheme="minorHAnsi" w:hAnsiTheme="minorHAnsi"/>
          <w:sz w:val="18"/>
          <w:szCs w:val="20"/>
        </w:rPr>
        <w:t>s</w:t>
      </w:r>
      <w:r w:rsidR="00E50264" w:rsidRPr="00E50264">
        <w:rPr>
          <w:rFonts w:asciiTheme="minorHAnsi" w:hAnsiTheme="minorHAnsi"/>
          <w:sz w:val="18"/>
          <w:szCs w:val="20"/>
        </w:rPr>
        <w:t xml:space="preserve"> release before the next business day (</w:t>
      </w:r>
      <w:r w:rsidR="00E50264" w:rsidRPr="00E50264">
        <w:rPr>
          <w:rFonts w:asciiTheme="minorHAnsi" w:hAnsiTheme="minorHAnsi"/>
          <w:b/>
          <w:color w:val="7030A0"/>
          <w:sz w:val="18"/>
          <w:szCs w:val="20"/>
        </w:rPr>
        <w:t>62-104, 5.3</w:t>
      </w:r>
      <w:r w:rsidR="00E50264" w:rsidRPr="00E50264">
        <w:rPr>
          <w:rFonts w:asciiTheme="minorHAnsi" w:hAnsiTheme="minorHAnsi"/>
          <w:sz w:val="18"/>
          <w:szCs w:val="20"/>
        </w:rPr>
        <w:t>). Every 2%+, must do the same.</w:t>
      </w:r>
    </w:p>
    <w:p w:rsidR="001D4B16" w:rsidRDefault="001D4B16" w:rsidP="00FF0B61">
      <w:pPr>
        <w:pStyle w:val="Normal1"/>
        <w:widowControl w:val="0"/>
        <w:spacing w:line="240" w:lineRule="auto"/>
        <w:contextualSpacing/>
        <w:rPr>
          <w:rFonts w:asciiTheme="minorHAnsi" w:hAnsiTheme="minorHAnsi"/>
          <w:sz w:val="18"/>
          <w:szCs w:val="20"/>
        </w:rPr>
      </w:pPr>
    </w:p>
    <w:p w:rsidR="001D4B16" w:rsidRDefault="001D4B16" w:rsidP="00FF0B61">
      <w:pPr>
        <w:pStyle w:val="Normal1"/>
        <w:widowControl w:val="0"/>
        <w:spacing w:line="240" w:lineRule="auto"/>
        <w:contextualSpacing/>
        <w:rPr>
          <w:rFonts w:asciiTheme="minorHAnsi" w:hAnsiTheme="minorHAnsi"/>
          <w:b/>
          <w:sz w:val="18"/>
          <w:szCs w:val="20"/>
          <w:u w:val="single"/>
        </w:rPr>
      </w:pPr>
      <w:r>
        <w:rPr>
          <w:rFonts w:asciiTheme="minorHAnsi" w:hAnsiTheme="minorHAnsi"/>
          <w:b/>
          <w:sz w:val="18"/>
          <w:szCs w:val="20"/>
          <w:u w:val="single"/>
        </w:rPr>
        <w:t>[D] Offer</w:t>
      </w:r>
      <w:r w:rsidR="00905F82">
        <w:rPr>
          <w:rFonts w:asciiTheme="minorHAnsi" w:hAnsiTheme="minorHAnsi"/>
          <w:b/>
          <w:sz w:val="18"/>
          <w:szCs w:val="20"/>
          <w:u w:val="single"/>
        </w:rPr>
        <w:t>or</w:t>
      </w:r>
      <w:r>
        <w:rPr>
          <w:rFonts w:asciiTheme="minorHAnsi" w:hAnsiTheme="minorHAnsi"/>
          <w:b/>
          <w:sz w:val="18"/>
          <w:szCs w:val="20"/>
          <w:u w:val="single"/>
        </w:rPr>
        <w:t>’s TOB Circular:</w:t>
      </w:r>
      <w:r w:rsidR="00D94F03">
        <w:rPr>
          <w:rFonts w:asciiTheme="minorHAnsi" w:hAnsiTheme="minorHAnsi"/>
          <w:b/>
          <w:sz w:val="18"/>
          <w:szCs w:val="20"/>
          <w:u w:val="single"/>
        </w:rPr>
        <w:t xml:space="preserve"> </w:t>
      </w:r>
    </w:p>
    <w:p w:rsidR="00A77895" w:rsidRPr="00A77895" w:rsidRDefault="00A77895" w:rsidP="00FF0B61">
      <w:pPr>
        <w:pStyle w:val="Normal1"/>
        <w:widowControl w:val="0"/>
        <w:numPr>
          <w:ilvl w:val="0"/>
          <w:numId w:val="124"/>
        </w:numPr>
        <w:spacing w:line="240" w:lineRule="auto"/>
        <w:contextualSpacing/>
        <w:rPr>
          <w:rFonts w:asciiTheme="minorHAnsi" w:hAnsiTheme="minorHAnsi"/>
          <w:sz w:val="18"/>
          <w:szCs w:val="20"/>
        </w:rPr>
      </w:pPr>
      <w:r w:rsidRPr="00A77895">
        <w:rPr>
          <w:rFonts w:asciiTheme="minorHAnsi" w:hAnsiTheme="minorHAnsi"/>
          <w:sz w:val="18"/>
          <w:szCs w:val="20"/>
        </w:rPr>
        <w:t xml:space="preserve">TOB circular must be </w:t>
      </w:r>
      <w:r w:rsidRPr="00905F82">
        <w:rPr>
          <w:rFonts w:asciiTheme="minorHAnsi" w:hAnsiTheme="minorHAnsi"/>
          <w:sz w:val="18"/>
          <w:szCs w:val="20"/>
          <w:u w:val="single"/>
        </w:rPr>
        <w:t>concurrent with the bid</w:t>
      </w:r>
      <w:r w:rsidRPr="00A77895">
        <w:rPr>
          <w:rFonts w:asciiTheme="minorHAnsi" w:hAnsiTheme="minorHAnsi"/>
          <w:sz w:val="18"/>
          <w:szCs w:val="20"/>
        </w:rPr>
        <w:t xml:space="preserve"> (</w:t>
      </w:r>
      <w:r w:rsidRPr="00A77895">
        <w:rPr>
          <w:rFonts w:asciiTheme="minorHAnsi" w:hAnsiTheme="minorHAnsi"/>
          <w:b/>
          <w:color w:val="7030A0"/>
          <w:sz w:val="18"/>
          <w:szCs w:val="20"/>
        </w:rPr>
        <w:t>62-104, 2.10(1)(a)</w:t>
      </w:r>
      <w:r w:rsidRPr="00A77895">
        <w:rPr>
          <w:rFonts w:asciiTheme="minorHAnsi" w:hAnsiTheme="minorHAnsi"/>
          <w:sz w:val="18"/>
          <w:szCs w:val="20"/>
        </w:rPr>
        <w:t>).</w:t>
      </w:r>
      <w:r w:rsidR="00787818">
        <w:rPr>
          <w:rFonts w:asciiTheme="minorHAnsi" w:hAnsiTheme="minorHAnsi"/>
          <w:sz w:val="18"/>
          <w:szCs w:val="20"/>
        </w:rPr>
        <w:t xml:space="preserve"> </w:t>
      </w:r>
      <w:r w:rsidR="00787818" w:rsidRPr="00787818">
        <w:rPr>
          <w:rFonts w:asciiTheme="minorHAnsi" w:hAnsiTheme="minorHAnsi"/>
          <w:b/>
          <w:color w:val="C45911" w:themeColor="accent2" w:themeShade="BF"/>
          <w:sz w:val="18"/>
          <w:szCs w:val="20"/>
        </w:rPr>
        <w:t>BCSA 98</w:t>
      </w:r>
      <w:r w:rsidR="00787818" w:rsidRPr="00787818">
        <w:rPr>
          <w:rFonts w:asciiTheme="minorHAnsi" w:hAnsiTheme="minorHAnsi"/>
          <w:color w:val="C45911" w:themeColor="accent2" w:themeShade="BF"/>
          <w:sz w:val="18"/>
          <w:szCs w:val="20"/>
        </w:rPr>
        <w:t xml:space="preserve"> </w:t>
      </w:r>
      <w:r w:rsidR="00787818">
        <w:rPr>
          <w:rFonts w:asciiTheme="minorHAnsi" w:hAnsiTheme="minorHAnsi"/>
          <w:sz w:val="18"/>
          <w:szCs w:val="20"/>
        </w:rPr>
        <w:t xml:space="preserve">– must not make a bid except in accordance w/ regs. </w:t>
      </w:r>
    </w:p>
    <w:p w:rsidR="00A77895" w:rsidRPr="00460416" w:rsidRDefault="00D4740B" w:rsidP="00FF0B61">
      <w:pPr>
        <w:pStyle w:val="Normal1"/>
        <w:widowControl w:val="0"/>
        <w:numPr>
          <w:ilvl w:val="0"/>
          <w:numId w:val="124"/>
        </w:numPr>
        <w:spacing w:line="240" w:lineRule="auto"/>
        <w:contextualSpacing/>
        <w:rPr>
          <w:rFonts w:asciiTheme="minorHAnsi" w:hAnsiTheme="minorHAnsi"/>
          <w:sz w:val="18"/>
          <w:szCs w:val="20"/>
        </w:rPr>
      </w:pPr>
      <w:r>
        <w:rPr>
          <w:rFonts w:asciiTheme="minorHAnsi" w:hAnsiTheme="minorHAnsi"/>
          <w:b/>
          <w:sz w:val="18"/>
          <w:szCs w:val="20"/>
        </w:rPr>
        <w:t>Info</w:t>
      </w:r>
      <w:r w:rsidR="00A77895" w:rsidRPr="00475C14">
        <w:rPr>
          <w:rFonts w:asciiTheme="minorHAnsi" w:hAnsiTheme="minorHAnsi"/>
          <w:b/>
          <w:sz w:val="18"/>
          <w:szCs w:val="20"/>
        </w:rPr>
        <w:t xml:space="preserve"> needed to be includ</w:t>
      </w:r>
      <w:r w:rsidR="00475C14" w:rsidRPr="00475C14">
        <w:rPr>
          <w:rFonts w:asciiTheme="minorHAnsi" w:hAnsiTheme="minorHAnsi"/>
          <w:b/>
          <w:sz w:val="18"/>
          <w:szCs w:val="20"/>
        </w:rPr>
        <w:t>ed</w:t>
      </w:r>
      <w:r w:rsidR="006101C2">
        <w:rPr>
          <w:rFonts w:asciiTheme="minorHAnsi" w:hAnsiTheme="minorHAnsi"/>
          <w:b/>
          <w:sz w:val="18"/>
          <w:szCs w:val="20"/>
        </w:rPr>
        <w:t xml:space="preserve"> (</w:t>
      </w:r>
      <w:r w:rsidR="006101C2" w:rsidRPr="006101C2">
        <w:rPr>
          <w:rFonts w:asciiTheme="minorHAnsi" w:hAnsiTheme="minorHAnsi"/>
          <w:b/>
          <w:color w:val="7030A0"/>
          <w:sz w:val="18"/>
          <w:szCs w:val="20"/>
        </w:rPr>
        <w:t>62-104F1</w:t>
      </w:r>
      <w:r w:rsidR="006101C2">
        <w:rPr>
          <w:rFonts w:asciiTheme="minorHAnsi" w:hAnsiTheme="minorHAnsi"/>
          <w:b/>
          <w:sz w:val="18"/>
          <w:szCs w:val="20"/>
        </w:rPr>
        <w:t>)</w:t>
      </w:r>
      <w:r w:rsidR="00475C14" w:rsidRPr="00475C14">
        <w:rPr>
          <w:rFonts w:asciiTheme="minorHAnsi" w:hAnsiTheme="minorHAnsi"/>
          <w:b/>
          <w:sz w:val="18"/>
          <w:szCs w:val="20"/>
        </w:rPr>
        <w:t>:</w:t>
      </w:r>
      <w:r w:rsidR="00475C14">
        <w:rPr>
          <w:rFonts w:asciiTheme="minorHAnsi" w:hAnsiTheme="minorHAnsi"/>
          <w:sz w:val="18"/>
          <w:szCs w:val="20"/>
        </w:rPr>
        <w:t xml:space="preserve"> </w:t>
      </w:r>
      <w:r w:rsidR="00475C14" w:rsidRPr="00475C14">
        <w:rPr>
          <w:rFonts w:asciiTheme="minorHAnsi" w:hAnsiTheme="minorHAnsi"/>
          <w:sz w:val="18"/>
          <w:szCs w:val="20"/>
        </w:rPr>
        <w:t>Name/d</w:t>
      </w:r>
      <w:r w:rsidR="00475C14">
        <w:rPr>
          <w:rFonts w:asciiTheme="minorHAnsi" w:hAnsiTheme="minorHAnsi"/>
          <w:sz w:val="18"/>
          <w:szCs w:val="20"/>
        </w:rPr>
        <w:t xml:space="preserve">escription of usual activities </w:t>
      </w:r>
      <w:r w:rsidR="00475C14">
        <w:rPr>
          <w:rFonts w:asciiTheme="minorHAnsi" w:hAnsiTheme="minorHAnsi"/>
          <w:b/>
          <w:sz w:val="18"/>
          <w:szCs w:val="20"/>
        </w:rPr>
        <w:t xml:space="preserve">// </w:t>
      </w:r>
      <w:r w:rsidR="00475C14" w:rsidRPr="00475C14">
        <w:rPr>
          <w:rFonts w:asciiTheme="minorHAnsi" w:hAnsiTheme="minorHAnsi"/>
          <w:sz w:val="18"/>
          <w:szCs w:val="20"/>
        </w:rPr>
        <w:t>Class/nu</w:t>
      </w:r>
      <w:r w:rsidR="00475C14">
        <w:rPr>
          <w:rFonts w:asciiTheme="minorHAnsi" w:hAnsiTheme="minorHAnsi"/>
          <w:sz w:val="18"/>
          <w:szCs w:val="20"/>
        </w:rPr>
        <w:t xml:space="preserve">mber of section subject to TOB </w:t>
      </w:r>
      <w:r w:rsidR="00475C14">
        <w:rPr>
          <w:rFonts w:asciiTheme="minorHAnsi" w:hAnsiTheme="minorHAnsi"/>
          <w:b/>
          <w:sz w:val="18"/>
          <w:szCs w:val="20"/>
        </w:rPr>
        <w:t xml:space="preserve">// </w:t>
      </w:r>
      <w:r w:rsidR="00475C14" w:rsidRPr="00475C14">
        <w:rPr>
          <w:rFonts w:asciiTheme="minorHAnsi" w:hAnsiTheme="minorHAnsi"/>
          <w:sz w:val="18"/>
          <w:szCs w:val="20"/>
        </w:rPr>
        <w:t>Dates on whic</w:t>
      </w:r>
      <w:r w:rsidR="00475C14">
        <w:rPr>
          <w:rFonts w:asciiTheme="minorHAnsi" w:hAnsiTheme="minorHAnsi"/>
          <w:sz w:val="18"/>
          <w:szCs w:val="20"/>
        </w:rPr>
        <w:t xml:space="preserve">h TOB will commence &amp; expire </w:t>
      </w:r>
      <w:r w:rsidR="00475C14">
        <w:rPr>
          <w:rFonts w:asciiTheme="minorHAnsi" w:hAnsiTheme="minorHAnsi"/>
          <w:b/>
          <w:sz w:val="18"/>
          <w:szCs w:val="20"/>
        </w:rPr>
        <w:t xml:space="preserve">// </w:t>
      </w:r>
      <w:r w:rsidR="00475C14">
        <w:rPr>
          <w:rFonts w:asciiTheme="minorHAnsi" w:hAnsiTheme="minorHAnsi"/>
          <w:sz w:val="18"/>
          <w:szCs w:val="20"/>
        </w:rPr>
        <w:t xml:space="preserve">Offeree’s withdrawal rights </w:t>
      </w:r>
      <w:r w:rsidR="00475C14">
        <w:rPr>
          <w:rFonts w:asciiTheme="minorHAnsi" w:hAnsiTheme="minorHAnsi"/>
          <w:b/>
          <w:sz w:val="18"/>
          <w:szCs w:val="20"/>
        </w:rPr>
        <w:t xml:space="preserve">// </w:t>
      </w:r>
      <w:r w:rsidR="00475C14">
        <w:rPr>
          <w:rFonts w:asciiTheme="minorHAnsi" w:hAnsiTheme="minorHAnsi"/>
          <w:sz w:val="18"/>
          <w:szCs w:val="20"/>
        </w:rPr>
        <w:t xml:space="preserve">Purpose of TOB </w:t>
      </w:r>
      <w:r w:rsidR="00475C14">
        <w:rPr>
          <w:rFonts w:asciiTheme="minorHAnsi" w:hAnsiTheme="minorHAnsi"/>
          <w:b/>
          <w:sz w:val="18"/>
          <w:szCs w:val="20"/>
        </w:rPr>
        <w:t xml:space="preserve">// </w:t>
      </w:r>
      <w:r w:rsidR="00475C14" w:rsidRPr="00475C14">
        <w:rPr>
          <w:rFonts w:asciiTheme="minorHAnsi" w:hAnsiTheme="minorHAnsi"/>
          <w:sz w:val="18"/>
          <w:szCs w:val="20"/>
        </w:rPr>
        <w:t>Material facts that wou</w:t>
      </w:r>
      <w:r w:rsidR="00475C14">
        <w:rPr>
          <w:rFonts w:asciiTheme="minorHAnsi" w:hAnsiTheme="minorHAnsi"/>
          <w:sz w:val="18"/>
          <w:szCs w:val="20"/>
        </w:rPr>
        <w:t xml:space="preserve">ld impact offeree’s decision </w:t>
      </w:r>
      <w:r w:rsidR="00475C14">
        <w:rPr>
          <w:rFonts w:asciiTheme="minorHAnsi" w:hAnsiTheme="minorHAnsi"/>
          <w:b/>
          <w:sz w:val="18"/>
          <w:szCs w:val="20"/>
        </w:rPr>
        <w:t xml:space="preserve">// </w:t>
      </w:r>
      <w:r w:rsidR="00475C14" w:rsidRPr="00475C14">
        <w:rPr>
          <w:rFonts w:asciiTheme="minorHAnsi" w:hAnsiTheme="minorHAnsi"/>
          <w:sz w:val="18"/>
          <w:szCs w:val="20"/>
        </w:rPr>
        <w:t>Signed certificate that circular contains no untrue stateme</w:t>
      </w:r>
      <w:r w:rsidR="00740AB9">
        <w:rPr>
          <w:rFonts w:asciiTheme="minorHAnsi" w:hAnsiTheme="minorHAnsi"/>
          <w:sz w:val="18"/>
          <w:szCs w:val="20"/>
        </w:rPr>
        <w:t xml:space="preserve">nt of material fact/omission. </w:t>
      </w:r>
    </w:p>
    <w:p w:rsidR="00A77895" w:rsidRDefault="00460416" w:rsidP="00FF0B61">
      <w:pPr>
        <w:pStyle w:val="Normal1"/>
        <w:widowControl w:val="0"/>
        <w:numPr>
          <w:ilvl w:val="0"/>
          <w:numId w:val="124"/>
        </w:numPr>
        <w:spacing w:line="240" w:lineRule="auto"/>
        <w:contextualSpacing/>
        <w:rPr>
          <w:rFonts w:asciiTheme="minorHAnsi" w:hAnsiTheme="minorHAnsi"/>
          <w:sz w:val="18"/>
          <w:szCs w:val="20"/>
        </w:rPr>
      </w:pPr>
      <w:r>
        <w:rPr>
          <w:rFonts w:asciiTheme="minorHAnsi" w:hAnsiTheme="minorHAnsi"/>
          <w:b/>
          <w:sz w:val="18"/>
          <w:szCs w:val="20"/>
        </w:rPr>
        <w:t xml:space="preserve">Change in Info: </w:t>
      </w:r>
      <w:r w:rsidR="00A77895" w:rsidRPr="00A77895">
        <w:rPr>
          <w:rFonts w:asciiTheme="minorHAnsi" w:hAnsiTheme="minorHAnsi"/>
          <w:sz w:val="18"/>
          <w:szCs w:val="20"/>
        </w:rPr>
        <w:t>Must keep offerees informed of any info that “would reasonably be expected to affect” their decisions (</w:t>
      </w:r>
      <w:r w:rsidR="00A77895" w:rsidRPr="00A77895">
        <w:rPr>
          <w:rFonts w:asciiTheme="minorHAnsi" w:hAnsiTheme="minorHAnsi"/>
          <w:b/>
          <w:color w:val="7030A0"/>
          <w:sz w:val="18"/>
          <w:szCs w:val="20"/>
        </w:rPr>
        <w:t>62-104, 2.11(1)</w:t>
      </w:r>
      <w:r w:rsidR="00A77895" w:rsidRPr="00A77895">
        <w:rPr>
          <w:rFonts w:asciiTheme="minorHAnsi" w:hAnsiTheme="minorHAnsi"/>
          <w:sz w:val="18"/>
          <w:szCs w:val="20"/>
        </w:rPr>
        <w:t>).</w:t>
      </w:r>
    </w:p>
    <w:p w:rsidR="00696EA3" w:rsidRDefault="00460416" w:rsidP="00FF0B61">
      <w:pPr>
        <w:pStyle w:val="Normal1"/>
        <w:widowControl w:val="0"/>
        <w:numPr>
          <w:ilvl w:val="0"/>
          <w:numId w:val="124"/>
        </w:numPr>
        <w:spacing w:line="240" w:lineRule="auto"/>
        <w:contextualSpacing/>
        <w:rPr>
          <w:rFonts w:asciiTheme="minorHAnsi" w:hAnsiTheme="minorHAnsi"/>
          <w:sz w:val="18"/>
          <w:szCs w:val="20"/>
        </w:rPr>
      </w:pPr>
      <w:r>
        <w:rPr>
          <w:rFonts w:asciiTheme="minorHAnsi" w:hAnsiTheme="minorHAnsi"/>
          <w:b/>
          <w:sz w:val="18"/>
          <w:szCs w:val="20"/>
        </w:rPr>
        <w:t xml:space="preserve">Variations: </w:t>
      </w:r>
      <w:r>
        <w:rPr>
          <w:rFonts w:asciiTheme="minorHAnsi" w:hAnsiTheme="minorHAnsi"/>
          <w:sz w:val="18"/>
          <w:szCs w:val="20"/>
        </w:rPr>
        <w:t>The offeror must promptly inform offerees of any variations in the TOB terms (</w:t>
      </w:r>
      <w:r w:rsidRPr="00460416">
        <w:rPr>
          <w:rFonts w:asciiTheme="minorHAnsi" w:hAnsiTheme="minorHAnsi"/>
          <w:b/>
          <w:color w:val="7030A0"/>
          <w:sz w:val="18"/>
          <w:szCs w:val="20"/>
        </w:rPr>
        <w:t>s.2.12</w:t>
      </w:r>
      <w:r w:rsidR="00696EA3">
        <w:rPr>
          <w:rFonts w:asciiTheme="minorHAnsi" w:hAnsiTheme="minorHAnsi"/>
          <w:sz w:val="18"/>
          <w:szCs w:val="20"/>
        </w:rPr>
        <w:t>)</w:t>
      </w:r>
    </w:p>
    <w:p w:rsidR="00460416" w:rsidRPr="00A77895" w:rsidRDefault="00460416" w:rsidP="00FF0B61">
      <w:pPr>
        <w:pStyle w:val="Normal1"/>
        <w:widowControl w:val="0"/>
        <w:numPr>
          <w:ilvl w:val="0"/>
          <w:numId w:val="124"/>
        </w:numPr>
        <w:spacing w:line="240" w:lineRule="auto"/>
        <w:contextualSpacing/>
        <w:rPr>
          <w:rFonts w:asciiTheme="minorHAnsi" w:hAnsiTheme="minorHAnsi"/>
          <w:sz w:val="18"/>
          <w:szCs w:val="20"/>
        </w:rPr>
      </w:pPr>
      <w:r w:rsidRPr="00696EA3">
        <w:rPr>
          <w:rFonts w:asciiTheme="minorHAnsi" w:hAnsiTheme="minorHAnsi"/>
          <w:b/>
          <w:sz w:val="18"/>
          <w:szCs w:val="20"/>
        </w:rPr>
        <w:t>A TOB cannot expire before 10 days after the date of the variation notice</w:t>
      </w:r>
      <w:r>
        <w:rPr>
          <w:rFonts w:asciiTheme="minorHAnsi" w:hAnsiTheme="minorHAnsi"/>
          <w:sz w:val="18"/>
          <w:szCs w:val="20"/>
        </w:rPr>
        <w:t xml:space="preserve"> (</w:t>
      </w:r>
      <w:r w:rsidRPr="00460416">
        <w:rPr>
          <w:rFonts w:asciiTheme="minorHAnsi" w:hAnsiTheme="minorHAnsi"/>
          <w:b/>
          <w:color w:val="7030A0"/>
          <w:sz w:val="18"/>
          <w:szCs w:val="20"/>
        </w:rPr>
        <w:t>s.2.12(3)(4)</w:t>
      </w:r>
      <w:r>
        <w:rPr>
          <w:rFonts w:asciiTheme="minorHAnsi" w:hAnsiTheme="minorHAnsi"/>
          <w:sz w:val="18"/>
          <w:szCs w:val="20"/>
        </w:rPr>
        <w:t>)</w:t>
      </w:r>
    </w:p>
    <w:p w:rsidR="00A77895" w:rsidRPr="00A77895" w:rsidRDefault="00E32CE4" w:rsidP="00FF0B61">
      <w:pPr>
        <w:pStyle w:val="Normal1"/>
        <w:widowControl w:val="0"/>
        <w:numPr>
          <w:ilvl w:val="0"/>
          <w:numId w:val="124"/>
        </w:numPr>
        <w:spacing w:line="240" w:lineRule="auto"/>
        <w:contextualSpacing/>
        <w:rPr>
          <w:rFonts w:asciiTheme="minorHAnsi" w:hAnsiTheme="minorHAnsi"/>
          <w:sz w:val="18"/>
          <w:szCs w:val="20"/>
        </w:rPr>
      </w:pPr>
      <w:r>
        <w:rPr>
          <w:rFonts w:asciiTheme="minorHAnsi" w:hAnsiTheme="minorHAnsi"/>
          <w:b/>
          <w:sz w:val="18"/>
          <w:szCs w:val="20"/>
        </w:rPr>
        <w:t xml:space="preserve">File: </w:t>
      </w:r>
      <w:r w:rsidR="00A77895" w:rsidRPr="00A77895">
        <w:rPr>
          <w:rFonts w:asciiTheme="minorHAnsi" w:hAnsiTheme="minorHAnsi"/>
          <w:sz w:val="18"/>
          <w:szCs w:val="20"/>
        </w:rPr>
        <w:t>Must be filed with the Commission, but does not need to be vetted (</w:t>
      </w:r>
      <w:r w:rsidR="00A77895" w:rsidRPr="00A77895">
        <w:rPr>
          <w:rFonts w:asciiTheme="minorHAnsi" w:hAnsiTheme="minorHAnsi"/>
          <w:b/>
          <w:color w:val="7030A0"/>
          <w:sz w:val="18"/>
          <w:szCs w:val="20"/>
        </w:rPr>
        <w:t>62-104, 2.10(4)</w:t>
      </w:r>
      <w:r w:rsidR="00A77895" w:rsidRPr="00A77895">
        <w:rPr>
          <w:rFonts w:asciiTheme="minorHAnsi" w:hAnsiTheme="minorHAnsi"/>
          <w:sz w:val="18"/>
          <w:szCs w:val="20"/>
        </w:rPr>
        <w:t>).</w:t>
      </w:r>
    </w:p>
    <w:p w:rsidR="00040637" w:rsidRDefault="00040637" w:rsidP="00FF0B61">
      <w:pPr>
        <w:pStyle w:val="Normal1"/>
        <w:widowControl w:val="0"/>
        <w:spacing w:line="240" w:lineRule="auto"/>
        <w:contextualSpacing/>
        <w:rPr>
          <w:rFonts w:asciiTheme="minorHAnsi" w:hAnsiTheme="minorHAnsi"/>
          <w:b/>
          <w:sz w:val="18"/>
          <w:szCs w:val="20"/>
        </w:rPr>
      </w:pPr>
    </w:p>
    <w:p w:rsidR="003D694A" w:rsidRDefault="003C406A" w:rsidP="00FF0B61">
      <w:pPr>
        <w:pStyle w:val="Normal1"/>
        <w:widowControl w:val="0"/>
        <w:spacing w:line="240" w:lineRule="auto"/>
        <w:contextualSpacing/>
        <w:rPr>
          <w:rFonts w:asciiTheme="minorHAnsi" w:hAnsiTheme="minorHAnsi"/>
          <w:b/>
          <w:sz w:val="18"/>
          <w:szCs w:val="20"/>
        </w:rPr>
      </w:pPr>
      <w:r>
        <w:rPr>
          <w:rFonts w:asciiTheme="minorHAnsi" w:hAnsiTheme="minorHAnsi"/>
          <w:b/>
          <w:sz w:val="18"/>
          <w:szCs w:val="20"/>
          <w:u w:val="single"/>
        </w:rPr>
        <w:t>[E</w:t>
      </w:r>
      <w:r w:rsidRPr="003C406A">
        <w:rPr>
          <w:rFonts w:asciiTheme="minorHAnsi" w:hAnsiTheme="minorHAnsi"/>
          <w:b/>
          <w:sz w:val="18"/>
          <w:szCs w:val="20"/>
          <w:u w:val="single"/>
        </w:rPr>
        <w:t xml:space="preserve">] </w:t>
      </w:r>
      <w:r w:rsidR="0050299F" w:rsidRPr="003C406A">
        <w:rPr>
          <w:rFonts w:asciiTheme="minorHAnsi" w:hAnsiTheme="minorHAnsi"/>
          <w:b/>
          <w:sz w:val="18"/>
          <w:szCs w:val="20"/>
          <w:u w:val="single"/>
        </w:rPr>
        <w:t>DIR’s Circular (</w:t>
      </w:r>
      <w:r w:rsidRPr="003C406A">
        <w:rPr>
          <w:rFonts w:asciiTheme="minorHAnsi" w:hAnsiTheme="minorHAnsi"/>
          <w:b/>
          <w:sz w:val="18"/>
          <w:szCs w:val="20"/>
          <w:u w:val="single"/>
        </w:rPr>
        <w:t>issued by DIR’s of Target)</w:t>
      </w:r>
      <w:r w:rsidR="00173F8E" w:rsidRPr="003C406A">
        <w:rPr>
          <w:rFonts w:asciiTheme="minorHAnsi" w:hAnsiTheme="minorHAnsi"/>
          <w:b/>
          <w:sz w:val="18"/>
          <w:szCs w:val="20"/>
          <w:u w:val="single"/>
        </w:rPr>
        <w:t>:</w:t>
      </w:r>
    </w:p>
    <w:p w:rsidR="00E958E4" w:rsidRPr="00707294" w:rsidRDefault="00E958E4" w:rsidP="00FF0B61">
      <w:pPr>
        <w:pStyle w:val="Normal1"/>
        <w:widowControl w:val="0"/>
        <w:numPr>
          <w:ilvl w:val="0"/>
          <w:numId w:val="110"/>
        </w:numPr>
        <w:spacing w:line="240" w:lineRule="auto"/>
        <w:contextualSpacing/>
        <w:rPr>
          <w:rFonts w:asciiTheme="minorHAnsi" w:hAnsiTheme="minorHAnsi"/>
          <w:b/>
          <w:sz w:val="18"/>
          <w:szCs w:val="20"/>
        </w:rPr>
      </w:pPr>
      <w:r w:rsidRPr="00707294">
        <w:rPr>
          <w:rFonts w:asciiTheme="minorHAnsi" w:hAnsiTheme="minorHAnsi"/>
          <w:sz w:val="18"/>
          <w:szCs w:val="20"/>
        </w:rPr>
        <w:t xml:space="preserve">Must prepare and send a DIRs’ circular no </w:t>
      </w:r>
      <w:r w:rsidRPr="00D94F03">
        <w:rPr>
          <w:rFonts w:asciiTheme="minorHAnsi" w:hAnsiTheme="minorHAnsi"/>
          <w:b/>
          <w:sz w:val="18"/>
          <w:szCs w:val="20"/>
        </w:rPr>
        <w:t xml:space="preserve">more than 15 days after </w:t>
      </w:r>
      <w:r w:rsidRPr="00D94F03">
        <w:rPr>
          <w:rFonts w:asciiTheme="minorHAnsi" w:hAnsiTheme="minorHAnsi"/>
          <w:b/>
          <w:sz w:val="18"/>
          <w:szCs w:val="20"/>
          <w:u w:val="single"/>
        </w:rPr>
        <w:t>the date of the bid</w:t>
      </w:r>
      <w:r w:rsidR="00D94F03">
        <w:rPr>
          <w:rFonts w:asciiTheme="minorHAnsi" w:hAnsiTheme="minorHAnsi"/>
          <w:sz w:val="18"/>
          <w:szCs w:val="20"/>
        </w:rPr>
        <w:t xml:space="preserve"> (and TOB Circular)</w:t>
      </w:r>
      <w:r w:rsidRPr="00707294">
        <w:rPr>
          <w:rFonts w:asciiTheme="minorHAnsi" w:hAnsiTheme="minorHAnsi"/>
          <w:sz w:val="18"/>
          <w:szCs w:val="20"/>
        </w:rPr>
        <w:t xml:space="preserve"> (</w:t>
      </w:r>
      <w:r w:rsidRPr="00707294">
        <w:rPr>
          <w:rFonts w:asciiTheme="minorHAnsi" w:hAnsiTheme="minorHAnsi"/>
          <w:b/>
          <w:color w:val="7030A0"/>
          <w:sz w:val="18"/>
          <w:szCs w:val="20"/>
        </w:rPr>
        <w:t>62-104 s.2.17</w:t>
      </w:r>
      <w:r w:rsidRPr="00707294">
        <w:rPr>
          <w:rFonts w:asciiTheme="minorHAnsi" w:hAnsiTheme="minorHAnsi"/>
          <w:sz w:val="18"/>
          <w:szCs w:val="20"/>
        </w:rPr>
        <w:t>)</w:t>
      </w:r>
    </w:p>
    <w:p w:rsidR="00746B56" w:rsidRPr="00746B56" w:rsidRDefault="00746B56" w:rsidP="00FF0B61">
      <w:pPr>
        <w:pStyle w:val="Normal1"/>
        <w:widowControl w:val="0"/>
        <w:numPr>
          <w:ilvl w:val="0"/>
          <w:numId w:val="110"/>
        </w:numPr>
        <w:spacing w:line="240" w:lineRule="auto"/>
        <w:contextualSpacing/>
        <w:rPr>
          <w:rFonts w:asciiTheme="minorHAnsi" w:hAnsiTheme="minorHAnsi"/>
          <w:b/>
          <w:sz w:val="18"/>
          <w:szCs w:val="20"/>
        </w:rPr>
      </w:pPr>
      <w:r>
        <w:rPr>
          <w:rFonts w:asciiTheme="minorHAnsi" w:hAnsiTheme="minorHAnsi"/>
          <w:b/>
          <w:sz w:val="18"/>
          <w:szCs w:val="20"/>
        </w:rPr>
        <w:t xml:space="preserve">MUST MAKE: </w:t>
      </w:r>
      <w:r w:rsidRPr="00746B56">
        <w:rPr>
          <w:rFonts w:asciiTheme="minorHAnsi" w:hAnsiTheme="minorHAnsi"/>
          <w:b/>
          <w:sz w:val="18"/>
          <w:szCs w:val="20"/>
        </w:rPr>
        <w:t>1)</w:t>
      </w:r>
      <w:r>
        <w:rPr>
          <w:rFonts w:asciiTheme="minorHAnsi" w:hAnsiTheme="minorHAnsi"/>
          <w:sz w:val="18"/>
          <w:szCs w:val="20"/>
        </w:rPr>
        <w:t xml:space="preserve"> </w:t>
      </w:r>
      <w:r>
        <w:rPr>
          <w:rFonts w:asciiTheme="minorHAnsi" w:hAnsiTheme="minorHAnsi"/>
          <w:b/>
          <w:sz w:val="18"/>
          <w:szCs w:val="20"/>
          <w:u w:val="single"/>
        </w:rPr>
        <w:t>R</w:t>
      </w:r>
      <w:r w:rsidRPr="00DA6580">
        <w:rPr>
          <w:rFonts w:asciiTheme="minorHAnsi" w:hAnsiTheme="minorHAnsi"/>
          <w:b/>
          <w:sz w:val="18"/>
          <w:szCs w:val="20"/>
          <w:u w:val="single"/>
        </w:rPr>
        <w:t>ecommendation to securityholders</w:t>
      </w:r>
      <w:r w:rsidRPr="00DA6580">
        <w:rPr>
          <w:rFonts w:asciiTheme="minorHAnsi" w:hAnsiTheme="minorHAnsi"/>
          <w:b/>
          <w:sz w:val="18"/>
          <w:szCs w:val="20"/>
        </w:rPr>
        <w:t xml:space="preserve"> to accept or reject the bid</w:t>
      </w:r>
      <w:r w:rsidRPr="00A16F95">
        <w:rPr>
          <w:rFonts w:asciiTheme="minorHAnsi" w:hAnsiTheme="minorHAnsi"/>
          <w:sz w:val="18"/>
          <w:szCs w:val="20"/>
        </w:rPr>
        <w:t xml:space="preserve">, </w:t>
      </w:r>
      <w:r w:rsidRPr="00A16F95">
        <w:rPr>
          <w:rFonts w:asciiTheme="minorHAnsi" w:hAnsiTheme="minorHAnsi"/>
          <w:sz w:val="18"/>
          <w:szCs w:val="20"/>
          <w:u w:val="single"/>
        </w:rPr>
        <w:t>together with reasons</w:t>
      </w:r>
      <w:r w:rsidRPr="00A16F95">
        <w:rPr>
          <w:rFonts w:asciiTheme="minorHAnsi" w:hAnsiTheme="minorHAnsi"/>
          <w:sz w:val="18"/>
          <w:szCs w:val="20"/>
        </w:rPr>
        <w:t xml:space="preserve"> for that recommendation</w:t>
      </w:r>
      <w:r>
        <w:rPr>
          <w:rFonts w:asciiTheme="minorHAnsi" w:hAnsiTheme="minorHAnsi"/>
          <w:sz w:val="18"/>
          <w:szCs w:val="20"/>
        </w:rPr>
        <w:t xml:space="preserve">; </w:t>
      </w:r>
      <w:r w:rsidRPr="00746B56">
        <w:rPr>
          <w:rFonts w:asciiTheme="minorHAnsi" w:hAnsiTheme="minorHAnsi"/>
          <w:b/>
          <w:sz w:val="18"/>
          <w:szCs w:val="20"/>
        </w:rPr>
        <w:t>2)</w:t>
      </w:r>
      <w:r w:rsidR="009B137D">
        <w:rPr>
          <w:rFonts w:asciiTheme="minorHAnsi" w:hAnsiTheme="minorHAnsi"/>
          <w:sz w:val="18"/>
          <w:szCs w:val="20"/>
        </w:rPr>
        <w:t xml:space="preserve"> Advise</w:t>
      </w:r>
      <w:r>
        <w:rPr>
          <w:rFonts w:asciiTheme="minorHAnsi" w:hAnsiTheme="minorHAnsi"/>
          <w:sz w:val="18"/>
          <w:szCs w:val="20"/>
        </w:rPr>
        <w:t xml:space="preserve"> they cannot make recommendation with reasons; </w:t>
      </w:r>
      <w:r w:rsidRPr="00746B56">
        <w:rPr>
          <w:rFonts w:asciiTheme="minorHAnsi" w:hAnsiTheme="minorHAnsi"/>
          <w:b/>
          <w:sz w:val="18"/>
          <w:szCs w:val="20"/>
        </w:rPr>
        <w:t>3)</w:t>
      </w:r>
      <w:r>
        <w:rPr>
          <w:rFonts w:asciiTheme="minorHAnsi" w:hAnsiTheme="minorHAnsi"/>
          <w:sz w:val="18"/>
          <w:szCs w:val="20"/>
        </w:rPr>
        <w:t xml:space="preserve"> Advise they are still considering but will advise later. </w:t>
      </w:r>
    </w:p>
    <w:p w:rsidR="00E958E4" w:rsidRDefault="00E958E4" w:rsidP="00FF0B61">
      <w:pPr>
        <w:pStyle w:val="Normal1"/>
        <w:widowControl w:val="0"/>
        <w:numPr>
          <w:ilvl w:val="1"/>
          <w:numId w:val="110"/>
        </w:numPr>
        <w:spacing w:line="240" w:lineRule="auto"/>
        <w:contextualSpacing/>
        <w:rPr>
          <w:rFonts w:asciiTheme="minorHAnsi" w:hAnsiTheme="minorHAnsi"/>
          <w:b/>
          <w:sz w:val="18"/>
          <w:szCs w:val="20"/>
        </w:rPr>
      </w:pPr>
      <w:r>
        <w:rPr>
          <w:rFonts w:asciiTheme="minorHAnsi" w:hAnsiTheme="minorHAnsi"/>
          <w:b/>
          <w:sz w:val="18"/>
          <w:szCs w:val="20"/>
        </w:rPr>
        <w:t xml:space="preserve">E.g. of </w:t>
      </w:r>
      <w:r w:rsidRPr="00707294">
        <w:rPr>
          <w:rFonts w:asciiTheme="minorHAnsi" w:hAnsiTheme="minorHAnsi"/>
          <w:b/>
          <w:sz w:val="18"/>
          <w:szCs w:val="20"/>
        </w:rPr>
        <w:t>Required Information (</w:t>
      </w:r>
      <w:r>
        <w:rPr>
          <w:rFonts w:asciiTheme="minorHAnsi" w:hAnsiTheme="minorHAnsi"/>
          <w:b/>
          <w:color w:val="7030A0"/>
          <w:sz w:val="18"/>
          <w:szCs w:val="20"/>
        </w:rPr>
        <w:t>62-104F3</w:t>
      </w:r>
      <w:r w:rsidRPr="00707294">
        <w:rPr>
          <w:rFonts w:asciiTheme="minorHAnsi" w:hAnsiTheme="minorHAnsi"/>
          <w:b/>
          <w:sz w:val="18"/>
          <w:szCs w:val="20"/>
        </w:rPr>
        <w:t xml:space="preserve">): </w:t>
      </w:r>
      <w:r>
        <w:rPr>
          <w:rFonts w:asciiTheme="minorHAnsi" w:hAnsiTheme="minorHAnsi"/>
          <w:sz w:val="18"/>
          <w:szCs w:val="20"/>
        </w:rPr>
        <w:t xml:space="preserve">Names of offeror and target DIR’s </w:t>
      </w:r>
      <w:r>
        <w:rPr>
          <w:rFonts w:asciiTheme="minorHAnsi" w:hAnsiTheme="minorHAnsi"/>
          <w:b/>
          <w:sz w:val="18"/>
          <w:szCs w:val="20"/>
        </w:rPr>
        <w:t xml:space="preserve">// </w:t>
      </w:r>
      <w:r>
        <w:rPr>
          <w:rFonts w:asciiTheme="minorHAnsi" w:hAnsiTheme="minorHAnsi"/>
          <w:sz w:val="18"/>
          <w:szCs w:val="20"/>
        </w:rPr>
        <w:t xml:space="preserve">The interests of the target’s DIRs and OFRs in any material transactions w/ offeror </w:t>
      </w:r>
      <w:r>
        <w:rPr>
          <w:rFonts w:asciiTheme="minorHAnsi" w:hAnsiTheme="minorHAnsi"/>
          <w:b/>
          <w:sz w:val="18"/>
          <w:szCs w:val="20"/>
        </w:rPr>
        <w:t xml:space="preserve">// </w:t>
      </w:r>
      <w:r w:rsidRPr="00A16F95">
        <w:rPr>
          <w:rFonts w:asciiTheme="minorHAnsi" w:hAnsiTheme="minorHAnsi"/>
          <w:sz w:val="18"/>
          <w:szCs w:val="20"/>
        </w:rPr>
        <w:t>A signed certificate stating the circular contains no untrue statement of material fact or omission of material fact.</w:t>
      </w:r>
      <w:r>
        <w:rPr>
          <w:rFonts w:asciiTheme="minorHAnsi" w:hAnsiTheme="minorHAnsi"/>
          <w:b/>
          <w:sz w:val="18"/>
          <w:szCs w:val="20"/>
        </w:rPr>
        <w:t xml:space="preserve"> </w:t>
      </w:r>
    </w:p>
    <w:p w:rsidR="00173F8E" w:rsidRPr="000C2BE4" w:rsidRDefault="00173F8E" w:rsidP="00FF0B61">
      <w:pPr>
        <w:pStyle w:val="Normal1"/>
        <w:widowControl w:val="0"/>
        <w:numPr>
          <w:ilvl w:val="0"/>
          <w:numId w:val="110"/>
        </w:numPr>
        <w:spacing w:line="240" w:lineRule="auto"/>
        <w:contextualSpacing/>
        <w:rPr>
          <w:rFonts w:asciiTheme="minorHAnsi" w:hAnsiTheme="minorHAnsi"/>
          <w:b/>
          <w:sz w:val="18"/>
          <w:szCs w:val="20"/>
        </w:rPr>
      </w:pPr>
      <w:r w:rsidRPr="00173F8E">
        <w:rPr>
          <w:rFonts w:asciiTheme="minorHAnsi" w:hAnsiTheme="minorHAnsi"/>
          <w:b/>
          <w:color w:val="C45911" w:themeColor="accent2" w:themeShade="BF"/>
          <w:sz w:val="18"/>
          <w:szCs w:val="20"/>
        </w:rPr>
        <w:t xml:space="preserve">BCSA 99 </w:t>
      </w:r>
      <w:r>
        <w:rPr>
          <w:rFonts w:asciiTheme="minorHAnsi" w:hAnsiTheme="minorHAnsi"/>
          <w:b/>
          <w:sz w:val="18"/>
          <w:szCs w:val="20"/>
        </w:rPr>
        <w:t xml:space="preserve">– </w:t>
      </w:r>
      <w:r w:rsidR="00CF7EA4">
        <w:rPr>
          <w:rFonts w:asciiTheme="minorHAnsi" w:hAnsiTheme="minorHAnsi"/>
          <w:b/>
          <w:sz w:val="18"/>
          <w:szCs w:val="20"/>
        </w:rPr>
        <w:t xml:space="preserve">DIRs MUST </w:t>
      </w:r>
      <w:r w:rsidRPr="00CF7EA4">
        <w:rPr>
          <w:rFonts w:asciiTheme="minorHAnsi" w:hAnsiTheme="minorHAnsi"/>
          <w:b/>
          <w:color w:val="C45911" w:themeColor="accent2" w:themeShade="BF"/>
          <w:sz w:val="18"/>
          <w:szCs w:val="20"/>
        </w:rPr>
        <w:t xml:space="preserve">(a) </w:t>
      </w:r>
      <w:r>
        <w:rPr>
          <w:rFonts w:asciiTheme="minorHAnsi" w:hAnsiTheme="minorHAnsi"/>
          <w:sz w:val="18"/>
          <w:szCs w:val="20"/>
        </w:rPr>
        <w:t xml:space="preserve">determine to </w:t>
      </w:r>
      <w:r w:rsidRPr="00CF7EA4">
        <w:rPr>
          <w:rFonts w:asciiTheme="minorHAnsi" w:hAnsiTheme="minorHAnsi"/>
          <w:sz w:val="18"/>
          <w:szCs w:val="20"/>
          <w:u w:val="single"/>
        </w:rPr>
        <w:t>recommend acceptance or rejection</w:t>
      </w:r>
      <w:r w:rsidR="00CF7EA4">
        <w:rPr>
          <w:rFonts w:asciiTheme="minorHAnsi" w:hAnsiTheme="minorHAnsi"/>
          <w:sz w:val="18"/>
          <w:szCs w:val="20"/>
        </w:rPr>
        <w:t xml:space="preserve"> of the TOB </w:t>
      </w:r>
      <w:r>
        <w:rPr>
          <w:rFonts w:asciiTheme="minorHAnsi" w:hAnsiTheme="minorHAnsi"/>
          <w:sz w:val="18"/>
          <w:szCs w:val="20"/>
        </w:rPr>
        <w:t xml:space="preserve">or determine not to make a recommendation, and </w:t>
      </w:r>
      <w:r w:rsidRPr="00CF7EA4">
        <w:rPr>
          <w:rFonts w:asciiTheme="minorHAnsi" w:hAnsiTheme="minorHAnsi"/>
          <w:b/>
          <w:color w:val="C45911" w:themeColor="accent2" w:themeShade="BF"/>
          <w:sz w:val="18"/>
          <w:szCs w:val="20"/>
        </w:rPr>
        <w:t>(b)</w:t>
      </w:r>
      <w:r>
        <w:rPr>
          <w:rFonts w:asciiTheme="minorHAnsi" w:hAnsiTheme="minorHAnsi"/>
          <w:sz w:val="18"/>
          <w:szCs w:val="20"/>
        </w:rPr>
        <w:t xml:space="preserve"> make the </w:t>
      </w:r>
      <w:r w:rsidRPr="002F3B86">
        <w:rPr>
          <w:rFonts w:asciiTheme="minorHAnsi" w:hAnsiTheme="minorHAnsi"/>
          <w:b/>
          <w:i/>
          <w:sz w:val="18"/>
          <w:szCs w:val="20"/>
        </w:rPr>
        <w:t>recommendation, or a statement that they are not making a recommendation</w:t>
      </w:r>
      <w:r>
        <w:rPr>
          <w:rFonts w:asciiTheme="minorHAnsi" w:hAnsiTheme="minorHAnsi"/>
          <w:sz w:val="18"/>
          <w:szCs w:val="20"/>
        </w:rPr>
        <w:t xml:space="preserve">. </w:t>
      </w:r>
    </w:p>
    <w:p w:rsidR="0030557C" w:rsidRPr="0030557C" w:rsidRDefault="0030557C" w:rsidP="00FF0B61">
      <w:pPr>
        <w:pStyle w:val="Normal1"/>
        <w:widowControl w:val="0"/>
        <w:numPr>
          <w:ilvl w:val="1"/>
          <w:numId w:val="110"/>
        </w:numPr>
        <w:spacing w:line="240" w:lineRule="auto"/>
        <w:contextualSpacing/>
        <w:rPr>
          <w:rFonts w:asciiTheme="minorHAnsi" w:hAnsiTheme="minorHAnsi"/>
          <w:b/>
          <w:sz w:val="18"/>
          <w:szCs w:val="20"/>
        </w:rPr>
      </w:pPr>
      <w:r>
        <w:rPr>
          <w:rFonts w:asciiTheme="minorHAnsi" w:hAnsiTheme="minorHAnsi"/>
          <w:b/>
          <w:sz w:val="18"/>
          <w:szCs w:val="20"/>
        </w:rPr>
        <w:t xml:space="preserve">Accept = </w:t>
      </w:r>
      <w:r>
        <w:rPr>
          <w:rFonts w:asciiTheme="minorHAnsi" w:hAnsiTheme="minorHAnsi"/>
          <w:sz w:val="18"/>
          <w:szCs w:val="20"/>
        </w:rPr>
        <w:t xml:space="preserve">Friendly; </w:t>
      </w:r>
      <w:r>
        <w:rPr>
          <w:rFonts w:asciiTheme="minorHAnsi" w:hAnsiTheme="minorHAnsi"/>
          <w:b/>
          <w:sz w:val="18"/>
          <w:szCs w:val="20"/>
        </w:rPr>
        <w:t xml:space="preserve">Reject = </w:t>
      </w:r>
      <w:r>
        <w:rPr>
          <w:rFonts w:asciiTheme="minorHAnsi" w:hAnsiTheme="minorHAnsi"/>
          <w:sz w:val="18"/>
          <w:szCs w:val="20"/>
        </w:rPr>
        <w:t xml:space="preserve">Hostile. </w:t>
      </w:r>
    </w:p>
    <w:p w:rsidR="000C2BE4" w:rsidRPr="000C2BE4" w:rsidRDefault="000C2BE4" w:rsidP="00FF0B61">
      <w:pPr>
        <w:pStyle w:val="Normal1"/>
        <w:widowControl w:val="0"/>
        <w:numPr>
          <w:ilvl w:val="1"/>
          <w:numId w:val="110"/>
        </w:numPr>
        <w:spacing w:line="240" w:lineRule="auto"/>
        <w:contextualSpacing/>
        <w:rPr>
          <w:rFonts w:asciiTheme="minorHAnsi" w:hAnsiTheme="minorHAnsi"/>
          <w:b/>
          <w:sz w:val="18"/>
          <w:szCs w:val="20"/>
        </w:rPr>
      </w:pPr>
      <w:r w:rsidRPr="005B6FD5">
        <w:rPr>
          <w:rFonts w:asciiTheme="minorHAnsi" w:hAnsiTheme="minorHAnsi"/>
          <w:b/>
          <w:color w:val="auto"/>
          <w:sz w:val="18"/>
          <w:szCs w:val="20"/>
          <w:highlight w:val="cyan"/>
        </w:rPr>
        <w:t>Best practice</w:t>
      </w:r>
      <w:r w:rsidR="006046F9" w:rsidRPr="005B6FD5">
        <w:rPr>
          <w:rFonts w:asciiTheme="minorHAnsi" w:hAnsiTheme="minorHAnsi"/>
          <w:color w:val="auto"/>
          <w:sz w:val="18"/>
          <w:szCs w:val="20"/>
          <w:highlight w:val="cyan"/>
        </w:rPr>
        <w:t xml:space="preserve">: </w:t>
      </w:r>
      <w:r w:rsidRPr="005B6FD5">
        <w:rPr>
          <w:rFonts w:asciiTheme="minorHAnsi" w:hAnsiTheme="minorHAnsi"/>
          <w:color w:val="auto"/>
          <w:sz w:val="18"/>
          <w:szCs w:val="20"/>
          <w:highlight w:val="cyan"/>
        </w:rPr>
        <w:t>is to set up a special co</w:t>
      </w:r>
      <w:r w:rsidR="002F3B86" w:rsidRPr="005B6FD5">
        <w:rPr>
          <w:rFonts w:asciiTheme="minorHAnsi" w:hAnsiTheme="minorHAnsi"/>
          <w:color w:val="auto"/>
          <w:sz w:val="18"/>
          <w:szCs w:val="20"/>
          <w:highlight w:val="cyan"/>
        </w:rPr>
        <w:t>mmittee of</w:t>
      </w:r>
      <w:r w:rsidR="002F3B86">
        <w:rPr>
          <w:rFonts w:asciiTheme="minorHAnsi" w:hAnsiTheme="minorHAnsi"/>
          <w:color w:val="auto"/>
          <w:sz w:val="18"/>
          <w:szCs w:val="20"/>
        </w:rPr>
        <w:t xml:space="preserve"> independent DIRs</w:t>
      </w:r>
      <w:r>
        <w:rPr>
          <w:rFonts w:asciiTheme="minorHAnsi" w:hAnsiTheme="minorHAnsi"/>
          <w:color w:val="auto"/>
          <w:sz w:val="18"/>
          <w:szCs w:val="20"/>
        </w:rPr>
        <w:t>, and they have a job to figure out in the 105 day period whether or not it is in the best intere</w:t>
      </w:r>
      <w:r w:rsidR="002F3B86">
        <w:rPr>
          <w:rFonts w:asciiTheme="minorHAnsi" w:hAnsiTheme="minorHAnsi"/>
          <w:color w:val="auto"/>
          <w:sz w:val="18"/>
          <w:szCs w:val="20"/>
        </w:rPr>
        <w:t>st of the corp</w:t>
      </w:r>
      <w:r>
        <w:rPr>
          <w:rFonts w:asciiTheme="minorHAnsi" w:hAnsiTheme="minorHAnsi"/>
          <w:color w:val="auto"/>
          <w:sz w:val="18"/>
          <w:szCs w:val="20"/>
        </w:rPr>
        <w:t xml:space="preserve"> to b</w:t>
      </w:r>
      <w:r w:rsidR="002F3B86">
        <w:rPr>
          <w:rFonts w:asciiTheme="minorHAnsi" w:hAnsiTheme="minorHAnsi"/>
          <w:color w:val="auto"/>
          <w:sz w:val="18"/>
          <w:szCs w:val="20"/>
        </w:rPr>
        <w:t xml:space="preserve">e taken over and its SHs. They </w:t>
      </w:r>
      <w:r>
        <w:rPr>
          <w:rFonts w:asciiTheme="minorHAnsi" w:hAnsiTheme="minorHAnsi"/>
          <w:color w:val="auto"/>
          <w:sz w:val="18"/>
          <w:szCs w:val="20"/>
        </w:rPr>
        <w:t>hire their own counsel, accountants, and have access to all the needed info to determine if the bid is good or not.</w:t>
      </w:r>
    </w:p>
    <w:p w:rsidR="000C2BE4" w:rsidRPr="00C831E0" w:rsidRDefault="000C2BE4" w:rsidP="00FF0B61">
      <w:pPr>
        <w:pStyle w:val="Normal1"/>
        <w:widowControl w:val="0"/>
        <w:numPr>
          <w:ilvl w:val="1"/>
          <w:numId w:val="110"/>
        </w:numPr>
        <w:spacing w:line="240" w:lineRule="auto"/>
        <w:contextualSpacing/>
        <w:rPr>
          <w:rFonts w:asciiTheme="minorHAnsi" w:hAnsiTheme="minorHAnsi"/>
          <w:b/>
          <w:sz w:val="18"/>
          <w:szCs w:val="20"/>
        </w:rPr>
      </w:pPr>
      <w:r>
        <w:rPr>
          <w:rFonts w:asciiTheme="minorHAnsi" w:hAnsiTheme="minorHAnsi"/>
          <w:color w:val="auto"/>
          <w:sz w:val="18"/>
          <w:szCs w:val="20"/>
        </w:rPr>
        <w:t xml:space="preserve">Usually, the first DIR’s circular just states a special committee is made, and then after will recommend if bid should be expected or not. </w:t>
      </w:r>
    </w:p>
    <w:p w:rsidR="00EE201F" w:rsidRPr="008B5650" w:rsidRDefault="00C831E0" w:rsidP="00FF0B61">
      <w:pPr>
        <w:pStyle w:val="Normal1"/>
        <w:widowControl w:val="0"/>
        <w:numPr>
          <w:ilvl w:val="1"/>
          <w:numId w:val="110"/>
        </w:numPr>
        <w:spacing w:line="240" w:lineRule="auto"/>
        <w:contextualSpacing/>
        <w:rPr>
          <w:rFonts w:asciiTheme="minorHAnsi" w:hAnsiTheme="minorHAnsi"/>
          <w:b/>
          <w:sz w:val="18"/>
          <w:szCs w:val="20"/>
        </w:rPr>
      </w:pPr>
      <w:r w:rsidRPr="00EB50FA">
        <w:rPr>
          <w:rFonts w:asciiTheme="minorHAnsi" w:hAnsiTheme="minorHAnsi"/>
          <w:b/>
          <w:color w:val="auto"/>
          <w:sz w:val="18"/>
          <w:szCs w:val="20"/>
        </w:rPr>
        <w:lastRenderedPageBreak/>
        <w:t>If there are particular DIR’s that disagree, they can issue their own information ci</w:t>
      </w:r>
      <w:r w:rsidR="0065313C" w:rsidRPr="00EB50FA">
        <w:rPr>
          <w:rFonts w:asciiTheme="minorHAnsi" w:hAnsiTheme="minorHAnsi"/>
          <w:b/>
          <w:color w:val="auto"/>
          <w:sz w:val="18"/>
          <w:szCs w:val="20"/>
        </w:rPr>
        <w:t>rcular!</w:t>
      </w:r>
      <w:r w:rsidR="003B033B">
        <w:rPr>
          <w:rFonts w:asciiTheme="minorHAnsi" w:hAnsiTheme="minorHAnsi"/>
          <w:b/>
          <w:color w:val="auto"/>
          <w:sz w:val="18"/>
          <w:szCs w:val="20"/>
        </w:rPr>
        <w:t xml:space="preserve"> (should do this for liability reasons) </w:t>
      </w:r>
      <w:r w:rsidR="0065313C" w:rsidRPr="00EB50FA">
        <w:rPr>
          <w:rFonts w:asciiTheme="minorHAnsi" w:hAnsiTheme="minorHAnsi"/>
          <w:b/>
          <w:color w:val="auto"/>
          <w:sz w:val="18"/>
          <w:szCs w:val="20"/>
        </w:rPr>
        <w:t xml:space="preserve"> </w:t>
      </w:r>
    </w:p>
    <w:p w:rsidR="008B5650" w:rsidRPr="00EB50FA" w:rsidRDefault="008B5650" w:rsidP="008B5650">
      <w:pPr>
        <w:pStyle w:val="Normal1"/>
        <w:widowControl w:val="0"/>
        <w:spacing w:line="240" w:lineRule="auto"/>
        <w:ind w:left="1440"/>
        <w:contextualSpacing/>
        <w:rPr>
          <w:rFonts w:asciiTheme="minorHAnsi" w:hAnsiTheme="minorHAnsi"/>
          <w:b/>
          <w:sz w:val="18"/>
          <w:szCs w:val="20"/>
        </w:rPr>
      </w:pPr>
    </w:p>
    <w:p w:rsidR="00496638" w:rsidRDefault="00A72578" w:rsidP="00FF0B61">
      <w:pPr>
        <w:pStyle w:val="Heading2"/>
        <w:spacing w:line="240" w:lineRule="auto"/>
      </w:pPr>
      <w:bookmarkStart w:id="83" w:name="_Toc468980454"/>
      <w:r w:rsidRPr="00612514">
        <w:t>Defenses</w:t>
      </w:r>
      <w:bookmarkEnd w:id="83"/>
    </w:p>
    <w:p w:rsidR="00433700" w:rsidRDefault="00E7781C" w:rsidP="00FF0B61">
      <w:pPr>
        <w:spacing w:after="0" w:line="240" w:lineRule="auto"/>
      </w:pPr>
      <w:r w:rsidRPr="00B825D2">
        <w:rPr>
          <w:b/>
        </w:rPr>
        <w:t>Target Company, through its DIR’s, may want to d</w:t>
      </w:r>
      <w:r w:rsidR="006F145A" w:rsidRPr="00B825D2">
        <w:rPr>
          <w:b/>
        </w:rPr>
        <w:t>efend against a hostile TOB</w:t>
      </w:r>
      <w:r w:rsidR="00433700" w:rsidRPr="00B825D2">
        <w:rPr>
          <w:b/>
        </w:rPr>
        <w:t xml:space="preserve">: </w:t>
      </w:r>
      <w:r w:rsidR="00433700">
        <w:t>Need Board</w:t>
      </w:r>
      <w:r w:rsidR="00F74AC2">
        <w:t xml:space="preserve"> to Set up a </w:t>
      </w:r>
      <w:r w:rsidR="00F74AC2" w:rsidRPr="0064746D">
        <w:rPr>
          <w:u w:val="single"/>
        </w:rPr>
        <w:t>Special Committee.</w:t>
      </w:r>
    </w:p>
    <w:p w:rsidR="006F1DB2" w:rsidRDefault="006F1DB2" w:rsidP="00FF0B61">
      <w:pPr>
        <w:pStyle w:val="ListParagraph"/>
        <w:numPr>
          <w:ilvl w:val="0"/>
          <w:numId w:val="120"/>
        </w:numPr>
        <w:spacing w:after="0"/>
      </w:pPr>
      <w:r w:rsidRPr="006F1DB2">
        <w:rPr>
          <w:b/>
          <w:i/>
        </w:rPr>
        <w:t>3 Major reasons for defenses:</w:t>
      </w:r>
      <w:r>
        <w:t xml:space="preserve"> </w:t>
      </w:r>
      <w:r w:rsidRPr="00D525B0">
        <w:rPr>
          <w:b/>
        </w:rPr>
        <w:t>1)</w:t>
      </w:r>
      <w:r>
        <w:t xml:space="preserve"> Compensation is inadequate; </w:t>
      </w:r>
      <w:r w:rsidRPr="00D525B0">
        <w:rPr>
          <w:b/>
        </w:rPr>
        <w:t>2)</w:t>
      </w:r>
      <w:r>
        <w:t xml:space="preserve"> Don’t like the idea of the offer; </w:t>
      </w:r>
      <w:r w:rsidRPr="00D525B0">
        <w:rPr>
          <w:b/>
        </w:rPr>
        <w:t>3)</w:t>
      </w:r>
      <w:r>
        <w:t xml:space="preserve"> Selfish Reasons. </w:t>
      </w:r>
    </w:p>
    <w:p w:rsidR="000871A2" w:rsidRDefault="000871A2" w:rsidP="00FF0B61">
      <w:pPr>
        <w:pStyle w:val="ListParagraph"/>
        <w:spacing w:after="0"/>
      </w:pPr>
    </w:p>
    <w:p w:rsidR="00822DB1" w:rsidRDefault="00DC0B40" w:rsidP="00FF0B61">
      <w:pPr>
        <w:spacing w:after="0" w:line="240" w:lineRule="auto"/>
      </w:pPr>
      <w:r>
        <w:rPr>
          <w:b/>
        </w:rPr>
        <w:t xml:space="preserve">[1] </w:t>
      </w:r>
      <w:r w:rsidR="00411903">
        <w:rPr>
          <w:b/>
        </w:rPr>
        <w:t xml:space="preserve">White Knight: </w:t>
      </w:r>
      <w:r w:rsidR="000E3B73">
        <w:t xml:space="preserve">A different offeror, brought in by the target’s DIR’s to make a competing TOB. </w:t>
      </w:r>
      <w:r w:rsidR="00822DB1">
        <w:t xml:space="preserve"> </w:t>
      </w:r>
    </w:p>
    <w:p w:rsidR="009E2D49" w:rsidRDefault="00822DB1" w:rsidP="00FF0B61">
      <w:pPr>
        <w:pStyle w:val="ListParagraph"/>
        <w:numPr>
          <w:ilvl w:val="0"/>
          <w:numId w:val="113"/>
        </w:numPr>
      </w:pPr>
      <w:r>
        <w:t>Usually have to “sweeten the deal” to induce a White Knight to takeover company.</w:t>
      </w:r>
    </w:p>
    <w:p w:rsidR="00822DB1" w:rsidRPr="00822DB1" w:rsidRDefault="00822DB1" w:rsidP="00FF0B61">
      <w:pPr>
        <w:pStyle w:val="ListParagraph"/>
        <w:numPr>
          <w:ilvl w:val="0"/>
          <w:numId w:val="113"/>
        </w:numPr>
      </w:pPr>
      <w:r w:rsidRPr="009E2D49">
        <w:rPr>
          <w:b/>
        </w:rPr>
        <w:t>Break Fee</w:t>
      </w:r>
      <w:r>
        <w:t xml:space="preserve">: Promise that if the White Knight doesn’t succeed in taking over the company than the target co must pay the White Knight. This would hollow out the value of the company (if the white knight does not work) and would improve the value of the competitor (e.g. 3-5% of the value of the company). </w:t>
      </w:r>
    </w:p>
    <w:p w:rsidR="00DC0B40" w:rsidRPr="00612514" w:rsidRDefault="00822DB1" w:rsidP="00FF0B61">
      <w:pPr>
        <w:spacing w:after="0" w:line="240" w:lineRule="auto"/>
      </w:pPr>
      <w:r w:rsidRPr="00411903">
        <w:rPr>
          <w:b/>
        </w:rPr>
        <w:t xml:space="preserve">[2] </w:t>
      </w:r>
      <w:r w:rsidR="00DC0B40" w:rsidRPr="00411903">
        <w:rPr>
          <w:b/>
        </w:rPr>
        <w:t>Issuer Bid</w:t>
      </w:r>
      <w:r w:rsidR="00612514" w:rsidRPr="00411903">
        <w:rPr>
          <w:b/>
        </w:rPr>
        <w:t xml:space="preserve">: </w:t>
      </w:r>
      <w:r w:rsidR="00612514" w:rsidRPr="00411903">
        <w:t>If target</w:t>
      </w:r>
      <w:r w:rsidR="00612514">
        <w:t xml:space="preserve"> co cannot find a white knight, they may cause the target itself to make a bid for its securityholders securities. </w:t>
      </w:r>
    </w:p>
    <w:p w:rsidR="00DC0B40" w:rsidRPr="004F48BB" w:rsidRDefault="004F48BB" w:rsidP="00FF0B61">
      <w:pPr>
        <w:pStyle w:val="Normal1"/>
        <w:widowControl w:val="0"/>
        <w:numPr>
          <w:ilvl w:val="0"/>
          <w:numId w:val="111"/>
        </w:numPr>
        <w:spacing w:line="240" w:lineRule="auto"/>
        <w:contextualSpacing/>
        <w:rPr>
          <w:rFonts w:asciiTheme="minorHAnsi" w:hAnsiTheme="minorHAnsi"/>
          <w:b/>
          <w:color w:val="auto"/>
          <w:sz w:val="18"/>
          <w:szCs w:val="20"/>
        </w:rPr>
      </w:pPr>
      <w:r>
        <w:rPr>
          <w:rFonts w:asciiTheme="minorHAnsi" w:hAnsiTheme="minorHAnsi"/>
          <w:b/>
          <w:color w:val="auto"/>
          <w:sz w:val="18"/>
          <w:szCs w:val="20"/>
        </w:rPr>
        <w:t>“Issuer Bid</w:t>
      </w:r>
      <w:r w:rsidRPr="00AF2FD1">
        <w:rPr>
          <w:rFonts w:asciiTheme="minorHAnsi" w:hAnsiTheme="minorHAnsi"/>
          <w:b/>
          <w:color w:val="auto"/>
          <w:sz w:val="18"/>
          <w:szCs w:val="20"/>
        </w:rPr>
        <w:t>” (</w:t>
      </w:r>
      <w:r w:rsidRPr="00AF2FD1">
        <w:rPr>
          <w:rFonts w:asciiTheme="minorHAnsi" w:hAnsiTheme="minorHAnsi"/>
          <w:b/>
          <w:color w:val="C45911" w:themeColor="accent2" w:themeShade="BF"/>
          <w:sz w:val="18"/>
          <w:szCs w:val="20"/>
        </w:rPr>
        <w:t>BCSA 92</w:t>
      </w:r>
      <w:r w:rsidRPr="00AF2FD1">
        <w:rPr>
          <w:rFonts w:asciiTheme="minorHAnsi" w:hAnsiTheme="minorHAnsi"/>
          <w:b/>
          <w:color w:val="auto"/>
          <w:sz w:val="18"/>
          <w:szCs w:val="20"/>
        </w:rPr>
        <w:t>) –</w:t>
      </w:r>
      <w:r>
        <w:rPr>
          <w:rFonts w:asciiTheme="minorHAnsi" w:hAnsiTheme="minorHAnsi"/>
          <w:b/>
          <w:color w:val="auto"/>
          <w:sz w:val="18"/>
          <w:szCs w:val="20"/>
        </w:rPr>
        <w:t xml:space="preserve"> </w:t>
      </w:r>
      <w:r>
        <w:rPr>
          <w:rFonts w:asciiTheme="minorHAnsi" w:hAnsiTheme="minorHAnsi"/>
          <w:color w:val="auto"/>
          <w:sz w:val="18"/>
          <w:szCs w:val="20"/>
        </w:rPr>
        <w:t xml:space="preserve">Issuer buying back their own securities. </w:t>
      </w:r>
    </w:p>
    <w:p w:rsidR="004F48BB" w:rsidRPr="004F48BB" w:rsidRDefault="004F48BB" w:rsidP="00FF0B61">
      <w:pPr>
        <w:pStyle w:val="Normal1"/>
        <w:widowControl w:val="0"/>
        <w:numPr>
          <w:ilvl w:val="0"/>
          <w:numId w:val="111"/>
        </w:numPr>
        <w:spacing w:line="240" w:lineRule="auto"/>
        <w:contextualSpacing/>
        <w:rPr>
          <w:rFonts w:asciiTheme="minorHAnsi" w:hAnsiTheme="minorHAnsi"/>
          <w:b/>
          <w:color w:val="auto"/>
          <w:sz w:val="18"/>
          <w:szCs w:val="20"/>
        </w:rPr>
      </w:pPr>
      <w:r>
        <w:rPr>
          <w:rFonts w:asciiTheme="minorHAnsi" w:hAnsiTheme="minorHAnsi"/>
          <w:sz w:val="18"/>
          <w:szCs w:val="20"/>
        </w:rPr>
        <w:t xml:space="preserve">Bid period is 35 days’ </w:t>
      </w:r>
      <w:r w:rsidR="00411903">
        <w:rPr>
          <w:rFonts w:asciiTheme="minorHAnsi" w:hAnsiTheme="minorHAnsi"/>
          <w:sz w:val="18"/>
          <w:szCs w:val="20"/>
        </w:rPr>
        <w:t>b/c if issuer is doing the bidding</w:t>
      </w:r>
      <w:r>
        <w:rPr>
          <w:rFonts w:asciiTheme="minorHAnsi" w:hAnsiTheme="minorHAnsi"/>
          <w:sz w:val="18"/>
          <w:szCs w:val="20"/>
        </w:rPr>
        <w:t xml:space="preserve"> don’t need time to fight their own bid. </w:t>
      </w:r>
    </w:p>
    <w:p w:rsidR="00DC0B40" w:rsidRPr="00DC0B40" w:rsidRDefault="00DC0B40" w:rsidP="00FF0B61">
      <w:pPr>
        <w:pStyle w:val="ListParagraph"/>
        <w:numPr>
          <w:ilvl w:val="0"/>
          <w:numId w:val="111"/>
        </w:numPr>
        <w:rPr>
          <w:b/>
        </w:rPr>
      </w:pPr>
      <w:r>
        <w:t xml:space="preserve">Will get competing bids b/w Issuer bidding to buy and the take-over bid. </w:t>
      </w:r>
    </w:p>
    <w:p w:rsidR="00F74AC2" w:rsidRPr="00411903" w:rsidRDefault="00822DB1" w:rsidP="00FF0B61">
      <w:pPr>
        <w:spacing w:after="0" w:line="240" w:lineRule="auto"/>
        <w:rPr>
          <w:b/>
        </w:rPr>
      </w:pPr>
      <w:r>
        <w:rPr>
          <w:b/>
        </w:rPr>
        <w:t>[3</w:t>
      </w:r>
      <w:r w:rsidR="00EA065D">
        <w:rPr>
          <w:b/>
        </w:rPr>
        <w:t>] Sale of the Cr</w:t>
      </w:r>
      <w:r w:rsidR="00411903">
        <w:rPr>
          <w:b/>
        </w:rPr>
        <w:t xml:space="preserve">own Jewel: </w:t>
      </w:r>
      <w:r w:rsidR="00F74AC2" w:rsidRPr="00F74AC2">
        <w:rPr>
          <w:szCs w:val="20"/>
        </w:rPr>
        <w:t>Agreement with third party</w:t>
      </w:r>
      <w:r w:rsidR="00F74AC2">
        <w:rPr>
          <w:szCs w:val="20"/>
        </w:rPr>
        <w:t xml:space="preserve"> to sell a significan</w:t>
      </w:r>
      <w:r w:rsidR="008076D3">
        <w:rPr>
          <w:szCs w:val="20"/>
        </w:rPr>
        <w:t>t asset</w:t>
      </w:r>
      <w:r w:rsidR="00F74AC2">
        <w:rPr>
          <w:szCs w:val="20"/>
        </w:rPr>
        <w:t xml:space="preserve"> to </w:t>
      </w:r>
      <w:r w:rsidR="008076D3">
        <w:rPr>
          <w:szCs w:val="20"/>
        </w:rPr>
        <w:t>make the company</w:t>
      </w:r>
      <w:r w:rsidR="00F74AC2">
        <w:rPr>
          <w:szCs w:val="20"/>
        </w:rPr>
        <w:t xml:space="preserve"> a le</w:t>
      </w:r>
      <w:r w:rsidR="00411903">
        <w:rPr>
          <w:szCs w:val="20"/>
        </w:rPr>
        <w:t>ss attractive take-over target (</w:t>
      </w:r>
      <w:r w:rsidR="00F74AC2">
        <w:rPr>
          <w:b/>
          <w:szCs w:val="20"/>
        </w:rPr>
        <w:t xml:space="preserve">E.g. </w:t>
      </w:r>
      <w:r w:rsidR="00F74AC2">
        <w:rPr>
          <w:szCs w:val="20"/>
        </w:rPr>
        <w:t xml:space="preserve">Sell interest in land or </w:t>
      </w:r>
      <w:r w:rsidR="00411903">
        <w:rPr>
          <w:szCs w:val="20"/>
        </w:rPr>
        <w:t xml:space="preserve">sell a division of the company). </w:t>
      </w:r>
    </w:p>
    <w:p w:rsidR="00F74AC2" w:rsidRPr="00F74AC2" w:rsidRDefault="00F74AC2" w:rsidP="00FF0B61">
      <w:pPr>
        <w:pStyle w:val="ListParagraph"/>
        <w:numPr>
          <w:ilvl w:val="0"/>
          <w:numId w:val="112"/>
        </w:numPr>
        <w:spacing w:after="0"/>
        <w:rPr>
          <w:b/>
        </w:rPr>
      </w:pPr>
      <w:r>
        <w:t xml:space="preserve">As the Board of DIRs need to say, in keeping w/ Fiduciary duty, it is better to sell crown jewel than be taken over. This sale can be contested in court. </w:t>
      </w:r>
    </w:p>
    <w:p w:rsidR="00F74AC2" w:rsidRPr="00F74AC2" w:rsidRDefault="00F74AC2" w:rsidP="00FF0B61">
      <w:pPr>
        <w:pStyle w:val="Normal1"/>
        <w:widowControl w:val="0"/>
        <w:spacing w:line="240" w:lineRule="auto"/>
        <w:ind w:left="1440"/>
        <w:contextualSpacing/>
        <w:rPr>
          <w:rFonts w:asciiTheme="minorHAnsi" w:hAnsiTheme="minorHAnsi"/>
          <w:sz w:val="18"/>
          <w:szCs w:val="20"/>
        </w:rPr>
      </w:pPr>
    </w:p>
    <w:p w:rsidR="009E2D49" w:rsidRPr="009E2D49" w:rsidRDefault="00875FB0" w:rsidP="00FF0B61">
      <w:pPr>
        <w:spacing w:after="0" w:line="240" w:lineRule="auto"/>
      </w:pPr>
      <w:r w:rsidRPr="00650339">
        <w:rPr>
          <w:b/>
        </w:rPr>
        <w:t>[</w:t>
      </w:r>
      <w:r w:rsidR="00822DB1" w:rsidRPr="00650339">
        <w:rPr>
          <w:b/>
        </w:rPr>
        <w:t>4</w:t>
      </w:r>
      <w:r w:rsidRPr="00650339">
        <w:rPr>
          <w:b/>
        </w:rPr>
        <w:t xml:space="preserve">] </w:t>
      </w:r>
      <w:r w:rsidR="009E2D49">
        <w:rPr>
          <w:b/>
        </w:rPr>
        <w:t xml:space="preserve">Lock-Up Option: </w:t>
      </w:r>
      <w:r w:rsidR="00C47536">
        <w:t xml:space="preserve">Option granted to a party to acquire a large block of securities or a substantial percentage of the target’s assets if a “trigger event” – e.g. a hostile bidder acquiring 20% of the targets voting securities – occurs. </w:t>
      </w:r>
    </w:p>
    <w:p w:rsidR="009E2D49" w:rsidRDefault="009E2D49" w:rsidP="00FF0B61">
      <w:pPr>
        <w:spacing w:after="0" w:line="240" w:lineRule="auto"/>
        <w:rPr>
          <w:b/>
        </w:rPr>
      </w:pPr>
    </w:p>
    <w:p w:rsidR="00E1584C" w:rsidRPr="00650339" w:rsidRDefault="009E2D49" w:rsidP="00FF0B61">
      <w:pPr>
        <w:spacing w:after="0" w:line="240" w:lineRule="auto"/>
      </w:pPr>
      <w:r>
        <w:rPr>
          <w:b/>
        </w:rPr>
        <w:t xml:space="preserve">[5] </w:t>
      </w:r>
      <w:r w:rsidR="0073029F">
        <w:rPr>
          <w:b/>
        </w:rPr>
        <w:t>Showstopper:</w:t>
      </w:r>
      <w:r w:rsidR="00875FB0" w:rsidRPr="00650339">
        <w:rPr>
          <w:b/>
        </w:rPr>
        <w:t xml:space="preserve"> </w:t>
      </w:r>
      <w:r w:rsidR="00875FB0" w:rsidRPr="00650339">
        <w:t xml:space="preserve">This </w:t>
      </w:r>
      <w:r w:rsidR="005A0224" w:rsidRPr="00650339">
        <w:t xml:space="preserve">is litigation </w:t>
      </w:r>
      <w:r w:rsidR="005A0224" w:rsidRPr="00650339">
        <w:rPr>
          <w:b/>
        </w:rPr>
        <w:t xml:space="preserve">// </w:t>
      </w:r>
      <w:r w:rsidR="005A0224" w:rsidRPr="00650339">
        <w:t>Can also delay</w:t>
      </w:r>
    </w:p>
    <w:p w:rsidR="00650339" w:rsidRPr="00650339" w:rsidRDefault="00650339" w:rsidP="00FF0B61">
      <w:pPr>
        <w:pStyle w:val="Normal1"/>
        <w:widowControl w:val="0"/>
        <w:numPr>
          <w:ilvl w:val="0"/>
          <w:numId w:val="116"/>
        </w:numPr>
        <w:spacing w:line="240" w:lineRule="auto"/>
        <w:contextualSpacing/>
        <w:rPr>
          <w:rFonts w:asciiTheme="minorHAnsi" w:hAnsiTheme="minorHAnsi"/>
          <w:sz w:val="18"/>
          <w:szCs w:val="20"/>
        </w:rPr>
      </w:pPr>
      <w:r w:rsidRPr="00650339">
        <w:rPr>
          <w:rFonts w:asciiTheme="minorHAnsi" w:hAnsiTheme="minorHAnsi"/>
          <w:sz w:val="18"/>
          <w:szCs w:val="20"/>
        </w:rPr>
        <w:t>Can be an effective defensive tactic in delaying takeovers, through court-ordered injunctions or otherwise</w:t>
      </w:r>
    </w:p>
    <w:p w:rsidR="00650339" w:rsidRDefault="00650339" w:rsidP="00FF0B61">
      <w:pPr>
        <w:pStyle w:val="Normal1"/>
        <w:widowControl w:val="0"/>
        <w:numPr>
          <w:ilvl w:val="0"/>
          <w:numId w:val="116"/>
        </w:numPr>
        <w:spacing w:line="240" w:lineRule="auto"/>
        <w:contextualSpacing/>
        <w:rPr>
          <w:rFonts w:asciiTheme="minorHAnsi" w:hAnsiTheme="minorHAnsi"/>
          <w:sz w:val="18"/>
          <w:szCs w:val="20"/>
        </w:rPr>
      </w:pPr>
      <w:r w:rsidRPr="00650339">
        <w:rPr>
          <w:rFonts w:asciiTheme="minorHAnsi" w:hAnsiTheme="minorHAnsi"/>
          <w:sz w:val="18"/>
          <w:szCs w:val="20"/>
        </w:rPr>
        <w:t>May involve challenges to disclosure provided in hostile takeover bid circular</w:t>
      </w:r>
    </w:p>
    <w:p w:rsidR="000871A2" w:rsidRDefault="000871A2" w:rsidP="00FF0B61">
      <w:pPr>
        <w:pStyle w:val="Normal1"/>
        <w:widowControl w:val="0"/>
        <w:spacing w:line="240" w:lineRule="auto"/>
        <w:contextualSpacing/>
        <w:rPr>
          <w:rFonts w:asciiTheme="minorHAnsi" w:hAnsiTheme="minorHAnsi"/>
          <w:sz w:val="18"/>
          <w:szCs w:val="20"/>
        </w:rPr>
      </w:pPr>
    </w:p>
    <w:p w:rsidR="000871A2" w:rsidRPr="000871A2" w:rsidRDefault="0073029F" w:rsidP="00FF0B61">
      <w:pPr>
        <w:pStyle w:val="Normal1"/>
        <w:widowControl w:val="0"/>
        <w:spacing w:line="240" w:lineRule="auto"/>
        <w:contextualSpacing/>
        <w:rPr>
          <w:rFonts w:asciiTheme="minorHAnsi" w:hAnsiTheme="minorHAnsi"/>
          <w:sz w:val="18"/>
          <w:szCs w:val="20"/>
        </w:rPr>
      </w:pPr>
      <w:r>
        <w:rPr>
          <w:rFonts w:asciiTheme="minorHAnsi" w:hAnsiTheme="minorHAnsi"/>
          <w:b/>
          <w:sz w:val="18"/>
          <w:szCs w:val="20"/>
        </w:rPr>
        <w:t>[6] Golden Parachute:</w:t>
      </w:r>
      <w:r w:rsidR="000871A2">
        <w:rPr>
          <w:rFonts w:asciiTheme="minorHAnsi" w:hAnsiTheme="minorHAnsi"/>
          <w:b/>
          <w:sz w:val="18"/>
          <w:szCs w:val="20"/>
        </w:rPr>
        <w:t xml:space="preserve"> </w:t>
      </w:r>
      <w:r w:rsidR="000871A2">
        <w:rPr>
          <w:rFonts w:asciiTheme="minorHAnsi" w:hAnsiTheme="minorHAnsi"/>
          <w:sz w:val="18"/>
          <w:szCs w:val="20"/>
        </w:rPr>
        <w:t xml:space="preserve">Compensation package given to DIRs and OFR’s that include generous severance payments or pensions that are triggered if their employment is terminated after a hostile TOB. </w:t>
      </w:r>
    </w:p>
    <w:p w:rsidR="00650339" w:rsidRPr="00650339" w:rsidRDefault="00650339" w:rsidP="00FF0B61">
      <w:pPr>
        <w:pStyle w:val="Normal1"/>
        <w:widowControl w:val="0"/>
        <w:spacing w:line="240" w:lineRule="auto"/>
        <w:ind w:left="720"/>
        <w:contextualSpacing/>
        <w:rPr>
          <w:rFonts w:asciiTheme="minorHAnsi" w:hAnsiTheme="minorHAnsi"/>
          <w:sz w:val="18"/>
          <w:szCs w:val="20"/>
        </w:rPr>
      </w:pPr>
    </w:p>
    <w:p w:rsidR="00CF6AFB" w:rsidRDefault="00CF6AFB" w:rsidP="00FF0B61">
      <w:pPr>
        <w:spacing w:after="0" w:line="240" w:lineRule="auto"/>
        <w:rPr>
          <w:b/>
        </w:rPr>
      </w:pPr>
      <w:r w:rsidRPr="00D203D2">
        <w:rPr>
          <w:b/>
        </w:rPr>
        <w:t>[5] Poison Pill (Shareholders Rights Plan):</w:t>
      </w:r>
    </w:p>
    <w:p w:rsidR="00E96896" w:rsidRPr="001B1857" w:rsidRDefault="00E96896" w:rsidP="00FF0B61">
      <w:pPr>
        <w:pStyle w:val="ListParagraph"/>
        <w:numPr>
          <w:ilvl w:val="0"/>
          <w:numId w:val="117"/>
        </w:numPr>
      </w:pPr>
      <w:r w:rsidRPr="00E96896">
        <w:t xml:space="preserve">Can be adopted prior to </w:t>
      </w:r>
      <w:r>
        <w:rPr>
          <w:u w:val="single"/>
        </w:rPr>
        <w:t>OR</w:t>
      </w:r>
      <w:r w:rsidRPr="00E96896">
        <w:t xml:space="preserve"> during a takeover bid</w:t>
      </w:r>
    </w:p>
    <w:p w:rsidR="0077794B" w:rsidRPr="0077794B" w:rsidRDefault="0077794B" w:rsidP="00FF0B61">
      <w:pPr>
        <w:pStyle w:val="ListParagraph"/>
        <w:numPr>
          <w:ilvl w:val="0"/>
          <w:numId w:val="117"/>
        </w:numPr>
        <w:spacing w:after="0"/>
        <w:rPr>
          <w:b/>
        </w:rPr>
      </w:pPr>
      <w:r>
        <w:t>Typically, a rights offering, offered by the target company to its securityholders, entitling them to purchase more voting shares at a heavily discounted price on the occurrence of a “triggering event.”</w:t>
      </w:r>
    </w:p>
    <w:p w:rsidR="0077794B" w:rsidRPr="0077794B" w:rsidRDefault="0077794B" w:rsidP="00FF0B61">
      <w:pPr>
        <w:pStyle w:val="ListParagraph"/>
        <w:numPr>
          <w:ilvl w:val="1"/>
          <w:numId w:val="117"/>
        </w:numPr>
        <w:spacing w:after="0"/>
        <w:rPr>
          <w:b/>
        </w:rPr>
      </w:pPr>
      <w:r w:rsidRPr="001B1857">
        <w:rPr>
          <w:b/>
        </w:rPr>
        <w:t>The “trigger”</w:t>
      </w:r>
      <w:r w:rsidR="001B1857">
        <w:t xml:space="preserve">: </w:t>
      </w:r>
      <w:r>
        <w:t xml:space="preserve">may be the acquisition by a party of a certain % of the shares or the launching of a TOB. </w:t>
      </w:r>
    </w:p>
    <w:p w:rsidR="0077794B" w:rsidRPr="006945F1" w:rsidRDefault="009E5916" w:rsidP="00FF0B61">
      <w:pPr>
        <w:pStyle w:val="ListParagraph"/>
        <w:numPr>
          <w:ilvl w:val="0"/>
          <w:numId w:val="117"/>
        </w:numPr>
        <w:spacing w:after="0"/>
        <w:rPr>
          <w:b/>
        </w:rPr>
      </w:pPr>
      <w:r>
        <w:t xml:space="preserve">May be a permanent feature of a corps articles or may be implemented when a company realizes it may become a target in the future. </w:t>
      </w:r>
    </w:p>
    <w:p w:rsidR="006945F1" w:rsidRPr="00E73032" w:rsidRDefault="006945F1" w:rsidP="00FF0B61">
      <w:pPr>
        <w:pStyle w:val="ListParagraph"/>
        <w:numPr>
          <w:ilvl w:val="1"/>
          <w:numId w:val="117"/>
        </w:numPr>
        <w:rPr>
          <w:b/>
        </w:rPr>
      </w:pPr>
      <w:r w:rsidRPr="00D525B0">
        <w:rPr>
          <w:b/>
        </w:rPr>
        <w:t>Best way to do this is to get SH approval</w:t>
      </w:r>
      <w:r>
        <w:t xml:space="preserve"> – agree that it is necessary.</w:t>
      </w:r>
    </w:p>
    <w:p w:rsidR="006945F1" w:rsidRPr="00310468" w:rsidRDefault="006945F1" w:rsidP="00FF0B61">
      <w:pPr>
        <w:pStyle w:val="ListParagraph"/>
        <w:numPr>
          <w:ilvl w:val="1"/>
          <w:numId w:val="117"/>
        </w:numPr>
        <w:rPr>
          <w:b/>
        </w:rPr>
      </w:pPr>
      <w:r w:rsidRPr="00D525B0">
        <w:rPr>
          <w:b/>
        </w:rPr>
        <w:t>If no SH approval</w:t>
      </w:r>
      <w:r>
        <w:t xml:space="preserve"> – it is a tactical SRP. It has less credibility if the target company SH’s have not voted for it. This suggests that mgt and DIR’s of target company are to put the poison pill to SH’s it may only exist to entrench the DIR’s in their position. </w:t>
      </w:r>
    </w:p>
    <w:p w:rsidR="00BC1F65" w:rsidRPr="00B34985" w:rsidRDefault="006945F1" w:rsidP="00FF0B61">
      <w:pPr>
        <w:pStyle w:val="ListParagraph"/>
        <w:numPr>
          <w:ilvl w:val="0"/>
          <w:numId w:val="113"/>
        </w:numPr>
        <w:rPr>
          <w:b/>
        </w:rPr>
      </w:pPr>
      <w:r>
        <w:rPr>
          <w:b/>
        </w:rPr>
        <w:t xml:space="preserve">Result: </w:t>
      </w:r>
      <w:r>
        <w:t>Makes a TOB considerable more expensive for the offeror, since it will need to purchase the newly issues securities + will extend the bid period giving the target more time to explore othe</w:t>
      </w:r>
      <w:r w:rsidR="00E96896">
        <w:t xml:space="preserve">r options (e.g. bringing in a white knight). </w:t>
      </w:r>
    </w:p>
    <w:p w:rsidR="00713C88" w:rsidRPr="00D203D2" w:rsidRDefault="00693DD9" w:rsidP="00FF0B61">
      <w:pPr>
        <w:spacing w:after="0" w:line="240" w:lineRule="auto"/>
      </w:pPr>
      <w:r w:rsidRPr="00693DD9">
        <w:rPr>
          <w:b/>
          <w:i/>
          <w:color w:val="1006E0"/>
        </w:rPr>
        <w:t>Royal Host</w:t>
      </w:r>
      <w:r w:rsidR="00A00377">
        <w:rPr>
          <w:b/>
          <w:i/>
          <w:color w:val="1006E0"/>
        </w:rPr>
        <w:t xml:space="preserve"> </w:t>
      </w:r>
      <w:r w:rsidR="00A00377">
        <w:rPr>
          <w:b/>
          <w:color w:val="1006E0"/>
        </w:rPr>
        <w:t>(TEST)</w:t>
      </w:r>
      <w:r w:rsidR="00D203D2">
        <w:rPr>
          <w:b/>
          <w:color w:val="1006E0"/>
        </w:rPr>
        <w:t xml:space="preserve">: </w:t>
      </w:r>
      <w:r w:rsidR="00D203D2">
        <w:t>DIR’s cannot use SRP’s to “just say no” to a TOB in perpetuity</w:t>
      </w:r>
      <w:r w:rsidR="00616E49">
        <w:t xml:space="preserve"> (at some point the SRP will be cease traded). </w:t>
      </w:r>
    </w:p>
    <w:p w:rsidR="00AC09EB" w:rsidRPr="00B825D2" w:rsidRDefault="00A00377" w:rsidP="00FF0B61">
      <w:pPr>
        <w:pStyle w:val="ListParagraph"/>
        <w:numPr>
          <w:ilvl w:val="0"/>
          <w:numId w:val="119"/>
        </w:numPr>
        <w:spacing w:after="0"/>
      </w:pPr>
      <w:r w:rsidRPr="009377BF">
        <w:rPr>
          <w:b/>
          <w:szCs w:val="20"/>
          <w:u w:val="single"/>
        </w:rPr>
        <w:t xml:space="preserve">WHEN </w:t>
      </w:r>
      <w:r>
        <w:rPr>
          <w:b/>
          <w:szCs w:val="20"/>
        </w:rPr>
        <w:t xml:space="preserve">TO </w:t>
      </w:r>
      <w:r w:rsidRPr="00DC3A87">
        <w:rPr>
          <w:b/>
          <w:i/>
          <w:szCs w:val="20"/>
        </w:rPr>
        <w:t>CEASE TRADE</w:t>
      </w:r>
      <w:r>
        <w:rPr>
          <w:b/>
          <w:szCs w:val="20"/>
        </w:rPr>
        <w:t xml:space="preserve"> </w:t>
      </w:r>
      <w:r w:rsidR="00B11589">
        <w:rPr>
          <w:b/>
          <w:szCs w:val="20"/>
        </w:rPr>
        <w:t>SRP’s</w:t>
      </w:r>
      <w:r w:rsidR="00AC09EB" w:rsidRPr="00713C88">
        <w:rPr>
          <w:b/>
          <w:szCs w:val="20"/>
        </w:rPr>
        <w:t>:</w:t>
      </w:r>
      <w:r w:rsidR="009377BF">
        <w:rPr>
          <w:b/>
          <w:szCs w:val="20"/>
        </w:rPr>
        <w:t xml:space="preserve"> At some point, it will be cease traded -</w:t>
      </w:r>
      <w:r w:rsidR="00AC09EB" w:rsidRPr="00713C88">
        <w:rPr>
          <w:szCs w:val="20"/>
        </w:rPr>
        <w:t xml:space="preserve"> </w:t>
      </w:r>
      <w:r w:rsidR="00AC09EB" w:rsidRPr="00B825D2">
        <w:rPr>
          <w:szCs w:val="20"/>
        </w:rPr>
        <w:t>Need to find balance between permitting board to fulfill fiduciary duty</w:t>
      </w:r>
      <w:r w:rsidR="004F4DD1" w:rsidRPr="00B825D2">
        <w:rPr>
          <w:szCs w:val="20"/>
        </w:rPr>
        <w:t xml:space="preserve"> and protecting the rights of SH</w:t>
      </w:r>
      <w:r w:rsidR="00AC09EB" w:rsidRPr="00B825D2">
        <w:rPr>
          <w:szCs w:val="20"/>
        </w:rPr>
        <w:t>s to tender shares as they see fit</w:t>
      </w:r>
    </w:p>
    <w:p w:rsidR="00AC09EB" w:rsidRPr="00AC09EB" w:rsidRDefault="00AC09EB" w:rsidP="00FF0B61">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There is no “holy grail” to determine when a “pill must go”</w:t>
      </w:r>
      <w:r w:rsidR="00DC3A87">
        <w:rPr>
          <w:rFonts w:asciiTheme="minorHAnsi" w:hAnsiTheme="minorHAnsi"/>
          <w:sz w:val="18"/>
          <w:szCs w:val="20"/>
        </w:rPr>
        <w:t xml:space="preserve"> (longest (before changes in law) was 120 days)</w:t>
      </w:r>
    </w:p>
    <w:p w:rsidR="00AC09EB" w:rsidRPr="00713C88" w:rsidRDefault="00AC09EB" w:rsidP="00FF0B61">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 xml:space="preserve">Starting point for the analysis is </w:t>
      </w:r>
      <w:r w:rsidRPr="00D203D2">
        <w:rPr>
          <w:rFonts w:asciiTheme="minorHAnsi" w:hAnsiTheme="minorHAnsi"/>
          <w:b/>
          <w:color w:val="7030A0"/>
          <w:sz w:val="18"/>
          <w:szCs w:val="20"/>
        </w:rPr>
        <w:t xml:space="preserve">NP 62-202, </w:t>
      </w:r>
      <w:r w:rsidRPr="00D203D2">
        <w:rPr>
          <w:rFonts w:asciiTheme="minorHAnsi" w:hAnsiTheme="minorHAnsi"/>
          <w:b/>
          <w:i/>
          <w:color w:val="7030A0"/>
          <w:sz w:val="18"/>
          <w:szCs w:val="20"/>
        </w:rPr>
        <w:t>Take-Over Bids – Defensive Tactics</w:t>
      </w:r>
    </w:p>
    <w:p w:rsidR="00AC09EB" w:rsidRPr="00713C88" w:rsidRDefault="00713C88" w:rsidP="00FF0B61">
      <w:pPr>
        <w:pStyle w:val="Normal1"/>
        <w:widowControl w:val="0"/>
        <w:numPr>
          <w:ilvl w:val="0"/>
          <w:numId w:val="118"/>
        </w:numPr>
        <w:spacing w:line="240" w:lineRule="auto"/>
        <w:contextualSpacing/>
        <w:rPr>
          <w:rFonts w:asciiTheme="minorHAnsi" w:hAnsiTheme="minorHAnsi"/>
          <w:b/>
          <w:sz w:val="18"/>
          <w:szCs w:val="20"/>
        </w:rPr>
      </w:pPr>
      <w:r w:rsidRPr="00713C88">
        <w:rPr>
          <w:rFonts w:asciiTheme="minorHAnsi" w:hAnsiTheme="minorHAnsi"/>
          <w:b/>
          <w:sz w:val="18"/>
          <w:szCs w:val="20"/>
        </w:rPr>
        <w:t>Factors to consider</w:t>
      </w:r>
      <w:r w:rsidR="00C217C9">
        <w:rPr>
          <w:rFonts w:asciiTheme="minorHAnsi" w:hAnsiTheme="minorHAnsi"/>
          <w:b/>
          <w:sz w:val="18"/>
          <w:szCs w:val="20"/>
        </w:rPr>
        <w:t xml:space="preserve"> (</w:t>
      </w:r>
      <w:r w:rsidR="00C217C9" w:rsidRPr="00C217C9">
        <w:rPr>
          <w:rFonts w:asciiTheme="minorHAnsi" w:hAnsiTheme="minorHAnsi"/>
          <w:b/>
          <w:i/>
          <w:color w:val="1006E0"/>
          <w:sz w:val="18"/>
          <w:szCs w:val="20"/>
        </w:rPr>
        <w:t>Royal Host</w:t>
      </w:r>
      <w:r w:rsidR="00C217C9">
        <w:rPr>
          <w:rFonts w:asciiTheme="minorHAnsi" w:hAnsiTheme="minorHAnsi"/>
          <w:b/>
          <w:sz w:val="18"/>
          <w:szCs w:val="20"/>
        </w:rPr>
        <w:t>)</w:t>
      </w:r>
      <w:r w:rsidRPr="00713C88">
        <w:rPr>
          <w:rFonts w:asciiTheme="minorHAnsi" w:hAnsiTheme="minorHAnsi"/>
          <w:b/>
          <w:sz w:val="18"/>
          <w:szCs w:val="20"/>
        </w:rPr>
        <w:t>:</w:t>
      </w:r>
    </w:p>
    <w:p w:rsidR="00AC09EB" w:rsidRPr="00044416" w:rsidRDefault="00DC3A87" w:rsidP="00FF0B61">
      <w:pPr>
        <w:pStyle w:val="Normal1"/>
        <w:widowControl w:val="0"/>
        <w:numPr>
          <w:ilvl w:val="1"/>
          <w:numId w:val="118"/>
        </w:numPr>
        <w:spacing w:line="240" w:lineRule="auto"/>
        <w:contextualSpacing/>
        <w:rPr>
          <w:rFonts w:asciiTheme="minorHAnsi" w:hAnsiTheme="minorHAnsi"/>
          <w:b/>
          <w:sz w:val="18"/>
          <w:szCs w:val="20"/>
        </w:rPr>
      </w:pPr>
      <w:r w:rsidRPr="007E35B5">
        <w:rPr>
          <w:rFonts w:asciiTheme="minorHAnsi" w:hAnsiTheme="minorHAnsi"/>
          <w:b/>
          <w:sz w:val="18"/>
          <w:szCs w:val="20"/>
        </w:rPr>
        <w:t xml:space="preserve">Whether </w:t>
      </w:r>
      <w:r w:rsidR="009377BF" w:rsidRPr="007E35B5">
        <w:rPr>
          <w:rFonts w:asciiTheme="minorHAnsi" w:hAnsiTheme="minorHAnsi"/>
          <w:b/>
          <w:sz w:val="18"/>
          <w:szCs w:val="20"/>
          <w:u w:val="single"/>
        </w:rPr>
        <w:t>SH</w:t>
      </w:r>
      <w:r w:rsidR="00AC09EB" w:rsidRPr="007E35B5">
        <w:rPr>
          <w:rFonts w:asciiTheme="minorHAnsi" w:hAnsiTheme="minorHAnsi"/>
          <w:b/>
          <w:sz w:val="18"/>
          <w:szCs w:val="20"/>
          <w:u w:val="single"/>
        </w:rPr>
        <w:t xml:space="preserve"> approval</w:t>
      </w:r>
      <w:r w:rsidR="00AC09EB" w:rsidRPr="007E35B5">
        <w:rPr>
          <w:rFonts w:asciiTheme="minorHAnsi" w:hAnsiTheme="minorHAnsi"/>
          <w:b/>
          <w:sz w:val="18"/>
          <w:szCs w:val="20"/>
        </w:rPr>
        <w:t xml:space="preserve"> </w:t>
      </w:r>
      <w:r w:rsidR="007E35B5">
        <w:rPr>
          <w:rFonts w:asciiTheme="minorHAnsi" w:hAnsiTheme="minorHAnsi"/>
          <w:b/>
          <w:sz w:val="18"/>
          <w:szCs w:val="20"/>
        </w:rPr>
        <w:t xml:space="preserve">(“vote”) </w:t>
      </w:r>
      <w:r w:rsidR="00AC09EB" w:rsidRPr="007E35B5">
        <w:rPr>
          <w:rFonts w:asciiTheme="minorHAnsi" w:hAnsiTheme="minorHAnsi"/>
          <w:b/>
          <w:sz w:val="18"/>
          <w:szCs w:val="20"/>
        </w:rPr>
        <w:t xml:space="preserve">of the rights plan was </w:t>
      </w:r>
      <w:r w:rsidR="00AC09EB" w:rsidRPr="00044416">
        <w:rPr>
          <w:rFonts w:asciiTheme="minorHAnsi" w:hAnsiTheme="minorHAnsi"/>
          <w:b/>
          <w:sz w:val="18"/>
          <w:szCs w:val="20"/>
        </w:rPr>
        <w:t>obtained</w:t>
      </w:r>
      <w:r w:rsidR="007E35B5" w:rsidRPr="00044416">
        <w:rPr>
          <w:rFonts w:asciiTheme="minorHAnsi" w:hAnsiTheme="minorHAnsi"/>
          <w:b/>
          <w:sz w:val="18"/>
          <w:szCs w:val="20"/>
        </w:rPr>
        <w:t xml:space="preserve"> (vs. a tactical decision by the board). </w:t>
      </w:r>
    </w:p>
    <w:p w:rsidR="00AC09EB" w:rsidRPr="00044416" w:rsidRDefault="00DC3A87" w:rsidP="00FF0B61">
      <w:pPr>
        <w:pStyle w:val="Normal1"/>
        <w:widowControl w:val="0"/>
        <w:numPr>
          <w:ilvl w:val="1"/>
          <w:numId w:val="118"/>
        </w:numPr>
        <w:spacing w:line="240" w:lineRule="auto"/>
        <w:contextualSpacing/>
        <w:rPr>
          <w:rFonts w:asciiTheme="minorHAnsi" w:hAnsiTheme="minorHAnsi"/>
          <w:b/>
          <w:sz w:val="18"/>
          <w:szCs w:val="20"/>
        </w:rPr>
      </w:pPr>
      <w:r w:rsidRPr="00044416">
        <w:rPr>
          <w:rFonts w:asciiTheme="minorHAnsi" w:hAnsiTheme="minorHAnsi"/>
          <w:b/>
          <w:sz w:val="18"/>
          <w:szCs w:val="20"/>
        </w:rPr>
        <w:t xml:space="preserve">When </w:t>
      </w:r>
      <w:r w:rsidR="00AC09EB" w:rsidRPr="00044416">
        <w:rPr>
          <w:rFonts w:asciiTheme="minorHAnsi" w:hAnsiTheme="minorHAnsi"/>
          <w:b/>
          <w:sz w:val="18"/>
          <w:szCs w:val="20"/>
        </w:rPr>
        <w:t>the plan was adopted</w:t>
      </w:r>
      <w:r w:rsidRPr="00044416">
        <w:rPr>
          <w:rFonts w:asciiTheme="minorHAnsi" w:hAnsiTheme="minorHAnsi"/>
          <w:b/>
          <w:sz w:val="18"/>
          <w:szCs w:val="20"/>
        </w:rPr>
        <w:t xml:space="preserve"> (e.g. if been in place a long time)</w:t>
      </w:r>
      <w:r w:rsidR="00AC09EB" w:rsidRPr="00044416">
        <w:rPr>
          <w:rFonts w:asciiTheme="minorHAnsi" w:hAnsiTheme="minorHAnsi"/>
          <w:b/>
          <w:sz w:val="18"/>
          <w:szCs w:val="20"/>
        </w:rPr>
        <w:t>;</w:t>
      </w:r>
    </w:p>
    <w:p w:rsidR="00AC09EB" w:rsidRPr="007E35B5" w:rsidRDefault="00DC3A87" w:rsidP="00FF0B61">
      <w:pPr>
        <w:pStyle w:val="Normal1"/>
        <w:widowControl w:val="0"/>
        <w:numPr>
          <w:ilvl w:val="1"/>
          <w:numId w:val="118"/>
        </w:numPr>
        <w:spacing w:line="240" w:lineRule="auto"/>
        <w:contextualSpacing/>
        <w:rPr>
          <w:rFonts w:asciiTheme="minorHAnsi" w:hAnsiTheme="minorHAnsi"/>
          <w:sz w:val="18"/>
          <w:szCs w:val="20"/>
        </w:rPr>
      </w:pPr>
      <w:r w:rsidRPr="007E35B5">
        <w:rPr>
          <w:rFonts w:asciiTheme="minorHAnsi" w:hAnsiTheme="minorHAnsi"/>
          <w:sz w:val="18"/>
          <w:szCs w:val="20"/>
        </w:rPr>
        <w:t xml:space="preserve">Whether there is broad </w:t>
      </w:r>
      <w:r w:rsidRPr="007E35B5">
        <w:rPr>
          <w:rFonts w:asciiTheme="minorHAnsi" w:hAnsiTheme="minorHAnsi"/>
          <w:i/>
          <w:sz w:val="18"/>
          <w:szCs w:val="20"/>
          <w:u w:val="single"/>
        </w:rPr>
        <w:t>SH</w:t>
      </w:r>
      <w:r w:rsidR="00AC09EB" w:rsidRPr="007E35B5">
        <w:rPr>
          <w:rFonts w:asciiTheme="minorHAnsi" w:hAnsiTheme="minorHAnsi"/>
          <w:i/>
          <w:sz w:val="18"/>
          <w:szCs w:val="20"/>
          <w:u w:val="single"/>
        </w:rPr>
        <w:t xml:space="preserve"> support</w:t>
      </w:r>
      <w:r w:rsidR="00AC09EB" w:rsidRPr="007E35B5">
        <w:rPr>
          <w:rFonts w:asciiTheme="minorHAnsi" w:hAnsiTheme="minorHAnsi"/>
          <w:sz w:val="18"/>
          <w:szCs w:val="20"/>
        </w:rPr>
        <w:t xml:space="preserve"> for the continued operation of the plan</w:t>
      </w:r>
      <w:r w:rsidRPr="007E35B5">
        <w:rPr>
          <w:rFonts w:asciiTheme="minorHAnsi" w:hAnsiTheme="minorHAnsi"/>
          <w:sz w:val="18"/>
          <w:szCs w:val="20"/>
        </w:rPr>
        <w:t xml:space="preserve"> </w:t>
      </w:r>
    </w:p>
    <w:p w:rsidR="00AC09EB" w:rsidRPr="00AC09EB" w:rsidRDefault="00DC3A87" w:rsidP="00FF0B61">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 xml:space="preserve">The </w:t>
      </w:r>
      <w:r w:rsidR="00AC09EB" w:rsidRPr="00AC09EB">
        <w:rPr>
          <w:rFonts w:asciiTheme="minorHAnsi" w:hAnsiTheme="minorHAnsi"/>
          <w:sz w:val="18"/>
          <w:szCs w:val="20"/>
        </w:rPr>
        <w:t>size and complexity of the target company;</w:t>
      </w:r>
    </w:p>
    <w:p w:rsidR="00AC09EB" w:rsidRPr="00AC09EB" w:rsidRDefault="00DC3A87" w:rsidP="00FF0B61">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 xml:space="preserve">The </w:t>
      </w:r>
      <w:r w:rsidR="00AC09EB" w:rsidRPr="00AC09EB">
        <w:rPr>
          <w:rFonts w:asciiTheme="minorHAnsi" w:hAnsiTheme="minorHAnsi"/>
          <w:sz w:val="18"/>
          <w:szCs w:val="20"/>
        </w:rPr>
        <w:t>other defensive tactics, if any, implemented by the target company;</w:t>
      </w:r>
    </w:p>
    <w:p w:rsidR="00AC09EB" w:rsidRPr="00AC09EB" w:rsidRDefault="00DC3A87" w:rsidP="00FF0B61">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 xml:space="preserve">The </w:t>
      </w:r>
      <w:r w:rsidR="00AC09EB" w:rsidRPr="00AC09EB">
        <w:rPr>
          <w:rFonts w:asciiTheme="minorHAnsi" w:hAnsiTheme="minorHAnsi"/>
          <w:sz w:val="18"/>
          <w:szCs w:val="20"/>
        </w:rPr>
        <w:t>number of potential, viable offerors;</w:t>
      </w:r>
    </w:p>
    <w:p w:rsidR="00AC09EB" w:rsidRPr="00AC09EB" w:rsidRDefault="00DC3A87" w:rsidP="00FF0B61">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 xml:space="preserve">The </w:t>
      </w:r>
      <w:r w:rsidR="00AC09EB" w:rsidRPr="00AC09EB">
        <w:rPr>
          <w:rFonts w:asciiTheme="minorHAnsi" w:hAnsiTheme="minorHAnsi"/>
          <w:sz w:val="18"/>
          <w:szCs w:val="20"/>
        </w:rPr>
        <w:t>steps taken by the target company to find an alternative bid or transaction</w:t>
      </w:r>
      <w:r w:rsidR="007E35B5">
        <w:rPr>
          <w:rFonts w:asciiTheme="minorHAnsi" w:hAnsiTheme="minorHAnsi"/>
          <w:sz w:val="18"/>
          <w:szCs w:val="20"/>
        </w:rPr>
        <w:t xml:space="preserve"> that would be better for the SH’</w:t>
      </w:r>
      <w:r w:rsidR="00AC09EB" w:rsidRPr="00AC09EB">
        <w:rPr>
          <w:rFonts w:asciiTheme="minorHAnsi" w:hAnsiTheme="minorHAnsi"/>
          <w:sz w:val="18"/>
          <w:szCs w:val="20"/>
        </w:rPr>
        <w:t>s;</w:t>
      </w:r>
    </w:p>
    <w:p w:rsidR="00AC09EB" w:rsidRPr="00AC09EB" w:rsidRDefault="00DC3A87" w:rsidP="00FF0B61">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 xml:space="preserve">The </w:t>
      </w:r>
      <w:r w:rsidR="00AC09EB" w:rsidRPr="00AC09EB">
        <w:rPr>
          <w:rFonts w:asciiTheme="minorHAnsi" w:hAnsiTheme="minorHAnsi"/>
          <w:sz w:val="18"/>
          <w:szCs w:val="20"/>
        </w:rPr>
        <w:t>likelihood that, if given further time, the target company will be able to find a better bid or transaction</w:t>
      </w:r>
      <w:r w:rsidR="007B0D2C">
        <w:rPr>
          <w:rFonts w:asciiTheme="minorHAnsi" w:hAnsiTheme="minorHAnsi"/>
          <w:sz w:val="18"/>
          <w:szCs w:val="20"/>
        </w:rPr>
        <w:t xml:space="preserve"> (</w:t>
      </w:r>
      <w:r w:rsidR="007B0D2C" w:rsidRPr="007B0D2C">
        <w:rPr>
          <w:rFonts w:asciiTheme="minorHAnsi" w:hAnsiTheme="minorHAnsi"/>
          <w:b/>
          <w:sz w:val="18"/>
          <w:szCs w:val="20"/>
        </w:rPr>
        <w:t>e.g.</w:t>
      </w:r>
      <w:r w:rsidR="007B0D2C">
        <w:rPr>
          <w:rFonts w:asciiTheme="minorHAnsi" w:hAnsiTheme="minorHAnsi"/>
          <w:sz w:val="18"/>
          <w:szCs w:val="20"/>
        </w:rPr>
        <w:t xml:space="preserve"> Market conditions – there may not be another bidder out there)</w:t>
      </w:r>
      <w:r w:rsidR="00AC09EB" w:rsidRPr="00AC09EB">
        <w:rPr>
          <w:rFonts w:asciiTheme="minorHAnsi" w:hAnsiTheme="minorHAnsi"/>
          <w:sz w:val="18"/>
          <w:szCs w:val="20"/>
        </w:rPr>
        <w:t>;</w:t>
      </w:r>
    </w:p>
    <w:p w:rsidR="00AC09EB" w:rsidRPr="00044416" w:rsidRDefault="00DC3A87" w:rsidP="00FF0B61">
      <w:pPr>
        <w:pStyle w:val="Normal1"/>
        <w:widowControl w:val="0"/>
        <w:numPr>
          <w:ilvl w:val="1"/>
          <w:numId w:val="118"/>
        </w:numPr>
        <w:spacing w:line="240" w:lineRule="auto"/>
        <w:contextualSpacing/>
        <w:rPr>
          <w:rFonts w:asciiTheme="minorHAnsi" w:hAnsiTheme="minorHAnsi"/>
          <w:b/>
          <w:sz w:val="18"/>
          <w:szCs w:val="20"/>
        </w:rPr>
      </w:pPr>
      <w:r w:rsidRPr="00044416">
        <w:rPr>
          <w:rFonts w:asciiTheme="minorHAnsi" w:hAnsiTheme="minorHAnsi"/>
          <w:b/>
          <w:sz w:val="18"/>
          <w:szCs w:val="20"/>
        </w:rPr>
        <w:t xml:space="preserve">The </w:t>
      </w:r>
      <w:r w:rsidR="00AC09EB" w:rsidRPr="00044416">
        <w:rPr>
          <w:rFonts w:asciiTheme="minorHAnsi" w:hAnsiTheme="minorHAnsi"/>
          <w:b/>
          <w:sz w:val="18"/>
          <w:szCs w:val="20"/>
        </w:rPr>
        <w:t>nature of the bid, including whether it is coercive or unfair to the shareholders of the target company;</w:t>
      </w:r>
    </w:p>
    <w:p w:rsidR="00AC09EB" w:rsidRPr="00AC09EB" w:rsidRDefault="00DC3A87" w:rsidP="00FF0B61">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 xml:space="preserve">The </w:t>
      </w:r>
      <w:r w:rsidR="00AC09EB" w:rsidRPr="00AC09EB">
        <w:rPr>
          <w:rFonts w:asciiTheme="minorHAnsi" w:hAnsiTheme="minorHAnsi"/>
          <w:sz w:val="18"/>
          <w:szCs w:val="20"/>
        </w:rPr>
        <w:t>length of time since the bid was announced and made;</w:t>
      </w:r>
    </w:p>
    <w:p w:rsidR="005B217D" w:rsidRPr="008B5650" w:rsidRDefault="00DC3A87" w:rsidP="008B5650">
      <w:pPr>
        <w:pStyle w:val="Normal1"/>
        <w:widowControl w:val="0"/>
        <w:numPr>
          <w:ilvl w:val="1"/>
          <w:numId w:val="118"/>
        </w:numPr>
        <w:spacing w:line="240" w:lineRule="auto"/>
        <w:contextualSpacing/>
        <w:rPr>
          <w:rFonts w:asciiTheme="minorHAnsi" w:hAnsiTheme="minorHAnsi"/>
          <w:sz w:val="18"/>
          <w:szCs w:val="20"/>
        </w:rPr>
      </w:pPr>
      <w:r w:rsidRPr="00AC09EB">
        <w:rPr>
          <w:rFonts w:asciiTheme="minorHAnsi" w:hAnsiTheme="minorHAnsi"/>
          <w:sz w:val="18"/>
          <w:szCs w:val="20"/>
        </w:rPr>
        <w:t xml:space="preserve">The </w:t>
      </w:r>
      <w:r w:rsidR="00AC09EB" w:rsidRPr="00AC09EB">
        <w:rPr>
          <w:rFonts w:asciiTheme="minorHAnsi" w:hAnsiTheme="minorHAnsi"/>
          <w:sz w:val="18"/>
          <w:szCs w:val="20"/>
        </w:rPr>
        <w:t>likelihood that the bid will not be extended if the rights plan is not terminated.</w:t>
      </w:r>
      <w:r w:rsidR="005B217D" w:rsidRPr="008B5650">
        <w:rPr>
          <w:rFonts w:asciiTheme="minorHAnsi" w:hAnsiTheme="minorHAnsi"/>
          <w:sz w:val="18"/>
          <w:szCs w:val="20"/>
        </w:rPr>
        <w:t xml:space="preserve"> </w:t>
      </w:r>
    </w:p>
    <w:p w:rsidR="00F02430" w:rsidRPr="00AC09EB" w:rsidRDefault="00F02430" w:rsidP="00FF0B61">
      <w:pPr>
        <w:pStyle w:val="Normal1"/>
        <w:widowControl w:val="0"/>
        <w:spacing w:line="240" w:lineRule="auto"/>
        <w:ind w:left="720"/>
        <w:contextualSpacing/>
        <w:rPr>
          <w:rFonts w:asciiTheme="minorHAnsi" w:hAnsiTheme="minorHAnsi"/>
          <w:sz w:val="18"/>
          <w:szCs w:val="20"/>
        </w:rPr>
      </w:pPr>
    </w:p>
    <w:p w:rsidR="00F02430" w:rsidRDefault="00F02430" w:rsidP="00FF0B61">
      <w:pPr>
        <w:pStyle w:val="Heading2"/>
        <w:spacing w:line="240" w:lineRule="auto"/>
      </w:pPr>
      <w:bookmarkStart w:id="84" w:name="_Toc468980455"/>
      <w:r>
        <w:t>Commission + Court Powers: Regulatory Responsibilities vs Court Powers</w:t>
      </w:r>
      <w:bookmarkEnd w:id="84"/>
      <w:r>
        <w:t xml:space="preserve"> </w:t>
      </w:r>
    </w:p>
    <w:p w:rsidR="00080A36" w:rsidRDefault="00080A36" w:rsidP="00FF0B61">
      <w:pPr>
        <w:pStyle w:val="Normal1"/>
        <w:widowControl w:val="0"/>
        <w:spacing w:line="240" w:lineRule="auto"/>
        <w:contextualSpacing/>
        <w:rPr>
          <w:rFonts w:asciiTheme="minorHAnsi" w:hAnsiTheme="minorHAnsi"/>
          <w:sz w:val="18"/>
          <w:szCs w:val="18"/>
        </w:rPr>
      </w:pPr>
      <w:r>
        <w:rPr>
          <w:rFonts w:asciiTheme="minorHAnsi" w:hAnsiTheme="minorHAnsi"/>
          <w:b/>
          <w:sz w:val="18"/>
          <w:szCs w:val="18"/>
        </w:rPr>
        <w:t xml:space="preserve">“Interested person” </w:t>
      </w:r>
      <w:r>
        <w:rPr>
          <w:rFonts w:asciiTheme="minorHAnsi" w:hAnsiTheme="minorHAnsi"/>
          <w:sz w:val="18"/>
          <w:szCs w:val="18"/>
        </w:rPr>
        <w:t>(</w:t>
      </w:r>
      <w:r w:rsidRPr="0063497D">
        <w:rPr>
          <w:rFonts w:asciiTheme="minorHAnsi" w:hAnsiTheme="minorHAnsi"/>
          <w:b/>
          <w:color w:val="C45911" w:themeColor="accent2" w:themeShade="BF"/>
          <w:sz w:val="18"/>
          <w:szCs w:val="18"/>
        </w:rPr>
        <w:t>BCSA 92</w:t>
      </w:r>
      <w:r>
        <w:rPr>
          <w:rFonts w:asciiTheme="minorHAnsi" w:hAnsiTheme="minorHAnsi"/>
          <w:sz w:val="18"/>
          <w:szCs w:val="18"/>
        </w:rPr>
        <w:t xml:space="preserve">) -  an offeree issues; and OFR; DIR or securityholder of an offeree issues; an offeror; the DIR; or any person that the Commission considers to be a “proper person” to apply. </w:t>
      </w:r>
    </w:p>
    <w:p w:rsidR="00080A36" w:rsidRDefault="00080A36" w:rsidP="00FF0B61">
      <w:pPr>
        <w:pStyle w:val="Normal1"/>
        <w:widowControl w:val="0"/>
        <w:spacing w:line="240" w:lineRule="auto"/>
        <w:contextualSpacing/>
        <w:rPr>
          <w:rFonts w:asciiTheme="minorHAnsi" w:hAnsiTheme="minorHAnsi"/>
          <w:b/>
          <w:sz w:val="18"/>
          <w:szCs w:val="18"/>
        </w:rPr>
      </w:pPr>
    </w:p>
    <w:p w:rsidR="00080A36" w:rsidRPr="001B311B" w:rsidRDefault="00080A36" w:rsidP="00FF0B61">
      <w:pPr>
        <w:pStyle w:val="Normal1"/>
        <w:widowControl w:val="0"/>
        <w:spacing w:line="240" w:lineRule="auto"/>
        <w:contextualSpacing/>
        <w:rPr>
          <w:rFonts w:asciiTheme="minorHAnsi" w:hAnsiTheme="minorHAnsi"/>
          <w:sz w:val="18"/>
          <w:szCs w:val="18"/>
        </w:rPr>
      </w:pPr>
      <w:r>
        <w:rPr>
          <w:rFonts w:asciiTheme="minorHAnsi" w:hAnsiTheme="minorHAnsi"/>
          <w:b/>
          <w:sz w:val="18"/>
          <w:szCs w:val="18"/>
        </w:rPr>
        <w:t>APPLICATION TO THE COMMISSION (</w:t>
      </w:r>
      <w:r w:rsidRPr="00080A36">
        <w:rPr>
          <w:rFonts w:asciiTheme="minorHAnsi" w:hAnsiTheme="minorHAnsi"/>
          <w:b/>
          <w:color w:val="C45911" w:themeColor="accent2" w:themeShade="BF"/>
          <w:sz w:val="18"/>
          <w:szCs w:val="18"/>
        </w:rPr>
        <w:t>BCSA 114</w:t>
      </w:r>
      <w:r>
        <w:rPr>
          <w:rFonts w:asciiTheme="minorHAnsi" w:hAnsiTheme="minorHAnsi"/>
          <w:b/>
          <w:sz w:val="18"/>
          <w:szCs w:val="18"/>
        </w:rPr>
        <w:t>)</w:t>
      </w:r>
      <w:r w:rsidR="001B311B">
        <w:rPr>
          <w:rFonts w:asciiTheme="minorHAnsi" w:hAnsiTheme="minorHAnsi"/>
          <w:b/>
          <w:sz w:val="18"/>
          <w:szCs w:val="18"/>
        </w:rPr>
        <w:t xml:space="preserve"> (</w:t>
      </w:r>
      <w:r w:rsidR="001B311B">
        <w:rPr>
          <w:rFonts w:asciiTheme="minorHAnsi" w:hAnsiTheme="minorHAnsi"/>
          <w:sz w:val="18"/>
          <w:szCs w:val="18"/>
        </w:rPr>
        <w:t>Commission is faster, has expertise, better suited to short timeframes)</w:t>
      </w:r>
    </w:p>
    <w:p w:rsidR="00080A36" w:rsidRDefault="00080A36" w:rsidP="00FF0B61">
      <w:pPr>
        <w:pStyle w:val="Normal1"/>
        <w:widowControl w:val="0"/>
        <w:numPr>
          <w:ilvl w:val="0"/>
          <w:numId w:val="129"/>
        </w:numPr>
        <w:spacing w:line="240" w:lineRule="auto"/>
        <w:contextualSpacing/>
        <w:rPr>
          <w:rFonts w:asciiTheme="minorHAnsi" w:hAnsiTheme="minorHAnsi"/>
          <w:b/>
          <w:sz w:val="18"/>
          <w:szCs w:val="18"/>
        </w:rPr>
      </w:pPr>
      <w:r w:rsidRPr="00080A36">
        <w:rPr>
          <w:rFonts w:asciiTheme="minorHAnsi" w:hAnsiTheme="minorHAnsi"/>
          <w:b/>
          <w:color w:val="C45911" w:themeColor="accent2" w:themeShade="BF"/>
          <w:sz w:val="18"/>
          <w:szCs w:val="18"/>
        </w:rPr>
        <w:t xml:space="preserve">114(1): </w:t>
      </w:r>
      <w:r>
        <w:rPr>
          <w:rFonts w:asciiTheme="minorHAnsi" w:hAnsiTheme="minorHAnsi"/>
          <w:sz w:val="18"/>
          <w:szCs w:val="18"/>
        </w:rPr>
        <w:t xml:space="preserve">On app </w:t>
      </w:r>
      <w:r w:rsidRPr="00080A36">
        <w:rPr>
          <w:rFonts w:asciiTheme="minorHAnsi" w:hAnsiTheme="minorHAnsi"/>
          <w:sz w:val="18"/>
          <w:szCs w:val="18"/>
        </w:rPr>
        <w:t xml:space="preserve">of an </w:t>
      </w:r>
      <w:r w:rsidR="004A0B0D">
        <w:rPr>
          <w:rFonts w:asciiTheme="minorHAnsi" w:hAnsiTheme="minorHAnsi"/>
          <w:sz w:val="18"/>
          <w:szCs w:val="18"/>
        </w:rPr>
        <w:t>“</w:t>
      </w:r>
      <w:r w:rsidRPr="004A0B0D">
        <w:rPr>
          <w:rFonts w:asciiTheme="minorHAnsi" w:hAnsiTheme="minorHAnsi"/>
          <w:b/>
          <w:sz w:val="18"/>
          <w:szCs w:val="18"/>
        </w:rPr>
        <w:t>interested person</w:t>
      </w:r>
      <w:r w:rsidRPr="00080A36">
        <w:rPr>
          <w:rFonts w:asciiTheme="minorHAnsi" w:hAnsiTheme="minorHAnsi"/>
          <w:sz w:val="18"/>
          <w:szCs w:val="18"/>
        </w:rPr>
        <w:t>,</w:t>
      </w:r>
      <w:r w:rsidR="001B311B">
        <w:rPr>
          <w:rFonts w:asciiTheme="minorHAnsi" w:hAnsiTheme="minorHAnsi"/>
          <w:sz w:val="18"/>
          <w:szCs w:val="18"/>
        </w:rPr>
        <w:t>”</w:t>
      </w:r>
      <w:r w:rsidRPr="00080A36">
        <w:rPr>
          <w:rFonts w:asciiTheme="minorHAnsi" w:hAnsiTheme="minorHAnsi"/>
          <w:sz w:val="18"/>
          <w:szCs w:val="18"/>
        </w:rPr>
        <w:t xml:space="preserve"> if a Commission has determined a contravention</w:t>
      </w:r>
      <w:r w:rsidR="004A0B0D">
        <w:rPr>
          <w:rFonts w:asciiTheme="minorHAnsi" w:hAnsiTheme="minorHAnsi"/>
          <w:sz w:val="18"/>
          <w:szCs w:val="18"/>
        </w:rPr>
        <w:t xml:space="preserve"> (has to consider – not on BofP or Rules of E)</w:t>
      </w:r>
      <w:r w:rsidRPr="00080A36">
        <w:rPr>
          <w:rFonts w:asciiTheme="minorHAnsi" w:hAnsiTheme="minorHAnsi"/>
          <w:sz w:val="18"/>
          <w:szCs w:val="18"/>
        </w:rPr>
        <w:t xml:space="preserve">, may order </w:t>
      </w:r>
      <w:r w:rsidRPr="00080A36">
        <w:rPr>
          <w:rFonts w:asciiTheme="minorHAnsi" w:hAnsiTheme="minorHAnsi"/>
          <w:b/>
          <w:sz w:val="18"/>
          <w:szCs w:val="18"/>
        </w:rPr>
        <w:t>(a</w:t>
      </w:r>
      <w:r w:rsidRPr="00080A36">
        <w:rPr>
          <w:rFonts w:asciiTheme="minorHAnsi" w:hAnsiTheme="minorHAnsi"/>
          <w:b/>
          <w:sz w:val="18"/>
          <w:szCs w:val="18"/>
          <w:u w:val="single"/>
        </w:rPr>
        <w:t>)</w:t>
      </w:r>
      <w:r w:rsidRPr="00080A36">
        <w:rPr>
          <w:rFonts w:asciiTheme="minorHAnsi" w:hAnsiTheme="minorHAnsi"/>
          <w:sz w:val="18"/>
          <w:szCs w:val="18"/>
          <w:u w:val="single"/>
        </w:rPr>
        <w:t xml:space="preserve"> Restraining the distribution</w:t>
      </w:r>
      <w:r w:rsidRPr="00080A36">
        <w:rPr>
          <w:rFonts w:asciiTheme="minorHAnsi" w:hAnsiTheme="minorHAnsi"/>
          <w:sz w:val="18"/>
          <w:szCs w:val="18"/>
        </w:rPr>
        <w:t xml:space="preserve"> of any record used or issued in connection with a TOB, </w:t>
      </w:r>
      <w:r w:rsidRPr="00080A36">
        <w:rPr>
          <w:rFonts w:asciiTheme="minorHAnsi" w:hAnsiTheme="minorHAnsi"/>
          <w:b/>
          <w:sz w:val="18"/>
          <w:szCs w:val="18"/>
        </w:rPr>
        <w:t>(b)</w:t>
      </w:r>
      <w:r>
        <w:rPr>
          <w:rFonts w:asciiTheme="minorHAnsi" w:hAnsiTheme="minorHAnsi"/>
          <w:b/>
          <w:sz w:val="18"/>
          <w:szCs w:val="18"/>
        </w:rPr>
        <w:t xml:space="preserve"> </w:t>
      </w:r>
      <w:r w:rsidRPr="00080A36">
        <w:rPr>
          <w:rFonts w:asciiTheme="minorHAnsi" w:hAnsiTheme="minorHAnsi"/>
          <w:sz w:val="18"/>
          <w:szCs w:val="18"/>
        </w:rPr>
        <w:t xml:space="preserve">Requiring </w:t>
      </w:r>
      <w:r w:rsidRPr="00080A36">
        <w:rPr>
          <w:rFonts w:asciiTheme="minorHAnsi" w:hAnsiTheme="minorHAnsi"/>
          <w:b/>
          <w:i/>
          <w:sz w:val="18"/>
          <w:szCs w:val="18"/>
        </w:rPr>
        <w:t>an amendment to or variation of any record used or issued in connection with a TOB</w:t>
      </w:r>
      <w:r w:rsidRPr="00080A36">
        <w:rPr>
          <w:rFonts w:asciiTheme="minorHAnsi" w:hAnsiTheme="minorHAnsi"/>
          <w:sz w:val="18"/>
          <w:szCs w:val="18"/>
        </w:rPr>
        <w:t xml:space="preserve"> and require it to be distributed </w:t>
      </w:r>
      <w:r w:rsidRPr="00080A36">
        <w:rPr>
          <w:rFonts w:asciiTheme="minorHAnsi" w:hAnsiTheme="minorHAnsi"/>
          <w:b/>
          <w:sz w:val="18"/>
          <w:szCs w:val="18"/>
        </w:rPr>
        <w:t>(c)</w:t>
      </w:r>
      <w:r>
        <w:rPr>
          <w:rFonts w:asciiTheme="minorHAnsi" w:hAnsiTheme="minorHAnsi"/>
          <w:b/>
          <w:sz w:val="18"/>
          <w:szCs w:val="18"/>
        </w:rPr>
        <w:t xml:space="preserve"> </w:t>
      </w:r>
      <w:r w:rsidRPr="001B311B">
        <w:rPr>
          <w:rFonts w:asciiTheme="minorHAnsi" w:hAnsiTheme="minorHAnsi"/>
          <w:sz w:val="18"/>
          <w:szCs w:val="18"/>
          <w:u w:val="single"/>
        </w:rPr>
        <w:t>Directing any person to comply</w:t>
      </w:r>
      <w:r>
        <w:rPr>
          <w:rFonts w:asciiTheme="minorHAnsi" w:hAnsiTheme="minorHAnsi"/>
          <w:sz w:val="18"/>
          <w:szCs w:val="18"/>
        </w:rPr>
        <w:t xml:space="preserve"> with a req’t </w:t>
      </w:r>
      <w:r w:rsidRPr="00080A36">
        <w:rPr>
          <w:rFonts w:asciiTheme="minorHAnsi" w:hAnsiTheme="minorHAnsi"/>
          <w:sz w:val="18"/>
          <w:szCs w:val="18"/>
        </w:rPr>
        <w:t xml:space="preserve">under this part </w:t>
      </w:r>
      <w:r w:rsidRPr="00080A36">
        <w:rPr>
          <w:rFonts w:asciiTheme="minorHAnsi" w:hAnsiTheme="minorHAnsi"/>
          <w:b/>
          <w:sz w:val="18"/>
          <w:szCs w:val="18"/>
        </w:rPr>
        <w:t>(d)</w:t>
      </w:r>
      <w:r>
        <w:rPr>
          <w:rFonts w:asciiTheme="minorHAnsi" w:hAnsiTheme="minorHAnsi"/>
          <w:b/>
          <w:sz w:val="18"/>
          <w:szCs w:val="18"/>
        </w:rPr>
        <w:t xml:space="preserve"> </w:t>
      </w:r>
      <w:r w:rsidRPr="001B311B">
        <w:rPr>
          <w:rFonts w:asciiTheme="minorHAnsi" w:hAnsiTheme="minorHAnsi"/>
          <w:b/>
          <w:i/>
          <w:sz w:val="18"/>
          <w:szCs w:val="18"/>
        </w:rPr>
        <w:t>Retrain someone from contravening</w:t>
      </w:r>
      <w:r w:rsidRPr="00080A36">
        <w:rPr>
          <w:rFonts w:asciiTheme="minorHAnsi" w:hAnsiTheme="minorHAnsi"/>
          <w:b/>
          <w:sz w:val="18"/>
          <w:szCs w:val="18"/>
        </w:rPr>
        <w:t xml:space="preserve"> (e)</w:t>
      </w:r>
      <w:r>
        <w:rPr>
          <w:rFonts w:asciiTheme="minorHAnsi" w:hAnsiTheme="minorHAnsi"/>
          <w:b/>
          <w:sz w:val="18"/>
          <w:szCs w:val="18"/>
        </w:rPr>
        <w:t xml:space="preserve"> </w:t>
      </w:r>
      <w:r w:rsidRPr="001B311B">
        <w:rPr>
          <w:rFonts w:asciiTheme="minorHAnsi" w:hAnsiTheme="minorHAnsi"/>
          <w:sz w:val="18"/>
          <w:szCs w:val="18"/>
          <w:u w:val="single"/>
        </w:rPr>
        <w:t>Direct the DIRs and OFRs</w:t>
      </w:r>
      <w:r>
        <w:rPr>
          <w:rFonts w:asciiTheme="minorHAnsi" w:hAnsiTheme="minorHAnsi"/>
          <w:sz w:val="18"/>
          <w:szCs w:val="18"/>
        </w:rPr>
        <w:t xml:space="preserve"> </w:t>
      </w:r>
      <w:r w:rsidRPr="00080A36">
        <w:rPr>
          <w:rFonts w:asciiTheme="minorHAnsi" w:hAnsiTheme="minorHAnsi"/>
          <w:sz w:val="18"/>
          <w:szCs w:val="18"/>
        </w:rPr>
        <w:t>of any person to cause the person to comply.</w:t>
      </w:r>
    </w:p>
    <w:p w:rsidR="001D4173" w:rsidRDefault="00080A36" w:rsidP="00FF0B61">
      <w:pPr>
        <w:pStyle w:val="Normal1"/>
        <w:widowControl w:val="0"/>
        <w:numPr>
          <w:ilvl w:val="0"/>
          <w:numId w:val="129"/>
        </w:numPr>
        <w:spacing w:line="240" w:lineRule="auto"/>
        <w:contextualSpacing/>
        <w:rPr>
          <w:rFonts w:asciiTheme="minorHAnsi" w:hAnsiTheme="minorHAnsi"/>
          <w:b/>
          <w:i/>
          <w:sz w:val="18"/>
          <w:szCs w:val="18"/>
        </w:rPr>
      </w:pPr>
      <w:r w:rsidRPr="00080A36">
        <w:rPr>
          <w:rFonts w:asciiTheme="minorHAnsi" w:hAnsiTheme="minorHAnsi"/>
          <w:b/>
          <w:color w:val="C45911" w:themeColor="accent2" w:themeShade="BF"/>
          <w:sz w:val="18"/>
          <w:szCs w:val="18"/>
        </w:rPr>
        <w:t xml:space="preserve">114(2): </w:t>
      </w:r>
      <w:r w:rsidR="001D4173" w:rsidRPr="00080A36">
        <w:rPr>
          <w:rFonts w:asciiTheme="minorHAnsi" w:hAnsiTheme="minorHAnsi"/>
          <w:sz w:val="18"/>
          <w:szCs w:val="18"/>
        </w:rPr>
        <w:t xml:space="preserve">The Commissions </w:t>
      </w:r>
      <w:r w:rsidR="001D4173" w:rsidRPr="00080A36">
        <w:rPr>
          <w:rFonts w:asciiTheme="minorHAnsi" w:hAnsiTheme="minorHAnsi"/>
          <w:sz w:val="18"/>
          <w:szCs w:val="18"/>
          <w:u w:val="single"/>
        </w:rPr>
        <w:t>have the discretion</w:t>
      </w:r>
      <w:r w:rsidR="001D4173" w:rsidRPr="00080A36">
        <w:rPr>
          <w:rFonts w:asciiTheme="minorHAnsi" w:hAnsiTheme="minorHAnsi"/>
          <w:sz w:val="18"/>
          <w:szCs w:val="18"/>
        </w:rPr>
        <w:t xml:space="preserve"> to exempt parties from any of the TOB or IB requirements, where doing so is </w:t>
      </w:r>
      <w:r w:rsidR="001D4173" w:rsidRPr="00080A36">
        <w:rPr>
          <w:rFonts w:asciiTheme="minorHAnsi" w:hAnsiTheme="minorHAnsi"/>
          <w:b/>
          <w:i/>
          <w:sz w:val="18"/>
          <w:szCs w:val="18"/>
        </w:rPr>
        <w:t>not contrary to the public interest</w:t>
      </w:r>
      <w:r w:rsidRPr="00080A36">
        <w:rPr>
          <w:rFonts w:asciiTheme="minorHAnsi" w:hAnsiTheme="minorHAnsi"/>
          <w:b/>
          <w:i/>
          <w:sz w:val="18"/>
          <w:szCs w:val="18"/>
        </w:rPr>
        <w:t xml:space="preserve">. </w:t>
      </w:r>
      <w:r w:rsidR="001D4173" w:rsidRPr="00080A36">
        <w:rPr>
          <w:rFonts w:asciiTheme="minorHAnsi" w:hAnsiTheme="minorHAnsi"/>
          <w:b/>
          <w:i/>
          <w:sz w:val="18"/>
          <w:szCs w:val="18"/>
        </w:rPr>
        <w:t xml:space="preserve"> </w:t>
      </w:r>
    </w:p>
    <w:p w:rsidR="001B311B" w:rsidRPr="001B311B" w:rsidRDefault="004B0D6E" w:rsidP="00FF0B61">
      <w:pPr>
        <w:pStyle w:val="Normal1"/>
        <w:widowControl w:val="0"/>
        <w:spacing w:line="240" w:lineRule="auto"/>
        <w:contextualSpacing/>
        <w:rPr>
          <w:rFonts w:asciiTheme="minorHAnsi" w:hAnsiTheme="minorHAnsi"/>
          <w:b/>
          <w:i/>
          <w:sz w:val="18"/>
          <w:szCs w:val="18"/>
        </w:rPr>
      </w:pPr>
      <w:r>
        <w:rPr>
          <w:rFonts w:asciiTheme="minorHAnsi" w:hAnsiTheme="minorHAnsi"/>
          <w:b/>
          <w:sz w:val="18"/>
          <w:szCs w:val="20"/>
        </w:rPr>
        <w:t xml:space="preserve">NB: </w:t>
      </w:r>
      <w:r w:rsidR="001B311B" w:rsidRPr="001B311B">
        <w:rPr>
          <w:rFonts w:asciiTheme="minorHAnsi" w:hAnsiTheme="minorHAnsi"/>
          <w:sz w:val="18"/>
          <w:szCs w:val="20"/>
        </w:rPr>
        <w:t>Nothing about K law, fiduciary duties, DIRs remedies or deriva</w:t>
      </w:r>
      <w:r w:rsidR="001B311B">
        <w:rPr>
          <w:rFonts w:asciiTheme="minorHAnsi" w:hAnsiTheme="minorHAnsi"/>
          <w:sz w:val="18"/>
          <w:szCs w:val="20"/>
        </w:rPr>
        <w:t>tives or oppression remedies (BUT see</w:t>
      </w:r>
      <w:r w:rsidR="001B311B" w:rsidRPr="001B311B">
        <w:rPr>
          <w:rFonts w:asciiTheme="minorHAnsi" w:hAnsiTheme="minorHAnsi"/>
          <w:sz w:val="18"/>
          <w:szCs w:val="20"/>
        </w:rPr>
        <w:t xml:space="preserve"> court</w:t>
      </w:r>
      <w:r w:rsidR="001B311B">
        <w:rPr>
          <w:rFonts w:asciiTheme="minorHAnsi" w:hAnsiTheme="minorHAnsi"/>
          <w:sz w:val="18"/>
          <w:szCs w:val="20"/>
        </w:rPr>
        <w:t xml:space="preserve"> powers (below)</w:t>
      </w:r>
      <w:r w:rsidR="001B311B" w:rsidRPr="001B311B">
        <w:rPr>
          <w:rFonts w:asciiTheme="minorHAnsi" w:hAnsiTheme="minorHAnsi"/>
          <w:sz w:val="18"/>
          <w:szCs w:val="20"/>
        </w:rPr>
        <w:t>)</w:t>
      </w:r>
    </w:p>
    <w:p w:rsidR="0063497D" w:rsidRPr="001D4173" w:rsidRDefault="0063497D" w:rsidP="00FF0B61">
      <w:pPr>
        <w:pStyle w:val="Normal1"/>
        <w:widowControl w:val="0"/>
        <w:spacing w:line="240" w:lineRule="auto"/>
        <w:ind w:left="720"/>
        <w:contextualSpacing/>
        <w:rPr>
          <w:rFonts w:asciiTheme="minorHAnsi" w:hAnsiTheme="minorHAnsi"/>
          <w:sz w:val="18"/>
          <w:szCs w:val="18"/>
        </w:rPr>
      </w:pPr>
    </w:p>
    <w:p w:rsidR="00022CE2" w:rsidRDefault="006B1E25" w:rsidP="00FF0B61">
      <w:pPr>
        <w:pStyle w:val="Normal1"/>
        <w:widowControl w:val="0"/>
        <w:spacing w:line="240" w:lineRule="auto"/>
        <w:contextualSpacing/>
        <w:rPr>
          <w:rFonts w:asciiTheme="minorHAnsi" w:hAnsiTheme="minorHAnsi"/>
          <w:b/>
          <w:sz w:val="18"/>
          <w:szCs w:val="20"/>
        </w:rPr>
      </w:pPr>
      <w:r w:rsidRPr="004B0D6E">
        <w:rPr>
          <w:rFonts w:asciiTheme="minorHAnsi" w:hAnsiTheme="minorHAnsi"/>
          <w:b/>
          <w:sz w:val="18"/>
          <w:szCs w:val="20"/>
        </w:rPr>
        <w:t xml:space="preserve">APPLICATIONS TO THE </w:t>
      </w:r>
      <w:r w:rsidR="004B0D6E" w:rsidRPr="004B0D6E">
        <w:rPr>
          <w:rFonts w:asciiTheme="minorHAnsi" w:hAnsiTheme="minorHAnsi"/>
          <w:b/>
          <w:sz w:val="18"/>
          <w:szCs w:val="20"/>
        </w:rPr>
        <w:t>BCSC</w:t>
      </w:r>
      <w:r w:rsidRPr="004B0D6E">
        <w:rPr>
          <w:rFonts w:asciiTheme="minorHAnsi" w:hAnsiTheme="minorHAnsi"/>
          <w:b/>
          <w:sz w:val="18"/>
          <w:szCs w:val="20"/>
        </w:rPr>
        <w:t xml:space="preserve"> (</w:t>
      </w:r>
      <w:r w:rsidRPr="004B0D6E">
        <w:rPr>
          <w:rFonts w:asciiTheme="minorHAnsi" w:hAnsiTheme="minorHAnsi"/>
          <w:b/>
          <w:color w:val="C45911" w:themeColor="accent2" w:themeShade="BF"/>
          <w:sz w:val="18"/>
          <w:szCs w:val="20"/>
        </w:rPr>
        <w:t>BCSA 115</w:t>
      </w:r>
      <w:r w:rsidRPr="004B0D6E">
        <w:rPr>
          <w:rFonts w:asciiTheme="minorHAnsi" w:hAnsiTheme="minorHAnsi"/>
          <w:b/>
          <w:sz w:val="18"/>
          <w:szCs w:val="20"/>
        </w:rPr>
        <w:t xml:space="preserve">) – </w:t>
      </w:r>
      <w:r w:rsidR="004B0D6E" w:rsidRPr="004B0D6E">
        <w:rPr>
          <w:rFonts w:asciiTheme="minorHAnsi" w:hAnsiTheme="minorHAnsi"/>
          <w:sz w:val="18"/>
          <w:szCs w:val="12"/>
        </w:rPr>
        <w:t xml:space="preserve">On application of an </w:t>
      </w:r>
      <w:r w:rsidR="004B0D6E">
        <w:rPr>
          <w:rFonts w:asciiTheme="minorHAnsi" w:hAnsiTheme="minorHAnsi"/>
          <w:sz w:val="18"/>
          <w:szCs w:val="12"/>
        </w:rPr>
        <w:t>“</w:t>
      </w:r>
      <w:r w:rsidR="004B0D6E" w:rsidRPr="004B0D6E">
        <w:rPr>
          <w:rFonts w:asciiTheme="minorHAnsi" w:hAnsiTheme="minorHAnsi"/>
          <w:b/>
          <w:sz w:val="18"/>
          <w:szCs w:val="12"/>
        </w:rPr>
        <w:t>interested person,</w:t>
      </w:r>
      <w:r w:rsidR="004B0D6E">
        <w:rPr>
          <w:rFonts w:asciiTheme="minorHAnsi" w:hAnsiTheme="minorHAnsi"/>
          <w:b/>
          <w:sz w:val="18"/>
          <w:szCs w:val="12"/>
        </w:rPr>
        <w:t>”</w:t>
      </w:r>
      <w:r w:rsidR="004B0D6E" w:rsidRPr="004B0D6E">
        <w:rPr>
          <w:rFonts w:asciiTheme="minorHAnsi" w:hAnsiTheme="minorHAnsi"/>
          <w:sz w:val="18"/>
          <w:szCs w:val="12"/>
        </w:rPr>
        <w:t xml:space="preserve"> if the </w:t>
      </w:r>
      <w:r w:rsidR="004B0D6E">
        <w:rPr>
          <w:rFonts w:asciiTheme="minorHAnsi" w:hAnsiTheme="minorHAnsi"/>
          <w:sz w:val="18"/>
          <w:szCs w:val="12"/>
        </w:rPr>
        <w:t>SC</w:t>
      </w:r>
      <w:r w:rsidR="004B0D6E" w:rsidRPr="004B0D6E">
        <w:rPr>
          <w:rFonts w:asciiTheme="minorHAnsi" w:hAnsiTheme="minorHAnsi"/>
          <w:sz w:val="18"/>
          <w:szCs w:val="12"/>
        </w:rPr>
        <w:t xml:space="preserve"> has determined a contravention</w:t>
      </w:r>
      <w:r w:rsidR="004B0D6E">
        <w:rPr>
          <w:rFonts w:asciiTheme="minorHAnsi" w:hAnsiTheme="minorHAnsi"/>
          <w:sz w:val="18"/>
          <w:szCs w:val="12"/>
        </w:rPr>
        <w:t xml:space="preserve"> (must be satisfied a person has not complied – need E, etc)</w:t>
      </w:r>
      <w:r w:rsidR="004B0D6E" w:rsidRPr="004B0D6E">
        <w:rPr>
          <w:rFonts w:asciiTheme="minorHAnsi" w:hAnsiTheme="minorHAnsi"/>
          <w:sz w:val="18"/>
          <w:szCs w:val="12"/>
        </w:rPr>
        <w:t xml:space="preserve">, </w:t>
      </w:r>
      <w:r w:rsidR="004B0D6E" w:rsidRPr="004B0D6E">
        <w:rPr>
          <w:rFonts w:asciiTheme="minorHAnsi" w:hAnsiTheme="minorHAnsi"/>
          <w:sz w:val="18"/>
          <w:szCs w:val="12"/>
          <w:u w:val="single"/>
        </w:rPr>
        <w:t>it may order</w:t>
      </w:r>
      <w:r w:rsidR="004B0D6E" w:rsidRPr="004B0D6E">
        <w:rPr>
          <w:rFonts w:asciiTheme="minorHAnsi" w:hAnsiTheme="minorHAnsi"/>
          <w:sz w:val="18"/>
          <w:szCs w:val="12"/>
        </w:rPr>
        <w:t xml:space="preserve"> </w:t>
      </w:r>
      <w:r w:rsidR="004B0D6E" w:rsidRPr="004B0D6E">
        <w:rPr>
          <w:rFonts w:asciiTheme="minorHAnsi" w:hAnsiTheme="minorHAnsi"/>
          <w:b/>
          <w:sz w:val="18"/>
          <w:szCs w:val="12"/>
        </w:rPr>
        <w:t>(a)</w:t>
      </w:r>
      <w:r w:rsidR="004B0D6E">
        <w:rPr>
          <w:rFonts w:asciiTheme="minorHAnsi" w:hAnsiTheme="minorHAnsi"/>
          <w:sz w:val="18"/>
          <w:szCs w:val="12"/>
        </w:rPr>
        <w:t xml:space="preserve"> </w:t>
      </w:r>
      <w:r w:rsidR="004B0D6E" w:rsidRPr="004B0D6E">
        <w:rPr>
          <w:rFonts w:asciiTheme="minorHAnsi" w:hAnsiTheme="minorHAnsi"/>
          <w:b/>
          <w:i/>
          <w:sz w:val="18"/>
          <w:szCs w:val="12"/>
        </w:rPr>
        <w:t>Compensating any interested person</w:t>
      </w:r>
      <w:r w:rsidR="004B0D6E" w:rsidRPr="004B0D6E">
        <w:rPr>
          <w:rFonts w:asciiTheme="minorHAnsi" w:hAnsiTheme="minorHAnsi"/>
          <w:sz w:val="18"/>
          <w:szCs w:val="12"/>
        </w:rPr>
        <w:t xml:space="preserve"> wh</w:t>
      </w:r>
      <w:r w:rsidR="004B0D6E">
        <w:rPr>
          <w:rFonts w:asciiTheme="minorHAnsi" w:hAnsiTheme="minorHAnsi"/>
          <w:sz w:val="18"/>
          <w:szCs w:val="12"/>
        </w:rPr>
        <w:t xml:space="preserve">o is a party to the appl </w:t>
      </w:r>
      <w:r w:rsidR="004B0D6E" w:rsidRPr="004B0D6E">
        <w:rPr>
          <w:rFonts w:asciiTheme="minorHAnsi" w:hAnsiTheme="minorHAnsi"/>
          <w:sz w:val="18"/>
          <w:szCs w:val="12"/>
        </w:rPr>
        <w:t xml:space="preserve">for </w:t>
      </w:r>
      <w:r w:rsidR="004B0D6E" w:rsidRPr="004B0D6E">
        <w:rPr>
          <w:rFonts w:asciiTheme="minorHAnsi" w:hAnsiTheme="minorHAnsi"/>
          <w:sz w:val="18"/>
          <w:szCs w:val="12"/>
          <w:u w:val="single"/>
        </w:rPr>
        <w:t>damages suffered</w:t>
      </w:r>
      <w:r w:rsidR="004B0D6E" w:rsidRPr="004B0D6E">
        <w:rPr>
          <w:rFonts w:asciiTheme="minorHAnsi" w:hAnsiTheme="minorHAnsi"/>
          <w:sz w:val="18"/>
          <w:szCs w:val="12"/>
        </w:rPr>
        <w:t xml:space="preserve"> as a result of a contravention of a requirement, </w:t>
      </w:r>
      <w:r w:rsidR="004B0D6E" w:rsidRPr="004B0D6E">
        <w:rPr>
          <w:rFonts w:asciiTheme="minorHAnsi" w:hAnsiTheme="minorHAnsi"/>
          <w:b/>
          <w:sz w:val="18"/>
          <w:szCs w:val="12"/>
        </w:rPr>
        <w:t>(b)</w:t>
      </w:r>
      <w:r w:rsidR="004B0D6E">
        <w:rPr>
          <w:rFonts w:asciiTheme="minorHAnsi" w:hAnsiTheme="minorHAnsi"/>
          <w:sz w:val="18"/>
          <w:szCs w:val="12"/>
        </w:rPr>
        <w:t xml:space="preserve"> </w:t>
      </w:r>
      <w:r w:rsidR="004B0D6E" w:rsidRPr="004B0D6E">
        <w:rPr>
          <w:rFonts w:asciiTheme="minorHAnsi" w:hAnsiTheme="minorHAnsi"/>
          <w:b/>
          <w:i/>
          <w:sz w:val="18"/>
          <w:szCs w:val="12"/>
        </w:rPr>
        <w:t>Rescinding a transaction</w:t>
      </w:r>
      <w:r w:rsidR="004B0D6E" w:rsidRPr="004B0D6E">
        <w:rPr>
          <w:rFonts w:asciiTheme="minorHAnsi" w:hAnsiTheme="minorHAnsi"/>
          <w:sz w:val="18"/>
          <w:szCs w:val="12"/>
        </w:rPr>
        <w:t xml:space="preserve"> with any interested person</w:t>
      </w:r>
      <w:r w:rsidR="004B0D6E" w:rsidRPr="004B0D6E">
        <w:rPr>
          <w:rFonts w:asciiTheme="minorHAnsi" w:hAnsiTheme="minorHAnsi"/>
          <w:b/>
          <w:sz w:val="18"/>
          <w:szCs w:val="12"/>
        </w:rPr>
        <w:t>, (c)</w:t>
      </w:r>
      <w:r w:rsidR="004B0D6E">
        <w:rPr>
          <w:rFonts w:asciiTheme="minorHAnsi" w:hAnsiTheme="minorHAnsi"/>
          <w:b/>
          <w:sz w:val="18"/>
          <w:szCs w:val="12"/>
        </w:rPr>
        <w:t xml:space="preserve"> </w:t>
      </w:r>
      <w:r w:rsidR="004B0D6E" w:rsidRPr="004B0D6E">
        <w:rPr>
          <w:rFonts w:asciiTheme="minorHAnsi" w:hAnsiTheme="minorHAnsi"/>
          <w:sz w:val="18"/>
          <w:szCs w:val="12"/>
        </w:rPr>
        <w:t xml:space="preserve">Requiring any person to </w:t>
      </w:r>
      <w:r w:rsidR="004B0D6E" w:rsidRPr="004B0D6E">
        <w:rPr>
          <w:rFonts w:asciiTheme="minorHAnsi" w:hAnsiTheme="minorHAnsi"/>
          <w:b/>
          <w:i/>
          <w:sz w:val="18"/>
          <w:szCs w:val="12"/>
        </w:rPr>
        <w:t>dispose of any securities acquired through the TOB</w:t>
      </w:r>
      <w:r w:rsidR="004B0D6E" w:rsidRPr="004B0D6E">
        <w:rPr>
          <w:rFonts w:asciiTheme="minorHAnsi" w:hAnsiTheme="minorHAnsi"/>
          <w:sz w:val="18"/>
          <w:szCs w:val="12"/>
        </w:rPr>
        <w:t xml:space="preserve"> </w:t>
      </w:r>
      <w:r w:rsidR="004B0D6E" w:rsidRPr="004B0D6E">
        <w:rPr>
          <w:rFonts w:asciiTheme="minorHAnsi" w:hAnsiTheme="minorHAnsi"/>
          <w:b/>
          <w:sz w:val="18"/>
          <w:szCs w:val="12"/>
        </w:rPr>
        <w:t>(d)</w:t>
      </w:r>
      <w:r w:rsidR="004B0D6E">
        <w:rPr>
          <w:rFonts w:asciiTheme="minorHAnsi" w:hAnsiTheme="minorHAnsi"/>
          <w:b/>
          <w:sz w:val="18"/>
          <w:szCs w:val="12"/>
        </w:rPr>
        <w:t xml:space="preserve"> </w:t>
      </w:r>
      <w:r w:rsidR="004B0D6E" w:rsidRPr="004B0D6E">
        <w:rPr>
          <w:rFonts w:asciiTheme="minorHAnsi" w:hAnsiTheme="minorHAnsi"/>
          <w:sz w:val="18"/>
          <w:szCs w:val="12"/>
          <w:u w:val="single"/>
        </w:rPr>
        <w:t>Prohibit any person</w:t>
      </w:r>
      <w:r w:rsidR="004B0D6E" w:rsidRPr="004B0D6E">
        <w:rPr>
          <w:rFonts w:asciiTheme="minorHAnsi" w:hAnsiTheme="minorHAnsi"/>
          <w:sz w:val="18"/>
          <w:szCs w:val="12"/>
        </w:rPr>
        <w:t xml:space="preserve"> from </w:t>
      </w:r>
      <w:r w:rsidR="004B0D6E" w:rsidRPr="004B0D6E">
        <w:rPr>
          <w:rFonts w:asciiTheme="minorHAnsi" w:hAnsiTheme="minorHAnsi"/>
          <w:b/>
          <w:i/>
          <w:sz w:val="18"/>
          <w:szCs w:val="12"/>
        </w:rPr>
        <w:t>exercising voting rights</w:t>
      </w:r>
      <w:r w:rsidR="004B0D6E" w:rsidRPr="004B0D6E">
        <w:rPr>
          <w:rFonts w:asciiTheme="minorHAnsi" w:hAnsiTheme="minorHAnsi"/>
          <w:sz w:val="18"/>
          <w:szCs w:val="12"/>
        </w:rPr>
        <w:t xml:space="preserve"> </w:t>
      </w:r>
      <w:r w:rsidR="004B0D6E" w:rsidRPr="004B0D6E">
        <w:rPr>
          <w:rFonts w:asciiTheme="minorHAnsi" w:hAnsiTheme="minorHAnsi"/>
          <w:b/>
          <w:sz w:val="18"/>
          <w:szCs w:val="12"/>
        </w:rPr>
        <w:t>(e)</w:t>
      </w:r>
      <w:r w:rsidR="004B0D6E">
        <w:rPr>
          <w:rFonts w:asciiTheme="minorHAnsi" w:hAnsiTheme="minorHAnsi"/>
          <w:b/>
          <w:sz w:val="18"/>
          <w:szCs w:val="12"/>
        </w:rPr>
        <w:t xml:space="preserve"> </w:t>
      </w:r>
      <w:r w:rsidR="004B0D6E" w:rsidRPr="004B0D6E">
        <w:rPr>
          <w:rFonts w:asciiTheme="minorHAnsi" w:hAnsiTheme="minorHAnsi"/>
          <w:sz w:val="18"/>
          <w:szCs w:val="12"/>
          <w:u w:val="single"/>
        </w:rPr>
        <w:t>Require the trial</w:t>
      </w:r>
      <w:r w:rsidR="004B0D6E" w:rsidRPr="004B0D6E">
        <w:rPr>
          <w:rFonts w:asciiTheme="minorHAnsi" w:hAnsiTheme="minorHAnsi"/>
          <w:sz w:val="18"/>
          <w:szCs w:val="12"/>
        </w:rPr>
        <w:t xml:space="preserve"> of an issue.</w:t>
      </w:r>
      <w:r w:rsidR="00F02430" w:rsidRPr="004B0D6E">
        <w:rPr>
          <w:rFonts w:asciiTheme="minorHAnsi" w:hAnsiTheme="minorHAnsi"/>
          <w:b/>
          <w:sz w:val="18"/>
          <w:szCs w:val="20"/>
          <w:highlight w:val="yellow"/>
        </w:rPr>
        <w:br/>
      </w:r>
    </w:p>
    <w:p w:rsidR="002B201A" w:rsidRDefault="002B201A" w:rsidP="00FF0B61">
      <w:pPr>
        <w:pStyle w:val="Heading2"/>
        <w:spacing w:line="240" w:lineRule="auto"/>
      </w:pPr>
      <w:bookmarkStart w:id="85" w:name="_Toc468980456"/>
      <w:r>
        <w:t>Emerging Issues</w:t>
      </w:r>
      <w:bookmarkEnd w:id="85"/>
    </w:p>
    <w:p w:rsidR="002B201A" w:rsidRPr="002B201A" w:rsidRDefault="002B201A" w:rsidP="00FF0B61">
      <w:pPr>
        <w:pStyle w:val="Body"/>
        <w:rPr>
          <w:rFonts w:ascii="Calibri" w:hAnsi="Calibri"/>
          <w:bCs/>
          <w:position w:val="4"/>
          <w:sz w:val="18"/>
          <w:szCs w:val="21"/>
        </w:rPr>
      </w:pPr>
      <w:r w:rsidRPr="002B201A">
        <w:rPr>
          <w:rFonts w:ascii="Calibri" w:hAnsi="Calibri"/>
          <w:b/>
          <w:bCs/>
          <w:position w:val="4"/>
          <w:sz w:val="18"/>
          <w:szCs w:val="21"/>
        </w:rPr>
        <w:t>Derivatives can be used to uncouple legal voting rights and economic exposure.</w:t>
      </w:r>
    </w:p>
    <w:p w:rsidR="002B201A" w:rsidRPr="002B201A" w:rsidRDefault="002B201A" w:rsidP="00FF0B61">
      <w:pPr>
        <w:pStyle w:val="Body"/>
        <w:numPr>
          <w:ilvl w:val="0"/>
          <w:numId w:val="119"/>
        </w:numPr>
        <w:rPr>
          <w:rFonts w:ascii="Calibri" w:hAnsi="Calibri"/>
          <w:bCs/>
          <w:position w:val="4"/>
          <w:sz w:val="18"/>
          <w:szCs w:val="21"/>
        </w:rPr>
      </w:pPr>
      <w:r w:rsidRPr="002B201A">
        <w:rPr>
          <w:rFonts w:ascii="Calibri" w:hAnsi="Calibri"/>
          <w:bCs/>
          <w:position w:val="4"/>
          <w:sz w:val="18"/>
          <w:szCs w:val="21"/>
        </w:rPr>
        <w:t>“</w:t>
      </w:r>
      <w:r w:rsidRPr="002B201A">
        <w:rPr>
          <w:rFonts w:ascii="Calibri" w:hAnsi="Calibri"/>
          <w:b/>
          <w:bCs/>
          <w:position w:val="4"/>
          <w:sz w:val="18"/>
          <w:szCs w:val="21"/>
        </w:rPr>
        <w:t>Empty voting</w:t>
      </w:r>
      <w:r w:rsidRPr="002B201A">
        <w:rPr>
          <w:rFonts w:ascii="Calibri" w:hAnsi="Calibri"/>
          <w:bCs/>
          <w:position w:val="4"/>
          <w:sz w:val="18"/>
          <w:szCs w:val="21"/>
        </w:rPr>
        <w:t>” refers to situations where an investor has voting rights but no net economic exposure to the shares being voted.</w:t>
      </w:r>
    </w:p>
    <w:p w:rsidR="002B201A" w:rsidRPr="00067A08" w:rsidRDefault="002B201A" w:rsidP="00FF0B61">
      <w:pPr>
        <w:pStyle w:val="ListParagraph"/>
        <w:numPr>
          <w:ilvl w:val="0"/>
          <w:numId w:val="119"/>
        </w:numPr>
        <w:rPr>
          <w:sz w:val="14"/>
        </w:rPr>
      </w:pPr>
      <w:r w:rsidRPr="002B201A">
        <w:rPr>
          <w:rFonts w:ascii="Calibri" w:hAnsi="Calibri"/>
          <w:bCs/>
          <w:position w:val="4"/>
          <w:szCs w:val="21"/>
        </w:rPr>
        <w:t>“</w:t>
      </w:r>
      <w:r w:rsidRPr="002B201A">
        <w:rPr>
          <w:rFonts w:ascii="Calibri" w:hAnsi="Calibri"/>
          <w:b/>
          <w:bCs/>
          <w:position w:val="4"/>
          <w:szCs w:val="21"/>
        </w:rPr>
        <w:t>Negative voting</w:t>
      </w:r>
      <w:r w:rsidRPr="002B201A">
        <w:rPr>
          <w:rFonts w:ascii="Calibri" w:hAnsi="Calibri"/>
          <w:bCs/>
          <w:position w:val="4"/>
          <w:szCs w:val="21"/>
        </w:rPr>
        <w:t>” refers to situations where an investor has voting rights and negative net economic exposure to the shares being voted – that is, the investor has an interest in the share price decreasing. This can help to avoid certain disclosure obligations, helping to hide a voting interest until ready.</w:t>
      </w:r>
    </w:p>
    <w:p w:rsidR="00067A08" w:rsidRPr="00067A08" w:rsidRDefault="00067A08" w:rsidP="00FF0B61">
      <w:pPr>
        <w:spacing w:after="0" w:line="240" w:lineRule="auto"/>
        <w:rPr>
          <w:rFonts w:cs="Times New Roman"/>
        </w:rPr>
      </w:pPr>
      <w:r w:rsidRPr="00067A08">
        <w:rPr>
          <w:rFonts w:cs="Times New Roman"/>
          <w:b/>
        </w:rPr>
        <w:t>Hidden ownership</w:t>
      </w:r>
      <w:r w:rsidRPr="00067A08">
        <w:rPr>
          <w:rFonts w:cs="Times New Roman"/>
        </w:rPr>
        <w:t xml:space="preserve">: The investor has economic exposure to the shares but no voting rights. An investor might be able to convert its interest into voting rights (just in time to vote in a TOB). </w:t>
      </w:r>
    </w:p>
    <w:p w:rsidR="00067A08" w:rsidRPr="00067A08" w:rsidRDefault="00067A08" w:rsidP="00FF0B61">
      <w:pPr>
        <w:pStyle w:val="ListParagraph"/>
        <w:numPr>
          <w:ilvl w:val="0"/>
          <w:numId w:val="119"/>
        </w:numPr>
        <w:rPr>
          <w:rFonts w:cs="Times New Roman"/>
        </w:rPr>
      </w:pPr>
      <w:r w:rsidRPr="00067A08">
        <w:rPr>
          <w:rFonts w:cs="Times New Roman"/>
        </w:rPr>
        <w:t xml:space="preserve">The investor avoids disclosure obligations, concealing its economic interest in the issuer. In the context of TOBs, hidden ownership </w:t>
      </w:r>
      <w:r w:rsidRPr="00067A08">
        <w:rPr>
          <w:rFonts w:cs="Times New Roman"/>
          <w:b/>
        </w:rPr>
        <w:t>undermines the early warning regime</w:t>
      </w:r>
      <w:r w:rsidRPr="00067A08">
        <w:rPr>
          <w:rFonts w:cs="Times New Roman"/>
        </w:rPr>
        <w:t xml:space="preserve">, as the investor technically does not have ownership or control.  </w:t>
      </w:r>
    </w:p>
    <w:p w:rsidR="006B1E25" w:rsidRDefault="00022CE2" w:rsidP="00FF0B61">
      <w:pPr>
        <w:pStyle w:val="Heading1"/>
        <w:spacing w:after="0"/>
      </w:pPr>
      <w:bookmarkStart w:id="86" w:name="_Toc468980457"/>
      <w:r w:rsidRPr="00022CE2">
        <w:t>Enforcement</w:t>
      </w:r>
      <w:bookmarkEnd w:id="86"/>
      <w:r w:rsidRPr="00022CE2">
        <w:t xml:space="preserve"> </w:t>
      </w:r>
    </w:p>
    <w:p w:rsidR="006769B7" w:rsidRDefault="006769B7" w:rsidP="00FF0B61">
      <w:pPr>
        <w:pStyle w:val="Normal1"/>
        <w:widowControl w:val="0"/>
        <w:spacing w:line="240" w:lineRule="auto"/>
        <w:contextualSpacing/>
        <w:rPr>
          <w:rFonts w:asciiTheme="minorHAnsi" w:hAnsiTheme="minorHAnsi"/>
          <w:sz w:val="18"/>
          <w:szCs w:val="20"/>
        </w:rPr>
      </w:pPr>
      <w:r w:rsidRPr="006769B7">
        <w:rPr>
          <w:rFonts w:asciiTheme="minorHAnsi" w:hAnsiTheme="minorHAnsi"/>
          <w:sz w:val="18"/>
          <w:szCs w:val="20"/>
        </w:rPr>
        <w:t>Every securities act in Canada has a number of provisions dealing with enforcement falling into three broad categories of enforcement:</w:t>
      </w:r>
      <w:r>
        <w:rPr>
          <w:rFonts w:asciiTheme="minorHAnsi" w:hAnsiTheme="minorHAnsi"/>
          <w:sz w:val="18"/>
          <w:szCs w:val="20"/>
        </w:rPr>
        <w:t xml:space="preserve"> </w:t>
      </w:r>
      <w:r w:rsidRPr="006769B7">
        <w:rPr>
          <w:rFonts w:asciiTheme="minorHAnsi" w:hAnsiTheme="minorHAnsi"/>
          <w:b/>
          <w:sz w:val="18"/>
          <w:szCs w:val="20"/>
        </w:rPr>
        <w:t>Criminal</w:t>
      </w:r>
      <w:r w:rsidRPr="006769B7">
        <w:rPr>
          <w:rFonts w:asciiTheme="minorHAnsi" w:hAnsiTheme="minorHAnsi"/>
          <w:sz w:val="18"/>
          <w:szCs w:val="20"/>
        </w:rPr>
        <w:t xml:space="preserve"> (true criminal from </w:t>
      </w:r>
      <w:r w:rsidRPr="006769B7">
        <w:rPr>
          <w:rFonts w:asciiTheme="minorHAnsi" w:hAnsiTheme="minorHAnsi"/>
          <w:i/>
          <w:sz w:val="18"/>
          <w:szCs w:val="20"/>
        </w:rPr>
        <w:t xml:space="preserve">CCC </w:t>
      </w:r>
      <w:r w:rsidRPr="006769B7">
        <w:rPr>
          <w:rFonts w:asciiTheme="minorHAnsi" w:hAnsiTheme="minorHAnsi"/>
          <w:sz w:val="18"/>
          <w:szCs w:val="20"/>
        </w:rPr>
        <w:t>and quasi-criminal powers in securities regs)</w:t>
      </w:r>
      <w:r w:rsidRPr="0042338D">
        <w:rPr>
          <w:rFonts w:asciiTheme="minorHAnsi" w:hAnsiTheme="minorHAnsi"/>
          <w:b/>
          <w:sz w:val="18"/>
          <w:szCs w:val="20"/>
        </w:rPr>
        <w:t xml:space="preserve"> // </w:t>
      </w:r>
      <w:r w:rsidRPr="006769B7">
        <w:rPr>
          <w:rFonts w:asciiTheme="minorHAnsi" w:hAnsiTheme="minorHAnsi"/>
          <w:b/>
          <w:sz w:val="18"/>
          <w:szCs w:val="20"/>
        </w:rPr>
        <w:t>Civil</w:t>
      </w:r>
      <w:r>
        <w:rPr>
          <w:rFonts w:asciiTheme="minorHAnsi" w:hAnsiTheme="minorHAnsi"/>
          <w:sz w:val="18"/>
          <w:szCs w:val="20"/>
        </w:rPr>
        <w:t xml:space="preserve"> </w:t>
      </w:r>
      <w:r w:rsidRPr="0042338D">
        <w:rPr>
          <w:rFonts w:asciiTheme="minorHAnsi" w:hAnsiTheme="minorHAnsi"/>
          <w:b/>
          <w:sz w:val="18"/>
          <w:szCs w:val="20"/>
        </w:rPr>
        <w:t>//</w:t>
      </w:r>
      <w:r>
        <w:rPr>
          <w:rFonts w:asciiTheme="minorHAnsi" w:hAnsiTheme="minorHAnsi"/>
          <w:sz w:val="18"/>
          <w:szCs w:val="20"/>
        </w:rPr>
        <w:t xml:space="preserve"> </w:t>
      </w:r>
      <w:r w:rsidRPr="006769B7">
        <w:rPr>
          <w:rFonts w:asciiTheme="minorHAnsi" w:hAnsiTheme="minorHAnsi"/>
          <w:b/>
          <w:sz w:val="18"/>
          <w:szCs w:val="20"/>
        </w:rPr>
        <w:t xml:space="preserve">Administrative </w:t>
      </w:r>
      <w:r w:rsidR="00E67001">
        <w:rPr>
          <w:rFonts w:asciiTheme="minorHAnsi" w:hAnsiTheme="minorHAnsi"/>
          <w:sz w:val="18"/>
          <w:szCs w:val="20"/>
        </w:rPr>
        <w:t>- most widely used.</w:t>
      </w:r>
    </w:p>
    <w:p w:rsidR="00E67001" w:rsidRPr="006769B7" w:rsidRDefault="00E67001" w:rsidP="00FF0B61">
      <w:pPr>
        <w:pStyle w:val="Normal1"/>
        <w:widowControl w:val="0"/>
        <w:spacing w:line="240" w:lineRule="auto"/>
        <w:contextualSpacing/>
        <w:rPr>
          <w:rFonts w:asciiTheme="minorHAnsi" w:hAnsiTheme="minorHAnsi"/>
          <w:sz w:val="18"/>
          <w:szCs w:val="20"/>
        </w:rPr>
      </w:pPr>
    </w:p>
    <w:p w:rsidR="007A16C7" w:rsidRPr="007A16C7" w:rsidRDefault="00D722B9" w:rsidP="00FF0B61">
      <w:pPr>
        <w:pStyle w:val="Heading2"/>
        <w:spacing w:line="240" w:lineRule="auto"/>
      </w:pPr>
      <w:bookmarkStart w:id="87" w:name="_Toc468980458"/>
      <w:r>
        <w:t xml:space="preserve">Investigative Provisions </w:t>
      </w:r>
      <w:r w:rsidR="007A16C7" w:rsidRPr="007A16C7">
        <w:t>(</w:t>
      </w:r>
      <w:r w:rsidR="007A16C7" w:rsidRPr="007A16C7">
        <w:rPr>
          <w:color w:val="C45911" w:themeColor="accent2" w:themeShade="BF"/>
        </w:rPr>
        <w:t>Part 17 BCSA</w:t>
      </w:r>
      <w:r w:rsidR="009C0819">
        <w:rPr>
          <w:color w:val="C45911" w:themeColor="accent2" w:themeShade="BF"/>
        </w:rPr>
        <w:t>, ss 141-144</w:t>
      </w:r>
      <w:r w:rsidR="007A16C7" w:rsidRPr="007A16C7">
        <w:t>)</w:t>
      </w:r>
      <w:bookmarkEnd w:id="87"/>
    </w:p>
    <w:p w:rsidR="007C00E5" w:rsidRPr="007C00E5" w:rsidRDefault="007C00E5" w:rsidP="00FF0B61">
      <w:pPr>
        <w:pStyle w:val="ListParagraph"/>
        <w:numPr>
          <w:ilvl w:val="0"/>
          <w:numId w:val="130"/>
        </w:numPr>
        <w:rPr>
          <w:szCs w:val="12"/>
        </w:rPr>
      </w:pPr>
      <w:r w:rsidRPr="00A0550A">
        <w:rPr>
          <w:b/>
          <w:szCs w:val="12"/>
        </w:rPr>
        <w:t xml:space="preserve">Forced Disclosure </w:t>
      </w:r>
      <w:r w:rsidR="00C15F3A" w:rsidRPr="00A0550A">
        <w:rPr>
          <w:b/>
          <w:szCs w:val="12"/>
        </w:rPr>
        <w:t>(</w:t>
      </w:r>
      <w:r w:rsidRPr="00A0550A">
        <w:rPr>
          <w:b/>
          <w:color w:val="C45911" w:themeColor="accent2" w:themeShade="BF"/>
          <w:szCs w:val="12"/>
        </w:rPr>
        <w:t>141</w:t>
      </w:r>
      <w:r w:rsidR="00C15F3A" w:rsidRPr="00A0550A">
        <w:rPr>
          <w:b/>
          <w:szCs w:val="12"/>
        </w:rPr>
        <w:t>)</w:t>
      </w:r>
      <w:r w:rsidRPr="00A0550A">
        <w:rPr>
          <w:b/>
          <w:szCs w:val="12"/>
        </w:rPr>
        <w:t xml:space="preserve">: </w:t>
      </w:r>
      <w:r w:rsidR="00350634" w:rsidRPr="00A0550A">
        <w:rPr>
          <w:szCs w:val="12"/>
        </w:rPr>
        <w:t>Exe</w:t>
      </w:r>
      <w:r w:rsidR="00350634">
        <w:rPr>
          <w:szCs w:val="12"/>
        </w:rPr>
        <w:t xml:space="preserve"> DIRs</w:t>
      </w:r>
      <w:r w:rsidRPr="007C00E5">
        <w:rPr>
          <w:szCs w:val="12"/>
        </w:rPr>
        <w:t xml:space="preserve"> may require certain persons to disclose records or documents during a </w:t>
      </w:r>
      <w:r w:rsidR="00350634" w:rsidRPr="007C00E5">
        <w:rPr>
          <w:szCs w:val="12"/>
        </w:rPr>
        <w:t>formal</w:t>
      </w:r>
      <w:r w:rsidRPr="007C00E5">
        <w:rPr>
          <w:szCs w:val="12"/>
        </w:rPr>
        <w:t xml:space="preserve"> investigation.</w:t>
      </w:r>
    </w:p>
    <w:p w:rsidR="00DA10C2" w:rsidRPr="00C055B1" w:rsidRDefault="00350634" w:rsidP="00FF0B61">
      <w:pPr>
        <w:pStyle w:val="ListParagraph"/>
        <w:numPr>
          <w:ilvl w:val="0"/>
          <w:numId w:val="130"/>
        </w:numPr>
        <w:rPr>
          <w:szCs w:val="12"/>
        </w:rPr>
      </w:pPr>
      <w:r>
        <w:rPr>
          <w:b/>
          <w:szCs w:val="12"/>
        </w:rPr>
        <w:t>Compliance review for SRO or exchange (</w:t>
      </w:r>
      <w:r w:rsidRPr="00A0550A">
        <w:rPr>
          <w:b/>
          <w:color w:val="C45911" w:themeColor="accent2" w:themeShade="BF"/>
          <w:szCs w:val="12"/>
        </w:rPr>
        <w:t>141.1</w:t>
      </w:r>
      <w:r>
        <w:rPr>
          <w:b/>
          <w:szCs w:val="12"/>
        </w:rPr>
        <w:t>)</w:t>
      </w:r>
      <w:r w:rsidR="00C055B1">
        <w:rPr>
          <w:b/>
          <w:szCs w:val="12"/>
        </w:rPr>
        <w:t xml:space="preserve"> // </w:t>
      </w:r>
      <w:r w:rsidRPr="00C055B1">
        <w:rPr>
          <w:b/>
          <w:szCs w:val="12"/>
        </w:rPr>
        <w:t>Compliance review of registrant or custodian (</w:t>
      </w:r>
      <w:r w:rsidRPr="00C055B1">
        <w:rPr>
          <w:b/>
          <w:color w:val="C45911" w:themeColor="accent2" w:themeShade="BF"/>
          <w:szCs w:val="12"/>
        </w:rPr>
        <w:t>141.2</w:t>
      </w:r>
      <w:r w:rsidRPr="00C055B1">
        <w:rPr>
          <w:b/>
          <w:szCs w:val="12"/>
        </w:rPr>
        <w:t>)</w:t>
      </w:r>
      <w:r w:rsidR="00C055B1">
        <w:rPr>
          <w:b/>
          <w:szCs w:val="12"/>
        </w:rPr>
        <w:t xml:space="preserve"> // </w:t>
      </w:r>
      <w:r w:rsidRPr="00C055B1">
        <w:rPr>
          <w:b/>
          <w:szCs w:val="12"/>
        </w:rPr>
        <w:t>Compliance review of reporting issuer (</w:t>
      </w:r>
      <w:r w:rsidRPr="00C055B1">
        <w:rPr>
          <w:b/>
          <w:color w:val="C45911" w:themeColor="accent2" w:themeShade="BF"/>
          <w:szCs w:val="12"/>
        </w:rPr>
        <w:t>141.3</w:t>
      </w:r>
      <w:r w:rsidRPr="00C055B1">
        <w:rPr>
          <w:b/>
          <w:szCs w:val="12"/>
        </w:rPr>
        <w:t>)</w:t>
      </w:r>
      <w:r w:rsidR="00C055B1">
        <w:rPr>
          <w:b/>
          <w:szCs w:val="12"/>
        </w:rPr>
        <w:t xml:space="preserve"> // </w:t>
      </w:r>
      <w:r w:rsidR="00DA10C2" w:rsidRPr="00C055B1">
        <w:rPr>
          <w:b/>
          <w:szCs w:val="12"/>
        </w:rPr>
        <w:t>Compliance review of other market participants (</w:t>
      </w:r>
      <w:r w:rsidR="00DA10C2" w:rsidRPr="00C055B1">
        <w:rPr>
          <w:b/>
          <w:color w:val="C45911" w:themeColor="accent2" w:themeShade="BF"/>
          <w:szCs w:val="12"/>
        </w:rPr>
        <w:t>141.4</w:t>
      </w:r>
      <w:r w:rsidR="00DA10C2" w:rsidRPr="00C055B1">
        <w:rPr>
          <w:b/>
          <w:szCs w:val="12"/>
        </w:rPr>
        <w:t>)</w:t>
      </w:r>
    </w:p>
    <w:p w:rsidR="007C00E5" w:rsidRPr="00A0550A" w:rsidRDefault="007C00E5" w:rsidP="00FF0B61">
      <w:pPr>
        <w:pStyle w:val="ListParagraph"/>
        <w:numPr>
          <w:ilvl w:val="0"/>
          <w:numId w:val="130"/>
        </w:numPr>
        <w:rPr>
          <w:szCs w:val="12"/>
        </w:rPr>
      </w:pPr>
      <w:r w:rsidRPr="00A0550A">
        <w:rPr>
          <w:b/>
          <w:szCs w:val="12"/>
        </w:rPr>
        <w:t>Warrants</w:t>
      </w:r>
      <w:r w:rsidR="00651EE0">
        <w:rPr>
          <w:b/>
          <w:szCs w:val="12"/>
        </w:rPr>
        <w:t xml:space="preserve"> for Private Residence</w:t>
      </w:r>
      <w:r w:rsidRPr="00A0550A">
        <w:rPr>
          <w:b/>
          <w:szCs w:val="12"/>
        </w:rPr>
        <w:t xml:space="preserve"> </w:t>
      </w:r>
      <w:r w:rsidR="00C15F3A" w:rsidRPr="00A0550A">
        <w:rPr>
          <w:b/>
          <w:szCs w:val="12"/>
        </w:rPr>
        <w:t>(</w:t>
      </w:r>
      <w:r w:rsidRPr="00A0550A">
        <w:rPr>
          <w:b/>
          <w:color w:val="C45911" w:themeColor="accent2" w:themeShade="BF"/>
          <w:szCs w:val="12"/>
        </w:rPr>
        <w:t>141.5</w:t>
      </w:r>
      <w:r w:rsidR="00C15F3A" w:rsidRPr="00A0550A">
        <w:rPr>
          <w:b/>
          <w:szCs w:val="12"/>
        </w:rPr>
        <w:t>)</w:t>
      </w:r>
      <w:r w:rsidR="00651EE0">
        <w:rPr>
          <w:szCs w:val="12"/>
        </w:rPr>
        <w:t>:</w:t>
      </w:r>
      <w:r w:rsidRPr="00A0550A">
        <w:rPr>
          <w:szCs w:val="12"/>
        </w:rPr>
        <w:t xml:space="preserve"> Apply to the Court and have reasonable and pro</w:t>
      </w:r>
      <w:r w:rsidR="00651EE0">
        <w:rPr>
          <w:szCs w:val="12"/>
        </w:rPr>
        <w:t xml:space="preserve">bable grounds, as long as </w:t>
      </w:r>
      <w:r w:rsidR="00651EE0" w:rsidRPr="00651EE0">
        <w:rPr>
          <w:b/>
          <w:szCs w:val="12"/>
        </w:rPr>
        <w:t>a)</w:t>
      </w:r>
      <w:r w:rsidR="00651EE0">
        <w:rPr>
          <w:szCs w:val="12"/>
        </w:rPr>
        <w:t xml:space="preserve"> </w:t>
      </w:r>
      <w:r w:rsidRPr="00A0550A">
        <w:rPr>
          <w:szCs w:val="12"/>
        </w:rPr>
        <w:t>Reasonable and probable evidence/re</w:t>
      </w:r>
      <w:r w:rsidR="00651EE0">
        <w:rPr>
          <w:szCs w:val="12"/>
        </w:rPr>
        <w:t>cords is on the premises,</w:t>
      </w:r>
      <w:r w:rsidR="00E308A5">
        <w:rPr>
          <w:szCs w:val="12"/>
        </w:rPr>
        <w:t xml:space="preserve"> </w:t>
      </w:r>
      <w:r w:rsidR="00E308A5">
        <w:rPr>
          <w:b/>
          <w:szCs w:val="12"/>
        </w:rPr>
        <w:t xml:space="preserve">b) </w:t>
      </w:r>
      <w:r w:rsidR="00E308A5">
        <w:rPr>
          <w:szCs w:val="12"/>
        </w:rPr>
        <w:t xml:space="preserve">entry is necessary, </w:t>
      </w:r>
      <w:r w:rsidR="00651EE0">
        <w:rPr>
          <w:szCs w:val="12"/>
        </w:rPr>
        <w:t xml:space="preserve">and </w:t>
      </w:r>
      <w:r w:rsidR="00651EE0">
        <w:rPr>
          <w:b/>
          <w:szCs w:val="12"/>
        </w:rPr>
        <w:t xml:space="preserve">c) </w:t>
      </w:r>
      <w:r w:rsidRPr="00A0550A">
        <w:rPr>
          <w:szCs w:val="12"/>
        </w:rPr>
        <w:t>You have been refused entry or you believe on reasonable grounds you will be denied entry.</w:t>
      </w:r>
    </w:p>
    <w:p w:rsidR="0010236B" w:rsidRPr="0010236B" w:rsidRDefault="007C00E5" w:rsidP="00FF0B61">
      <w:pPr>
        <w:pStyle w:val="ListParagraph"/>
        <w:numPr>
          <w:ilvl w:val="0"/>
          <w:numId w:val="130"/>
        </w:numPr>
        <w:rPr>
          <w:szCs w:val="12"/>
        </w:rPr>
      </w:pPr>
      <w:r w:rsidRPr="00A0550A">
        <w:rPr>
          <w:b/>
          <w:szCs w:val="12"/>
        </w:rPr>
        <w:t xml:space="preserve">Appointing Investigators </w:t>
      </w:r>
      <w:r w:rsidR="00C15F3A" w:rsidRPr="00A0550A">
        <w:rPr>
          <w:b/>
          <w:szCs w:val="12"/>
        </w:rPr>
        <w:t>(</w:t>
      </w:r>
      <w:r w:rsidRPr="00A0550A">
        <w:rPr>
          <w:b/>
          <w:color w:val="C45911" w:themeColor="accent2" w:themeShade="BF"/>
          <w:szCs w:val="12"/>
        </w:rPr>
        <w:t>142</w:t>
      </w:r>
      <w:r w:rsidR="00C15F3A" w:rsidRPr="00A0550A">
        <w:rPr>
          <w:b/>
          <w:szCs w:val="12"/>
        </w:rPr>
        <w:t>)</w:t>
      </w:r>
      <w:r w:rsidRPr="00A0550A">
        <w:rPr>
          <w:szCs w:val="12"/>
        </w:rPr>
        <w:t xml:space="preserve">: </w:t>
      </w:r>
      <w:r w:rsidR="0042338D">
        <w:rPr>
          <w:szCs w:val="12"/>
        </w:rPr>
        <w:t>allows BCSCn</w:t>
      </w:r>
      <w:r w:rsidR="0010236B" w:rsidRPr="0010236B">
        <w:rPr>
          <w:szCs w:val="12"/>
        </w:rPr>
        <w:t xml:space="preserve"> to </w:t>
      </w:r>
      <w:r w:rsidR="0010236B">
        <w:rPr>
          <w:szCs w:val="12"/>
        </w:rPr>
        <w:t>appoint a person to make investigations</w:t>
      </w:r>
      <w:r w:rsidR="0010236B" w:rsidRPr="0010236B">
        <w:rPr>
          <w:szCs w:val="12"/>
        </w:rPr>
        <w:t xml:space="preserve"> </w:t>
      </w:r>
      <w:r w:rsidR="0068730D">
        <w:rPr>
          <w:szCs w:val="12"/>
        </w:rPr>
        <w:t>the commission considers expedient</w:t>
      </w:r>
      <w:r w:rsidR="0010236B" w:rsidRPr="0010236B">
        <w:rPr>
          <w:szCs w:val="12"/>
        </w:rPr>
        <w:t xml:space="preserve">: </w:t>
      </w:r>
    </w:p>
    <w:p w:rsidR="0010236B" w:rsidRPr="0010236B" w:rsidRDefault="0068730D" w:rsidP="00FF0B61">
      <w:pPr>
        <w:pStyle w:val="ListParagraph"/>
        <w:numPr>
          <w:ilvl w:val="1"/>
          <w:numId w:val="130"/>
        </w:numPr>
        <w:rPr>
          <w:szCs w:val="12"/>
        </w:rPr>
      </w:pPr>
      <w:r>
        <w:rPr>
          <w:szCs w:val="12"/>
        </w:rPr>
        <w:t xml:space="preserve">For </w:t>
      </w:r>
      <w:r w:rsidR="0010236B" w:rsidRPr="0010236B">
        <w:rPr>
          <w:szCs w:val="12"/>
        </w:rPr>
        <w:t xml:space="preserve">the administration of the BCSA, </w:t>
      </w:r>
    </w:p>
    <w:p w:rsidR="0010236B" w:rsidRPr="0010236B" w:rsidRDefault="0010236B" w:rsidP="00FF0B61">
      <w:pPr>
        <w:pStyle w:val="ListParagraph"/>
        <w:numPr>
          <w:ilvl w:val="1"/>
          <w:numId w:val="130"/>
        </w:numPr>
        <w:rPr>
          <w:szCs w:val="12"/>
        </w:rPr>
      </w:pPr>
      <w:r w:rsidRPr="0010236B">
        <w:rPr>
          <w:szCs w:val="12"/>
        </w:rPr>
        <w:t xml:space="preserve">the regulation of securities in another province, </w:t>
      </w:r>
    </w:p>
    <w:p w:rsidR="007C00E5" w:rsidRPr="0010236B" w:rsidRDefault="0010236B" w:rsidP="00FF0B61">
      <w:pPr>
        <w:pStyle w:val="ListParagraph"/>
        <w:numPr>
          <w:ilvl w:val="1"/>
          <w:numId w:val="130"/>
        </w:numPr>
        <w:rPr>
          <w:szCs w:val="12"/>
        </w:rPr>
      </w:pPr>
      <w:r w:rsidRPr="0010236B">
        <w:rPr>
          <w:szCs w:val="12"/>
        </w:rPr>
        <w:t>in respect of matters regarding securities traded in BC/another jurisdiction</w:t>
      </w:r>
    </w:p>
    <w:p w:rsidR="007C00E5" w:rsidRPr="00E67001" w:rsidRDefault="00C11766" w:rsidP="00FF0B61">
      <w:pPr>
        <w:pStyle w:val="ListParagraph"/>
        <w:numPr>
          <w:ilvl w:val="2"/>
          <w:numId w:val="130"/>
        </w:numPr>
        <w:rPr>
          <w:szCs w:val="12"/>
        </w:rPr>
      </w:pPr>
      <w:r>
        <w:rPr>
          <w:b/>
          <w:szCs w:val="12"/>
        </w:rPr>
        <w:t>Powers (</w:t>
      </w:r>
      <w:r w:rsidRPr="00C11766">
        <w:rPr>
          <w:b/>
          <w:color w:val="C45911" w:themeColor="accent2" w:themeShade="BF"/>
          <w:szCs w:val="12"/>
        </w:rPr>
        <w:t>143</w:t>
      </w:r>
      <w:r>
        <w:rPr>
          <w:b/>
          <w:szCs w:val="12"/>
        </w:rPr>
        <w:t>)</w:t>
      </w:r>
      <w:r w:rsidR="00E67001">
        <w:rPr>
          <w:b/>
          <w:szCs w:val="12"/>
        </w:rPr>
        <w:t xml:space="preserve">: </w:t>
      </w:r>
      <w:r w:rsidR="00E67001">
        <w:rPr>
          <w:szCs w:val="12"/>
        </w:rPr>
        <w:t>B</w:t>
      </w:r>
      <w:r w:rsidR="00E67001" w:rsidRPr="00E67001">
        <w:rPr>
          <w:szCs w:val="12"/>
        </w:rPr>
        <w:t xml:space="preserve">road powers </w:t>
      </w:r>
      <w:r w:rsidR="0068730D">
        <w:rPr>
          <w:szCs w:val="12"/>
        </w:rPr>
        <w:t xml:space="preserve">for the investigator. </w:t>
      </w:r>
      <w:r w:rsidR="007E4C6E">
        <w:rPr>
          <w:szCs w:val="12"/>
        </w:rPr>
        <w:t xml:space="preserve">No evidentiary threshold. </w:t>
      </w:r>
      <w:r w:rsidR="00E67001" w:rsidRPr="00E67001">
        <w:rPr>
          <w:szCs w:val="12"/>
        </w:rPr>
        <w:t xml:space="preserve"> </w:t>
      </w:r>
    </w:p>
    <w:p w:rsidR="007C00E5" w:rsidRPr="007C00E5" w:rsidRDefault="00C15F3A" w:rsidP="00FF0B61">
      <w:pPr>
        <w:pStyle w:val="ListParagraph"/>
        <w:numPr>
          <w:ilvl w:val="0"/>
          <w:numId w:val="130"/>
        </w:numPr>
        <w:rPr>
          <w:szCs w:val="12"/>
        </w:rPr>
      </w:pPr>
      <w:r w:rsidRPr="00A0550A">
        <w:rPr>
          <w:b/>
          <w:szCs w:val="12"/>
        </w:rPr>
        <w:t>Enforcement Powers (</w:t>
      </w:r>
      <w:r w:rsidR="007C00E5" w:rsidRPr="00A0550A">
        <w:rPr>
          <w:b/>
          <w:color w:val="C45911" w:themeColor="accent2" w:themeShade="BF"/>
          <w:szCs w:val="12"/>
        </w:rPr>
        <w:t>144</w:t>
      </w:r>
      <w:r w:rsidRPr="00A0550A">
        <w:rPr>
          <w:b/>
          <w:szCs w:val="12"/>
        </w:rPr>
        <w:t>)</w:t>
      </w:r>
      <w:r w:rsidR="007C00E5" w:rsidRPr="00A0550A">
        <w:rPr>
          <w:szCs w:val="12"/>
        </w:rPr>
        <w:t xml:space="preserve">: </w:t>
      </w:r>
      <w:r w:rsidR="00B4771B">
        <w:rPr>
          <w:b/>
          <w:szCs w:val="12"/>
        </w:rPr>
        <w:t xml:space="preserve">(1) </w:t>
      </w:r>
      <w:r w:rsidR="007C00E5" w:rsidRPr="00A0550A">
        <w:rPr>
          <w:szCs w:val="12"/>
        </w:rPr>
        <w:t>Power to summon a witness, make them swear on oath, produce records and things and classes of records of things</w:t>
      </w:r>
      <w:r w:rsidR="00B4771B">
        <w:rPr>
          <w:szCs w:val="12"/>
        </w:rPr>
        <w:t>;</w:t>
      </w:r>
      <w:r w:rsidR="007C00E5" w:rsidRPr="00A0550A">
        <w:rPr>
          <w:szCs w:val="12"/>
        </w:rPr>
        <w:t xml:space="preserve"> </w:t>
      </w:r>
      <w:r w:rsidR="00B4771B">
        <w:rPr>
          <w:b/>
          <w:szCs w:val="12"/>
        </w:rPr>
        <w:t>(2)</w:t>
      </w:r>
      <w:r w:rsidR="007C00E5" w:rsidRPr="00A0550A">
        <w:rPr>
          <w:szCs w:val="12"/>
        </w:rPr>
        <w:t xml:space="preserve"> </w:t>
      </w:r>
      <w:r w:rsidR="00B4771B">
        <w:rPr>
          <w:szCs w:val="12"/>
        </w:rPr>
        <w:t xml:space="preserve">A failure of a witness to do (the above) makes the W, on application to BCSC, liable to be committed for contempt. </w:t>
      </w:r>
    </w:p>
    <w:p w:rsidR="007A16C7" w:rsidRDefault="00D722B9" w:rsidP="00FF0B61">
      <w:pPr>
        <w:pStyle w:val="Heading2"/>
        <w:spacing w:line="240" w:lineRule="auto"/>
      </w:pPr>
      <w:bookmarkStart w:id="88" w:name="_Toc468980459"/>
      <w:r w:rsidRPr="005013AF">
        <w:t>Option</w:t>
      </w:r>
      <w:r w:rsidR="00AF10BF" w:rsidRPr="005013AF">
        <w:t xml:space="preserve"> </w:t>
      </w:r>
      <w:r w:rsidRPr="005013AF">
        <w:t>1: Administrative Sanctions</w:t>
      </w:r>
      <w:bookmarkEnd w:id="88"/>
    </w:p>
    <w:p w:rsidR="00AA0ABD" w:rsidRDefault="00AA0ABD" w:rsidP="00FF0B61">
      <w:pPr>
        <w:spacing w:after="0" w:line="240" w:lineRule="auto"/>
        <w:rPr>
          <w:b/>
        </w:rPr>
      </w:pPr>
      <w:r>
        <w:t>Most frequent used sanctions. Use BofP standard, making the burden on the Commission less onerous than in quasi</w:t>
      </w:r>
      <w:r w:rsidR="003D0852">
        <w:t>-criminal or criminal matters (</w:t>
      </w:r>
      <w:r w:rsidR="003D0852" w:rsidRPr="003D0852">
        <w:rPr>
          <w:b/>
          <w:i/>
          <w:color w:val="1006E0"/>
        </w:rPr>
        <w:t>Re Holtby</w:t>
      </w:r>
      <w:r w:rsidR="003D0852">
        <w:rPr>
          <w:b/>
        </w:rPr>
        <w:t xml:space="preserve">). </w:t>
      </w:r>
    </w:p>
    <w:p w:rsidR="00290F1E" w:rsidRDefault="00290F1E" w:rsidP="00FF0B61">
      <w:pPr>
        <w:spacing w:after="0" w:line="240" w:lineRule="auto"/>
        <w:rPr>
          <w:b/>
        </w:rPr>
      </w:pPr>
    </w:p>
    <w:p w:rsidR="00781008" w:rsidRDefault="00163527" w:rsidP="00FF0B61">
      <w:pPr>
        <w:pStyle w:val="Heading3"/>
        <w:spacing w:line="240" w:lineRule="auto"/>
      </w:pPr>
      <w:bookmarkStart w:id="89" w:name="_Toc468980460"/>
      <w:r w:rsidRPr="0042338D">
        <w:t>ENFORCEMENT ORDERS (</w:t>
      </w:r>
      <w:r w:rsidR="00634C93">
        <w:rPr>
          <w:color w:val="C45911" w:themeColor="accent2" w:themeShade="BF"/>
        </w:rPr>
        <w:t>BCSA 160</w:t>
      </w:r>
      <w:r w:rsidR="007F7EB1" w:rsidRPr="0042338D">
        <w:rPr>
          <w:color w:val="C45911" w:themeColor="accent2" w:themeShade="BF"/>
        </w:rPr>
        <w:t>-16</w:t>
      </w:r>
      <w:r w:rsidR="00634C93">
        <w:rPr>
          <w:color w:val="C45911" w:themeColor="accent2" w:themeShade="BF"/>
        </w:rPr>
        <w:t>4</w:t>
      </w:r>
      <w:r w:rsidRPr="0042338D">
        <w:t>):</w:t>
      </w:r>
      <w:bookmarkEnd w:id="89"/>
      <w:r>
        <w:t xml:space="preserve"> </w:t>
      </w:r>
    </w:p>
    <w:p w:rsidR="00673F17" w:rsidRDefault="00C74245" w:rsidP="00FF0B61">
      <w:pPr>
        <w:spacing w:after="0" w:line="240" w:lineRule="auto"/>
        <w:rPr>
          <w:szCs w:val="20"/>
          <w:u w:val="single"/>
        </w:rPr>
      </w:pPr>
      <w:r>
        <w:rPr>
          <w:b/>
        </w:rPr>
        <w:t xml:space="preserve">In the Public Interest Standard: </w:t>
      </w:r>
      <w:r w:rsidR="00163527">
        <w:t xml:space="preserve">The </w:t>
      </w:r>
      <w:r w:rsidR="00163527">
        <w:rPr>
          <w:szCs w:val="20"/>
        </w:rPr>
        <w:t xml:space="preserve">Commission </w:t>
      </w:r>
      <w:r w:rsidR="00636EB0" w:rsidRPr="00636EB0">
        <w:rPr>
          <w:szCs w:val="20"/>
        </w:rPr>
        <w:t xml:space="preserve">can, after a hearing, make </w:t>
      </w:r>
      <w:r w:rsidR="006D7D9B">
        <w:rPr>
          <w:szCs w:val="20"/>
        </w:rPr>
        <w:t>one of more of these orders if it concludes that such orders are in</w:t>
      </w:r>
      <w:r w:rsidR="00636EB0" w:rsidRPr="00636EB0">
        <w:rPr>
          <w:szCs w:val="20"/>
        </w:rPr>
        <w:t xml:space="preserve"> </w:t>
      </w:r>
      <w:r w:rsidR="00636EB0" w:rsidRPr="00290F1E">
        <w:rPr>
          <w:b/>
          <w:szCs w:val="20"/>
          <w:u w:val="single"/>
        </w:rPr>
        <w:t>the public interest</w:t>
      </w:r>
      <w:r w:rsidR="0003493D">
        <w:rPr>
          <w:szCs w:val="20"/>
        </w:rPr>
        <w:t xml:space="preserve">. </w:t>
      </w:r>
    </w:p>
    <w:p w:rsidR="00884A48" w:rsidRPr="00884A48" w:rsidRDefault="003D0852" w:rsidP="00FF0B61">
      <w:pPr>
        <w:pStyle w:val="ListParagraph"/>
        <w:numPr>
          <w:ilvl w:val="0"/>
          <w:numId w:val="132"/>
        </w:numPr>
        <w:spacing w:after="0"/>
      </w:pPr>
      <w:r w:rsidRPr="003120AC">
        <w:t xml:space="preserve">Commission should consider ‘the protection of investors and the efficiency of, and public confidence in capital markets generally’ </w:t>
      </w:r>
      <w:r w:rsidR="00D02B66">
        <w:t>(</w:t>
      </w:r>
      <w:r w:rsidR="00D02B66" w:rsidRPr="00D02B66">
        <w:rPr>
          <w:b/>
          <w:i/>
          <w:color w:val="1006E0"/>
        </w:rPr>
        <w:t>Asbestos Minority SH</w:t>
      </w:r>
      <w:r w:rsidR="00D02B66">
        <w:rPr>
          <w:b/>
          <w:i/>
        </w:rPr>
        <w:t xml:space="preserve">). </w:t>
      </w:r>
      <w:r w:rsidRPr="003120AC">
        <w:t xml:space="preserve">Sanctions are </w:t>
      </w:r>
      <w:r w:rsidRPr="00290F1E">
        <w:rPr>
          <w:u w:val="single"/>
        </w:rPr>
        <w:t>preventative and prospective</w:t>
      </w:r>
      <w:r>
        <w:t>, not punitive or remedial</w:t>
      </w:r>
      <w:r w:rsidRPr="00673F17">
        <w:rPr>
          <w:b/>
        </w:rPr>
        <w:t xml:space="preserve">. </w:t>
      </w:r>
      <w:r w:rsidR="00311412" w:rsidRPr="003120AC">
        <w:t>General deterrence is legitimate to consider (</w:t>
      </w:r>
      <w:r w:rsidR="00311412" w:rsidRPr="00311412">
        <w:rPr>
          <w:b/>
          <w:i/>
          <w:color w:val="1006E0"/>
        </w:rPr>
        <w:t>Re Cartaway</w:t>
      </w:r>
      <w:r w:rsidR="00311412" w:rsidRPr="003120AC">
        <w:rPr>
          <w:b/>
          <w:i/>
        </w:rPr>
        <w:t>)</w:t>
      </w:r>
    </w:p>
    <w:p w:rsidR="008D3DEE" w:rsidRDefault="00673F17" w:rsidP="00FF0B61">
      <w:pPr>
        <w:pStyle w:val="ListParagraph"/>
        <w:numPr>
          <w:ilvl w:val="0"/>
          <w:numId w:val="132"/>
        </w:numPr>
        <w:spacing w:after="0"/>
      </w:pPr>
      <w:r w:rsidRPr="00884A48">
        <w:rPr>
          <w:b/>
        </w:rPr>
        <w:lastRenderedPageBreak/>
        <w:t>5 Factors to Consider when determining appropriate admin sanctions to impose (</w:t>
      </w:r>
      <w:r w:rsidRPr="00884A48">
        <w:rPr>
          <w:b/>
          <w:i/>
          <w:color w:val="1006E0"/>
        </w:rPr>
        <w:t>Siddiqi</w:t>
      </w:r>
      <w:r w:rsidRPr="00884A48">
        <w:rPr>
          <w:b/>
        </w:rPr>
        <w:t xml:space="preserve">): 1) </w:t>
      </w:r>
      <w:r>
        <w:t>The seriousness of the misconduct (and the respondent’s recognition),</w:t>
      </w:r>
      <w:r w:rsidRPr="00884A48">
        <w:rPr>
          <w:b/>
        </w:rPr>
        <w:t xml:space="preserve"> 2) </w:t>
      </w:r>
      <w:r>
        <w:t xml:space="preserve">The harm to investors and the capital market, and any benefits given to the respondent, </w:t>
      </w:r>
      <w:r w:rsidRPr="00884A48">
        <w:rPr>
          <w:b/>
        </w:rPr>
        <w:t xml:space="preserve">3) </w:t>
      </w:r>
      <w:r>
        <w:t xml:space="preserve">Risk to investors and the capital market from future misconduct by the respondent or similar misconduct by others (deterrence both specifically and generally), </w:t>
      </w:r>
      <w:r w:rsidRPr="00884A48">
        <w:rPr>
          <w:b/>
        </w:rPr>
        <w:t xml:space="preserve">4) </w:t>
      </w:r>
      <w:r>
        <w:t xml:space="preserve">The respondents characteristics, including past conduct or reputation in the community; </w:t>
      </w:r>
      <w:r w:rsidRPr="00884A48">
        <w:rPr>
          <w:b/>
        </w:rPr>
        <w:t xml:space="preserve">5) </w:t>
      </w:r>
      <w:r>
        <w:t xml:space="preserve">Mitigating Factors; </w:t>
      </w:r>
      <w:r w:rsidRPr="00884A48">
        <w:rPr>
          <w:b/>
        </w:rPr>
        <w:t xml:space="preserve">6) </w:t>
      </w:r>
      <w:r>
        <w:t xml:space="preserve">Orders made by the Commission in similar circumstances. </w:t>
      </w:r>
    </w:p>
    <w:p w:rsidR="008D3DEE" w:rsidRDefault="008D3DEE" w:rsidP="00FF0B61">
      <w:pPr>
        <w:pStyle w:val="ListParagraph"/>
        <w:numPr>
          <w:ilvl w:val="0"/>
          <w:numId w:val="132"/>
        </w:numPr>
        <w:spacing w:after="0"/>
      </w:pPr>
      <w:r>
        <w:rPr>
          <w:b/>
        </w:rPr>
        <w:t xml:space="preserve">“Residual Power”: </w:t>
      </w:r>
      <w:r w:rsidR="00884A48" w:rsidRPr="005849AF">
        <w:t xml:space="preserve">Regulators can use their public interest powers to </w:t>
      </w:r>
      <w:r w:rsidR="00884A48" w:rsidRPr="008D3DEE">
        <w:rPr>
          <w:b/>
        </w:rPr>
        <w:t>impose sanctions even when they find no specific violations of securities legislation</w:t>
      </w:r>
      <w:r w:rsidR="00884A48" w:rsidRPr="005849AF">
        <w:t xml:space="preserve"> (</w:t>
      </w:r>
      <w:r w:rsidR="00884A48" w:rsidRPr="008D3DEE">
        <w:rPr>
          <w:b/>
          <w:i/>
          <w:color w:val="1006E0"/>
        </w:rPr>
        <w:t>Re Canadian Tire</w:t>
      </w:r>
      <w:r w:rsidR="00884A48" w:rsidRPr="008D3DEE">
        <w:rPr>
          <w:b/>
        </w:rPr>
        <w:t>). Power should not be lightly used.</w:t>
      </w:r>
      <w:r w:rsidR="00884A48" w:rsidRPr="005849AF">
        <w:t xml:space="preserve"> </w:t>
      </w:r>
    </w:p>
    <w:p w:rsidR="00884A48" w:rsidRPr="00AD3C82" w:rsidRDefault="00884A48" w:rsidP="00FF0B61">
      <w:pPr>
        <w:pStyle w:val="ListParagraph"/>
        <w:numPr>
          <w:ilvl w:val="1"/>
          <w:numId w:val="132"/>
        </w:numPr>
        <w:spacing w:after="0"/>
      </w:pPr>
      <w:r w:rsidRPr="008D3DEE">
        <w:rPr>
          <w:szCs w:val="20"/>
        </w:rPr>
        <w:t xml:space="preserve">To meet the </w:t>
      </w:r>
      <w:r w:rsidRPr="008D3DEE">
        <w:rPr>
          <w:b/>
          <w:szCs w:val="20"/>
        </w:rPr>
        <w:t>“residual public interest test”</w:t>
      </w:r>
      <w:r w:rsidRPr="008D3DEE">
        <w:rPr>
          <w:szCs w:val="20"/>
        </w:rPr>
        <w:t>, the conduct or transactions must clearly be demonstrated to be abusive of shareholders in particular and capital markets in general (</w:t>
      </w:r>
      <w:r w:rsidRPr="008D3DEE">
        <w:rPr>
          <w:b/>
          <w:i/>
          <w:color w:val="1006E0"/>
          <w:szCs w:val="20"/>
        </w:rPr>
        <w:t>Canadian Tire</w:t>
      </w:r>
      <w:r w:rsidRPr="008D3DEE">
        <w:rPr>
          <w:b/>
          <w:color w:val="1006E0"/>
          <w:szCs w:val="20"/>
        </w:rPr>
        <w:t>).</w:t>
      </w:r>
    </w:p>
    <w:p w:rsidR="00AD3C82" w:rsidRPr="008D3DEE" w:rsidRDefault="00AD3C82" w:rsidP="00FF0B61">
      <w:pPr>
        <w:pStyle w:val="ListParagraph"/>
        <w:spacing w:after="0"/>
        <w:ind w:left="1080"/>
      </w:pPr>
    </w:p>
    <w:p w:rsidR="00BC52EC" w:rsidRPr="00781008" w:rsidRDefault="00BC52EC" w:rsidP="00FF0B61">
      <w:pPr>
        <w:spacing w:after="0" w:line="240" w:lineRule="auto"/>
        <w:rPr>
          <w:u w:val="single"/>
        </w:rPr>
      </w:pPr>
      <w:r w:rsidRPr="00781008">
        <w:rPr>
          <w:b/>
          <w:u w:val="single"/>
        </w:rPr>
        <w:t xml:space="preserve">s.161 Sanctions: </w:t>
      </w:r>
      <w:r w:rsidRPr="00781008">
        <w:rPr>
          <w:u w:val="single"/>
        </w:rPr>
        <w:t xml:space="preserve">Standard is “in the public interest”: </w:t>
      </w:r>
    </w:p>
    <w:p w:rsidR="008765F9" w:rsidRPr="008765F9" w:rsidRDefault="00BC52EC" w:rsidP="00FF0B61">
      <w:pPr>
        <w:pStyle w:val="ListParagraph"/>
        <w:numPr>
          <w:ilvl w:val="0"/>
          <w:numId w:val="131"/>
        </w:numPr>
        <w:spacing w:after="0"/>
        <w:ind w:left="284" w:hanging="284"/>
        <w:rPr>
          <w:b/>
          <w:szCs w:val="18"/>
        </w:rPr>
      </w:pPr>
      <w:r w:rsidRPr="00781008">
        <w:rPr>
          <w:b/>
        </w:rPr>
        <w:t xml:space="preserve">Sanctions Against </w:t>
      </w:r>
      <w:r w:rsidRPr="00781008">
        <w:rPr>
          <w:b/>
          <w:szCs w:val="18"/>
        </w:rPr>
        <w:t>Registrants (</w:t>
      </w:r>
      <w:r w:rsidRPr="00781008">
        <w:rPr>
          <w:b/>
          <w:color w:val="C45911" w:themeColor="accent2" w:themeShade="BF"/>
          <w:szCs w:val="18"/>
        </w:rPr>
        <w:t>161(1)(f)</w:t>
      </w:r>
      <w:r w:rsidR="00781008">
        <w:rPr>
          <w:b/>
          <w:szCs w:val="18"/>
        </w:rPr>
        <w:t xml:space="preserve">): </w:t>
      </w:r>
      <w:r w:rsidR="00781008" w:rsidRPr="00781008">
        <w:rPr>
          <w:szCs w:val="18"/>
        </w:rPr>
        <w:t>Commission may suspend, restrict, terminate or impose terms and conditions on a person’s registration or recognition</w:t>
      </w:r>
      <w:r w:rsidR="008765F9">
        <w:rPr>
          <w:szCs w:val="18"/>
        </w:rPr>
        <w:t xml:space="preserve"> </w:t>
      </w:r>
      <w:r w:rsidR="008765F9" w:rsidRPr="00966338">
        <w:rPr>
          <w:b/>
          <w:szCs w:val="18"/>
        </w:rPr>
        <w:t>(</w:t>
      </w:r>
      <w:r w:rsidR="008765F9">
        <w:rPr>
          <w:b/>
          <w:szCs w:val="18"/>
        </w:rPr>
        <w:t xml:space="preserve">Powerful Tool: </w:t>
      </w:r>
      <w:r w:rsidR="008765F9">
        <w:rPr>
          <w:szCs w:val="18"/>
        </w:rPr>
        <w:t>Registration is a key method of regulating the sec</w:t>
      </w:r>
      <w:r w:rsidR="00966338">
        <w:rPr>
          <w:szCs w:val="18"/>
        </w:rPr>
        <w:t xml:space="preserve">urities industry. </w:t>
      </w:r>
      <w:r w:rsidR="00966338">
        <w:rPr>
          <w:b/>
          <w:szCs w:val="18"/>
        </w:rPr>
        <w:t xml:space="preserve">NB: </w:t>
      </w:r>
      <w:r w:rsidR="00966338">
        <w:rPr>
          <w:szCs w:val="18"/>
        </w:rPr>
        <w:t xml:space="preserve">Does not apply to those exempt from registration). </w:t>
      </w:r>
    </w:p>
    <w:p w:rsidR="00BC52EC" w:rsidRPr="00781008" w:rsidRDefault="00BC52EC" w:rsidP="00FF0B61">
      <w:pPr>
        <w:pStyle w:val="ListParagraph"/>
        <w:numPr>
          <w:ilvl w:val="0"/>
          <w:numId w:val="131"/>
        </w:numPr>
        <w:spacing w:after="0"/>
        <w:ind w:left="284" w:hanging="284"/>
        <w:rPr>
          <w:szCs w:val="18"/>
        </w:rPr>
      </w:pPr>
      <w:r w:rsidRPr="00781008">
        <w:rPr>
          <w:b/>
          <w:szCs w:val="18"/>
        </w:rPr>
        <w:t>Cease Trade Order (</w:t>
      </w:r>
      <w:r w:rsidRPr="00781008">
        <w:rPr>
          <w:b/>
          <w:color w:val="C45911" w:themeColor="accent2" w:themeShade="BF"/>
          <w:szCs w:val="18"/>
        </w:rPr>
        <w:t>161(1)(b)</w:t>
      </w:r>
      <w:r w:rsidRPr="00781008">
        <w:rPr>
          <w:b/>
          <w:szCs w:val="18"/>
        </w:rPr>
        <w:t xml:space="preserve">): </w:t>
      </w:r>
      <w:r w:rsidRPr="00781008">
        <w:rPr>
          <w:szCs w:val="18"/>
        </w:rPr>
        <w:t>Order that says trading in (or purchasing, sometimes) of securities be ceas</w:t>
      </w:r>
      <w:r w:rsidR="003832DD">
        <w:rPr>
          <w:szCs w:val="18"/>
        </w:rPr>
        <w:t>ed temporarily or permanently (</w:t>
      </w:r>
      <w:r w:rsidR="003832DD" w:rsidRPr="003832DD">
        <w:rPr>
          <w:szCs w:val="18"/>
        </w:rPr>
        <w:t xml:space="preserve">Because so blunt, the Commission may have </w:t>
      </w:r>
      <w:r w:rsidR="003832DD">
        <w:rPr>
          <w:szCs w:val="18"/>
        </w:rPr>
        <w:t xml:space="preserve">a hard time justifying this one). </w:t>
      </w:r>
    </w:p>
    <w:p w:rsidR="00BC52EC" w:rsidRPr="00781008" w:rsidRDefault="00BC52EC" w:rsidP="00FF0B61">
      <w:pPr>
        <w:pStyle w:val="ListParagraph"/>
        <w:numPr>
          <w:ilvl w:val="0"/>
          <w:numId w:val="131"/>
        </w:numPr>
        <w:spacing w:after="0"/>
        <w:ind w:left="284" w:hanging="284"/>
        <w:rPr>
          <w:b/>
          <w:szCs w:val="18"/>
        </w:rPr>
      </w:pPr>
      <w:r w:rsidRPr="00781008">
        <w:rPr>
          <w:b/>
          <w:szCs w:val="18"/>
        </w:rPr>
        <w:t>Denials of Exemptions (</w:t>
      </w:r>
      <w:r w:rsidRPr="00781008">
        <w:rPr>
          <w:b/>
          <w:color w:val="C45911" w:themeColor="accent2" w:themeShade="BF"/>
          <w:szCs w:val="18"/>
        </w:rPr>
        <w:t>161(1)(c)</w:t>
      </w:r>
      <w:r w:rsidRPr="00781008">
        <w:rPr>
          <w:b/>
          <w:szCs w:val="18"/>
        </w:rPr>
        <w:t xml:space="preserve">): </w:t>
      </w:r>
      <w:r w:rsidRPr="00781008">
        <w:rPr>
          <w:szCs w:val="18"/>
        </w:rPr>
        <w:t>Affects those who have exemptions to distribute. Can be permanent or temporary.</w:t>
      </w:r>
    </w:p>
    <w:p w:rsidR="00BC52EC" w:rsidRPr="00781008" w:rsidRDefault="00BC52EC" w:rsidP="00FF0B61">
      <w:pPr>
        <w:pStyle w:val="ListParagraph"/>
        <w:numPr>
          <w:ilvl w:val="0"/>
          <w:numId w:val="131"/>
        </w:numPr>
        <w:spacing w:after="0"/>
        <w:ind w:left="284" w:hanging="284"/>
        <w:rPr>
          <w:b/>
          <w:szCs w:val="18"/>
        </w:rPr>
      </w:pPr>
      <w:r w:rsidRPr="00781008">
        <w:rPr>
          <w:b/>
          <w:szCs w:val="18"/>
        </w:rPr>
        <w:t>Reviews of and Chang</w:t>
      </w:r>
      <w:r w:rsidR="007506CC">
        <w:rPr>
          <w:b/>
          <w:szCs w:val="18"/>
        </w:rPr>
        <w:t>es to Practices and Procedures (</w:t>
      </w:r>
      <w:r w:rsidRPr="007506CC">
        <w:rPr>
          <w:b/>
          <w:color w:val="C45911" w:themeColor="accent2" w:themeShade="BF"/>
          <w:szCs w:val="18"/>
        </w:rPr>
        <w:t>161(1)(h)</w:t>
      </w:r>
      <w:r w:rsidR="007506CC">
        <w:rPr>
          <w:b/>
          <w:szCs w:val="18"/>
        </w:rPr>
        <w:t xml:space="preserve">): </w:t>
      </w:r>
      <w:r w:rsidRPr="00781008">
        <w:rPr>
          <w:szCs w:val="18"/>
        </w:rPr>
        <w:t>Commission can order a review of, and direct changes to, a market partici</w:t>
      </w:r>
      <w:r w:rsidR="007506CC">
        <w:rPr>
          <w:szCs w:val="18"/>
        </w:rPr>
        <w:t xml:space="preserve">pant’s practices and procedures (extensive supervision with low expenditures). </w:t>
      </w:r>
    </w:p>
    <w:p w:rsidR="00BC52EC" w:rsidRPr="00781008" w:rsidRDefault="00BC52EC" w:rsidP="00FF0B61">
      <w:pPr>
        <w:pStyle w:val="ListParagraph"/>
        <w:numPr>
          <w:ilvl w:val="0"/>
          <w:numId w:val="131"/>
        </w:numPr>
        <w:spacing w:after="0"/>
        <w:ind w:left="284" w:hanging="284"/>
        <w:rPr>
          <w:b/>
          <w:szCs w:val="18"/>
        </w:rPr>
      </w:pPr>
      <w:r w:rsidRPr="00781008">
        <w:rPr>
          <w:b/>
          <w:szCs w:val="18"/>
        </w:rPr>
        <w:t>Orders to Provide, Not to Provide or to Amend any Document (</w:t>
      </w:r>
      <w:r w:rsidRPr="00781008">
        <w:rPr>
          <w:b/>
          <w:color w:val="C45911" w:themeColor="accent2" w:themeShade="BF"/>
          <w:szCs w:val="18"/>
        </w:rPr>
        <w:t>161(1)(e)</w:t>
      </w:r>
      <w:r w:rsidRPr="00781008">
        <w:rPr>
          <w:b/>
          <w:szCs w:val="18"/>
        </w:rPr>
        <w:t xml:space="preserve">): </w:t>
      </w:r>
      <w:r w:rsidRPr="00781008">
        <w:rPr>
          <w:szCs w:val="18"/>
        </w:rPr>
        <w:t>Where the Commission is satisfied that securities laws have not been complied with, it has broad powers to make orders regarding any document.</w:t>
      </w:r>
    </w:p>
    <w:p w:rsidR="00BC52EC" w:rsidRPr="00781008" w:rsidRDefault="00BC52EC" w:rsidP="00FF0B61">
      <w:pPr>
        <w:pStyle w:val="ListParagraph"/>
        <w:numPr>
          <w:ilvl w:val="0"/>
          <w:numId w:val="131"/>
        </w:numPr>
        <w:spacing w:after="0"/>
        <w:ind w:left="284" w:hanging="284"/>
        <w:rPr>
          <w:b/>
          <w:szCs w:val="18"/>
        </w:rPr>
      </w:pPr>
      <w:r w:rsidRPr="00781008">
        <w:rPr>
          <w:b/>
          <w:szCs w:val="18"/>
        </w:rPr>
        <w:t>Reprimands</w:t>
      </w:r>
      <w:r w:rsidR="007506CC">
        <w:rPr>
          <w:b/>
          <w:szCs w:val="18"/>
        </w:rPr>
        <w:t xml:space="preserve"> </w:t>
      </w:r>
      <w:r w:rsidRPr="00781008">
        <w:rPr>
          <w:b/>
          <w:szCs w:val="18"/>
        </w:rPr>
        <w:t>(</w:t>
      </w:r>
      <w:r w:rsidRPr="00781008">
        <w:rPr>
          <w:b/>
          <w:color w:val="C45911" w:themeColor="accent2" w:themeShade="BF"/>
          <w:szCs w:val="18"/>
        </w:rPr>
        <w:t xml:space="preserve">161(1)(j)): </w:t>
      </w:r>
      <w:r w:rsidRPr="00781008">
        <w:rPr>
          <w:szCs w:val="18"/>
        </w:rPr>
        <w:t>This sanction is useful where the Commission believes some sanction is warranted, but where other sanctions would be too harsh.</w:t>
      </w:r>
    </w:p>
    <w:p w:rsidR="00BC52EC" w:rsidRPr="00781008" w:rsidRDefault="00514FCF" w:rsidP="00FF0B61">
      <w:pPr>
        <w:pStyle w:val="ListParagraph"/>
        <w:numPr>
          <w:ilvl w:val="0"/>
          <w:numId w:val="131"/>
        </w:numPr>
        <w:spacing w:after="0"/>
        <w:ind w:left="284" w:hanging="284"/>
        <w:rPr>
          <w:b/>
          <w:szCs w:val="18"/>
        </w:rPr>
      </w:pPr>
      <w:r>
        <w:rPr>
          <w:b/>
          <w:szCs w:val="18"/>
        </w:rPr>
        <w:t>Orders to Resign as DIR or OFR</w:t>
      </w:r>
      <w:r w:rsidR="00BC52EC" w:rsidRPr="00781008">
        <w:rPr>
          <w:b/>
          <w:szCs w:val="18"/>
        </w:rPr>
        <w:t>, Prohibitions on Becoming or Acting as a D</w:t>
      </w:r>
      <w:r w:rsidR="00415EC9">
        <w:rPr>
          <w:b/>
          <w:szCs w:val="18"/>
        </w:rPr>
        <w:t>IR</w:t>
      </w:r>
      <w:r w:rsidR="00BC52EC" w:rsidRPr="00781008">
        <w:rPr>
          <w:b/>
          <w:szCs w:val="18"/>
        </w:rPr>
        <w:t xml:space="preserve"> or O</w:t>
      </w:r>
      <w:r w:rsidR="00415EC9">
        <w:rPr>
          <w:b/>
          <w:szCs w:val="18"/>
        </w:rPr>
        <w:t>FRs</w:t>
      </w:r>
      <w:r w:rsidR="00BC52EC" w:rsidRPr="00781008">
        <w:rPr>
          <w:b/>
          <w:szCs w:val="18"/>
        </w:rPr>
        <w:t xml:space="preserve"> (</w:t>
      </w:r>
      <w:r w:rsidR="00BC52EC" w:rsidRPr="00781008">
        <w:rPr>
          <w:b/>
          <w:color w:val="C45911" w:themeColor="accent2" w:themeShade="BF"/>
          <w:szCs w:val="18"/>
        </w:rPr>
        <w:t>161(1)(d)(i)</w:t>
      </w:r>
      <w:r w:rsidR="00654E46">
        <w:rPr>
          <w:b/>
          <w:color w:val="C45911" w:themeColor="accent2" w:themeShade="BF"/>
          <w:szCs w:val="18"/>
        </w:rPr>
        <w:t>, (ii)</w:t>
      </w:r>
      <w:r w:rsidR="00BC52EC" w:rsidRPr="00781008">
        <w:rPr>
          <w:b/>
          <w:color w:val="C45911" w:themeColor="accent2" w:themeShade="BF"/>
          <w:szCs w:val="18"/>
        </w:rPr>
        <w:t xml:space="preserve">): </w:t>
      </w:r>
      <w:r w:rsidR="00BC52EC" w:rsidRPr="00415EC9">
        <w:rPr>
          <w:b/>
          <w:szCs w:val="18"/>
        </w:rPr>
        <w:t>Two different sanctions:</w:t>
      </w:r>
      <w:r w:rsidR="00BC52EC" w:rsidRPr="00781008">
        <w:rPr>
          <w:szCs w:val="18"/>
        </w:rPr>
        <w:t xml:space="preserve"> A forced resignation and a ban on positions for a specif</w:t>
      </w:r>
      <w:r w:rsidR="00415EC9">
        <w:rPr>
          <w:szCs w:val="18"/>
        </w:rPr>
        <w:t>ied time or permanently, the two</w:t>
      </w:r>
      <w:r w:rsidR="00BC52EC" w:rsidRPr="00781008">
        <w:rPr>
          <w:szCs w:val="18"/>
        </w:rPr>
        <w:t xml:space="preserve"> achieve the same goal in practice.</w:t>
      </w:r>
      <w:r w:rsidR="00BC52EC" w:rsidRPr="00781008">
        <w:rPr>
          <w:b/>
          <w:szCs w:val="18"/>
        </w:rPr>
        <w:t xml:space="preserve"> </w:t>
      </w:r>
      <w:r w:rsidR="00415EC9">
        <w:rPr>
          <w:b/>
          <w:szCs w:val="18"/>
        </w:rPr>
        <w:t xml:space="preserve">Goal: </w:t>
      </w:r>
      <w:r w:rsidR="00415EC9">
        <w:rPr>
          <w:szCs w:val="18"/>
        </w:rPr>
        <w:t>I</w:t>
      </w:r>
      <w:r w:rsidR="00BC52EC" w:rsidRPr="00781008">
        <w:rPr>
          <w:szCs w:val="18"/>
        </w:rPr>
        <w:t>s to ensure undesirable people are not in the position to repeat undesirable behaviour.</w:t>
      </w:r>
    </w:p>
    <w:p w:rsidR="00BC52EC" w:rsidRPr="00781008" w:rsidRDefault="00BC52EC" w:rsidP="00FF0B61">
      <w:pPr>
        <w:pStyle w:val="ListParagraph"/>
        <w:numPr>
          <w:ilvl w:val="0"/>
          <w:numId w:val="131"/>
        </w:numPr>
        <w:spacing w:after="0"/>
        <w:ind w:left="284" w:hanging="284"/>
        <w:rPr>
          <w:b/>
          <w:color w:val="C45911" w:themeColor="accent2" w:themeShade="BF"/>
          <w:szCs w:val="18"/>
        </w:rPr>
      </w:pPr>
      <w:r w:rsidRPr="00781008">
        <w:rPr>
          <w:b/>
          <w:szCs w:val="18"/>
        </w:rPr>
        <w:t>Prohibitions on Beco</w:t>
      </w:r>
      <w:r w:rsidR="00654E46">
        <w:rPr>
          <w:b/>
          <w:szCs w:val="18"/>
        </w:rPr>
        <w:t xml:space="preserve">ming or Acting as a Registrant </w:t>
      </w:r>
      <w:r w:rsidRPr="00781008">
        <w:rPr>
          <w:b/>
          <w:szCs w:val="18"/>
        </w:rPr>
        <w:t>or Promoter (</w:t>
      </w:r>
      <w:r w:rsidRPr="00781008">
        <w:rPr>
          <w:b/>
          <w:color w:val="C45911" w:themeColor="accent2" w:themeShade="BF"/>
          <w:szCs w:val="18"/>
        </w:rPr>
        <w:t xml:space="preserve">161(1)(d)(iii)) </w:t>
      </w:r>
    </w:p>
    <w:p w:rsidR="00BC52EC" w:rsidRPr="004E275A" w:rsidRDefault="00BC52EC" w:rsidP="00FF0B61">
      <w:pPr>
        <w:pStyle w:val="ListParagraph"/>
        <w:numPr>
          <w:ilvl w:val="0"/>
          <w:numId w:val="131"/>
        </w:numPr>
        <w:spacing w:after="0"/>
        <w:ind w:left="284" w:hanging="284"/>
        <w:rPr>
          <w:b/>
          <w:szCs w:val="18"/>
        </w:rPr>
      </w:pPr>
      <w:r w:rsidRPr="00781008">
        <w:rPr>
          <w:b/>
          <w:szCs w:val="18"/>
        </w:rPr>
        <w:t>Prohibition against Acting in a Management or Consultative Capacity or Engaging in Investor Relations Activities</w:t>
      </w:r>
      <w:r w:rsidR="00415EC9">
        <w:rPr>
          <w:b/>
          <w:szCs w:val="18"/>
        </w:rPr>
        <w:t xml:space="preserve"> (</w:t>
      </w:r>
      <w:r w:rsidR="00415EC9" w:rsidRPr="00415EC9">
        <w:rPr>
          <w:b/>
          <w:color w:val="C45911" w:themeColor="accent2" w:themeShade="BF"/>
          <w:szCs w:val="18"/>
        </w:rPr>
        <w:t>161(1)(d)(v)</w:t>
      </w:r>
      <w:r w:rsidR="00415EC9">
        <w:rPr>
          <w:b/>
          <w:szCs w:val="18"/>
        </w:rPr>
        <w:t>):</w:t>
      </w:r>
      <w:r w:rsidRPr="00781008">
        <w:rPr>
          <w:b/>
          <w:szCs w:val="18"/>
        </w:rPr>
        <w:t xml:space="preserve"> </w:t>
      </w:r>
      <w:r w:rsidRPr="00781008">
        <w:rPr>
          <w:szCs w:val="18"/>
        </w:rPr>
        <w:t>More powerful than preventing a registrant from their status. BCSA allows the Commission to prohibit a person from engaging in ‘investor relations activities’ which means activities or communications that promote the purchase or sale of s</w:t>
      </w:r>
      <w:r w:rsidR="00415EC9">
        <w:rPr>
          <w:szCs w:val="18"/>
        </w:rPr>
        <w:t>ecurities to the issuer (</w:t>
      </w:r>
      <w:r w:rsidR="00415EC9" w:rsidRPr="00415EC9">
        <w:rPr>
          <w:b/>
          <w:color w:val="C45911" w:themeColor="accent2" w:themeShade="BF"/>
          <w:szCs w:val="18"/>
        </w:rPr>
        <w:t>s 1.1</w:t>
      </w:r>
      <w:r w:rsidRPr="00781008">
        <w:rPr>
          <w:szCs w:val="18"/>
        </w:rPr>
        <w:t>)</w:t>
      </w:r>
    </w:p>
    <w:p w:rsidR="004E275A" w:rsidRPr="00781008" w:rsidRDefault="0042338D" w:rsidP="00FF0B61">
      <w:pPr>
        <w:pStyle w:val="ListParagraph"/>
        <w:numPr>
          <w:ilvl w:val="1"/>
          <w:numId w:val="131"/>
        </w:numPr>
        <w:spacing w:after="0"/>
        <w:ind w:hanging="294"/>
        <w:rPr>
          <w:b/>
          <w:szCs w:val="18"/>
        </w:rPr>
      </w:pPr>
      <w:r>
        <w:rPr>
          <w:b/>
          <w:szCs w:val="18"/>
        </w:rPr>
        <w:t>T</w:t>
      </w:r>
      <w:r w:rsidR="004E275A" w:rsidRPr="004E275A">
        <w:rPr>
          <w:b/>
          <w:szCs w:val="18"/>
        </w:rPr>
        <w:t>hwart</w:t>
      </w:r>
      <w:r>
        <w:rPr>
          <w:b/>
          <w:szCs w:val="18"/>
        </w:rPr>
        <w:t>s</w:t>
      </w:r>
      <w:r w:rsidR="004E275A" w:rsidRPr="004E275A">
        <w:rPr>
          <w:b/>
          <w:szCs w:val="18"/>
        </w:rPr>
        <w:t xml:space="preserve"> indirect attempts to</w:t>
      </w:r>
      <w:r w:rsidR="004E275A">
        <w:rPr>
          <w:b/>
          <w:szCs w:val="18"/>
        </w:rPr>
        <w:t xml:space="preserve"> influence or control an entity of a person prohibited from acting as DIR or OFR. </w:t>
      </w:r>
    </w:p>
    <w:p w:rsidR="00BC52EC" w:rsidRPr="00781008" w:rsidRDefault="00BC52EC" w:rsidP="00FF0B61">
      <w:pPr>
        <w:pStyle w:val="ListParagraph"/>
        <w:numPr>
          <w:ilvl w:val="0"/>
          <w:numId w:val="131"/>
        </w:numPr>
        <w:spacing w:after="0"/>
        <w:ind w:left="284" w:hanging="284"/>
        <w:rPr>
          <w:b/>
          <w:szCs w:val="18"/>
        </w:rPr>
      </w:pPr>
      <w:r w:rsidRPr="00781008">
        <w:rPr>
          <w:b/>
          <w:szCs w:val="18"/>
        </w:rPr>
        <w:t>Disgorgement (</w:t>
      </w:r>
      <w:r w:rsidRPr="00781008">
        <w:rPr>
          <w:b/>
          <w:color w:val="C45911" w:themeColor="accent2" w:themeShade="BF"/>
          <w:szCs w:val="18"/>
        </w:rPr>
        <w:t>161(1)(g)</w:t>
      </w:r>
      <w:r w:rsidRPr="00781008">
        <w:rPr>
          <w:b/>
          <w:szCs w:val="18"/>
        </w:rPr>
        <w:t xml:space="preserve">): </w:t>
      </w:r>
      <w:r w:rsidRPr="00781008">
        <w:rPr>
          <w:szCs w:val="18"/>
        </w:rPr>
        <w:t>This power is intended to prevent a person or company from retaining financial benefits that were received by contravening securities laws.</w:t>
      </w:r>
      <w:r w:rsidRPr="00781008">
        <w:rPr>
          <w:b/>
          <w:szCs w:val="18"/>
        </w:rPr>
        <w:t xml:space="preserve"> </w:t>
      </w:r>
      <w:r w:rsidRPr="00781008">
        <w:rPr>
          <w:szCs w:val="18"/>
        </w:rPr>
        <w:t>The legislative provisions refer to ‘amo</w:t>
      </w:r>
      <w:r w:rsidR="005013AF">
        <w:rPr>
          <w:szCs w:val="18"/>
        </w:rPr>
        <w:t>unts obtained’. Relevant amount is w</w:t>
      </w:r>
      <w:r w:rsidRPr="00781008">
        <w:rPr>
          <w:szCs w:val="18"/>
        </w:rPr>
        <w:t xml:space="preserve">hat a respondent obtained through misconduct, not what the respondent retained or spent inappropriately. </w:t>
      </w:r>
    </w:p>
    <w:p w:rsidR="00BC52EC" w:rsidRPr="00781008" w:rsidRDefault="006D7D9B" w:rsidP="00FF0B61">
      <w:pPr>
        <w:pStyle w:val="ListParagraph"/>
        <w:numPr>
          <w:ilvl w:val="0"/>
          <w:numId w:val="131"/>
        </w:numPr>
        <w:spacing w:after="0"/>
        <w:ind w:left="284" w:hanging="284"/>
        <w:rPr>
          <w:b/>
          <w:szCs w:val="18"/>
        </w:rPr>
      </w:pPr>
      <w:r>
        <w:rPr>
          <w:b/>
          <w:szCs w:val="18"/>
        </w:rPr>
        <w:t>Restitution (</w:t>
      </w:r>
      <w:r w:rsidR="00BC52EC" w:rsidRPr="006D7D9B">
        <w:rPr>
          <w:b/>
          <w:szCs w:val="18"/>
        </w:rPr>
        <w:t>Not explicit provision to allow this</w:t>
      </w:r>
      <w:r w:rsidRPr="006D7D9B">
        <w:rPr>
          <w:b/>
          <w:szCs w:val="18"/>
        </w:rPr>
        <w:t>):</w:t>
      </w:r>
      <w:r w:rsidR="00BC52EC" w:rsidRPr="00781008">
        <w:rPr>
          <w:b/>
          <w:szCs w:val="18"/>
        </w:rPr>
        <w:t xml:space="preserve"> </w:t>
      </w:r>
      <w:r w:rsidR="00BC52EC" w:rsidRPr="00781008">
        <w:rPr>
          <w:szCs w:val="18"/>
        </w:rPr>
        <w:t>But, the BCSCn and the OSC have the authority to direct money to third parties from financial payments made by respondents under administrative penalty and di</w:t>
      </w:r>
      <w:r>
        <w:rPr>
          <w:szCs w:val="18"/>
        </w:rPr>
        <w:t xml:space="preserve">sgorgement </w:t>
      </w:r>
      <w:r w:rsidR="00BC52EC" w:rsidRPr="00781008">
        <w:rPr>
          <w:szCs w:val="18"/>
        </w:rPr>
        <w:t>(</w:t>
      </w:r>
      <w:r w:rsidR="00BC52EC" w:rsidRPr="006D7D9B">
        <w:rPr>
          <w:b/>
          <w:color w:val="C45911" w:themeColor="accent2" w:themeShade="BF"/>
          <w:szCs w:val="18"/>
        </w:rPr>
        <w:t>s.15.1</w:t>
      </w:r>
      <w:r w:rsidR="00BC52EC" w:rsidRPr="00781008">
        <w:rPr>
          <w:szCs w:val="18"/>
        </w:rPr>
        <w:t>)</w:t>
      </w:r>
      <w:r>
        <w:rPr>
          <w:szCs w:val="18"/>
        </w:rPr>
        <w:t>.</w:t>
      </w:r>
      <w:r w:rsidR="00BC52EC" w:rsidRPr="00781008">
        <w:rPr>
          <w:szCs w:val="18"/>
        </w:rPr>
        <w:t xml:space="preserve"> In BC, Commission must notify the public, and people have three years to file a claim to reclaim money.</w:t>
      </w:r>
    </w:p>
    <w:p w:rsidR="00BC52EC" w:rsidRPr="00781008" w:rsidRDefault="00BC52EC" w:rsidP="00FF0B61">
      <w:pPr>
        <w:pStyle w:val="ListParagraph"/>
        <w:numPr>
          <w:ilvl w:val="0"/>
          <w:numId w:val="131"/>
        </w:numPr>
        <w:spacing w:after="0"/>
        <w:ind w:left="284" w:hanging="284"/>
        <w:rPr>
          <w:szCs w:val="18"/>
        </w:rPr>
      </w:pPr>
      <w:r w:rsidRPr="00781008">
        <w:rPr>
          <w:b/>
          <w:szCs w:val="18"/>
        </w:rPr>
        <w:t>Compliance (</w:t>
      </w:r>
      <w:r w:rsidRPr="00781008">
        <w:rPr>
          <w:b/>
          <w:color w:val="C45911" w:themeColor="accent2" w:themeShade="BF"/>
          <w:szCs w:val="18"/>
        </w:rPr>
        <w:t>161(1)(a)</w:t>
      </w:r>
      <w:r w:rsidRPr="00781008">
        <w:rPr>
          <w:b/>
          <w:szCs w:val="18"/>
        </w:rPr>
        <w:t xml:space="preserve">): </w:t>
      </w:r>
      <w:r w:rsidRPr="00781008">
        <w:rPr>
          <w:szCs w:val="18"/>
        </w:rPr>
        <w:t>BCSA allows the commission to order compliance.</w:t>
      </w:r>
    </w:p>
    <w:p w:rsidR="0042338D" w:rsidRPr="003B033B" w:rsidRDefault="00BC52EC" w:rsidP="00FF0B61">
      <w:pPr>
        <w:pStyle w:val="ListParagraph"/>
        <w:numPr>
          <w:ilvl w:val="0"/>
          <w:numId w:val="131"/>
        </w:numPr>
        <w:spacing w:after="0"/>
        <w:ind w:left="284" w:hanging="284"/>
        <w:rPr>
          <w:szCs w:val="18"/>
        </w:rPr>
      </w:pPr>
      <w:r w:rsidRPr="00781008">
        <w:rPr>
          <w:b/>
          <w:szCs w:val="18"/>
        </w:rPr>
        <w:t xml:space="preserve">Reciprocal Orders: </w:t>
      </w:r>
      <w:r w:rsidR="00450BCD" w:rsidRPr="003120AC">
        <w:t>A Commission order only applies in the jurisdiction where it’s made. Various Commissions, however, have been empowered to make enforcement orders based on proceedings from another jurisdiction called ‘reciprocal’ orders, and they usually mirror the bans given in the original jurisdiction</w:t>
      </w:r>
    </w:p>
    <w:p w:rsidR="00B34985" w:rsidRPr="00FD7076" w:rsidRDefault="00B34985" w:rsidP="00FF0B61">
      <w:pPr>
        <w:pStyle w:val="ListParagraph"/>
        <w:spacing w:after="0"/>
        <w:ind w:left="284"/>
        <w:rPr>
          <w:szCs w:val="18"/>
        </w:rPr>
      </w:pPr>
    </w:p>
    <w:p w:rsidR="002629A4" w:rsidRPr="00BA2BA2" w:rsidRDefault="00C74245" w:rsidP="00FF0B61">
      <w:pPr>
        <w:spacing w:after="0" w:line="240" w:lineRule="auto"/>
        <w:rPr>
          <w:szCs w:val="18"/>
          <w:u w:val="single"/>
        </w:rPr>
      </w:pPr>
      <w:r w:rsidRPr="002629A4">
        <w:rPr>
          <w:b/>
          <w:u w:val="single"/>
        </w:rPr>
        <w:t>Administrative Penalt</w:t>
      </w:r>
      <w:r w:rsidR="00FD76F7">
        <w:rPr>
          <w:b/>
          <w:u w:val="single"/>
        </w:rPr>
        <w:t>ies</w:t>
      </w:r>
      <w:r w:rsidRPr="002629A4">
        <w:rPr>
          <w:b/>
          <w:u w:val="single"/>
        </w:rPr>
        <w:t xml:space="preserve"> </w:t>
      </w:r>
      <w:r w:rsidR="0042338D" w:rsidRPr="002629A4">
        <w:rPr>
          <w:b/>
          <w:color w:val="C45911" w:themeColor="accent2" w:themeShade="BF"/>
          <w:u w:val="single"/>
        </w:rPr>
        <w:t>(BCSA 162</w:t>
      </w:r>
      <w:r w:rsidR="0042338D" w:rsidRPr="002629A4">
        <w:rPr>
          <w:b/>
          <w:u w:val="single"/>
        </w:rPr>
        <w:t>)</w:t>
      </w:r>
      <w:r w:rsidR="002629A4">
        <w:rPr>
          <w:b/>
          <w:u w:val="single"/>
        </w:rPr>
        <w:t>:</w:t>
      </w:r>
      <w:r w:rsidR="00BA2BA2">
        <w:rPr>
          <w:szCs w:val="18"/>
        </w:rPr>
        <w:t xml:space="preserve"> </w:t>
      </w:r>
      <w:r w:rsidR="00662B67">
        <w:t>Are</w:t>
      </w:r>
      <w:r w:rsidR="00662B67" w:rsidRPr="00662B67">
        <w:t xml:space="preserve"> ‘administrative’ not ‘penal’ and, as always, must fit in with the public interest and the goals of sanctioning. Cannot be awarded </w:t>
      </w:r>
      <w:r w:rsidR="00662B67" w:rsidRPr="00BA2BA2">
        <w:rPr>
          <w:b/>
          <w:i/>
        </w:rPr>
        <w:t>w</w:t>
      </w:r>
      <w:r w:rsidR="0060462B" w:rsidRPr="00BA2BA2">
        <w:rPr>
          <w:b/>
          <w:i/>
        </w:rPr>
        <w:t>/o</w:t>
      </w:r>
      <w:r w:rsidR="00662B67" w:rsidRPr="00BA2BA2">
        <w:rPr>
          <w:b/>
          <w:i/>
        </w:rPr>
        <w:t xml:space="preserve"> a violation of a securities law</w:t>
      </w:r>
      <w:r w:rsidR="00662B67" w:rsidRPr="00662B67">
        <w:t>. Amount to be determined in combination with other sanctions imposed in the circumstances. You need the sanction to be in the public interest and heard by the commission</w:t>
      </w:r>
      <w:r w:rsidR="002629A4">
        <w:t xml:space="preserve"> (</w:t>
      </w:r>
      <w:r w:rsidR="002629A4" w:rsidRPr="00BA2BA2">
        <w:rPr>
          <w:b/>
          <w:i/>
          <w:color w:val="1006E0"/>
        </w:rPr>
        <w:t>Re Cartaway</w:t>
      </w:r>
      <w:r w:rsidR="002629A4" w:rsidRPr="00BA2BA2">
        <w:rPr>
          <w:b/>
        </w:rPr>
        <w:t>)</w:t>
      </w:r>
      <w:r w:rsidR="00662B67" w:rsidRPr="00662B67">
        <w:t xml:space="preserve">. </w:t>
      </w:r>
    </w:p>
    <w:p w:rsidR="00662B67" w:rsidRDefault="00662B67" w:rsidP="00FF0B61">
      <w:pPr>
        <w:pStyle w:val="ListParagraph"/>
        <w:numPr>
          <w:ilvl w:val="0"/>
          <w:numId w:val="133"/>
        </w:numPr>
        <w:rPr>
          <w:b/>
        </w:rPr>
      </w:pPr>
      <w:r w:rsidRPr="002629A4">
        <w:rPr>
          <w:b/>
        </w:rPr>
        <w:t xml:space="preserve">Maximum </w:t>
      </w:r>
      <w:r w:rsidR="002629A4" w:rsidRPr="002629A4">
        <w:rPr>
          <w:b/>
        </w:rPr>
        <w:t>=</w:t>
      </w:r>
      <w:r w:rsidRPr="002629A4">
        <w:rPr>
          <w:b/>
        </w:rPr>
        <w:t xml:space="preserve"> $1,000,000</w:t>
      </w:r>
    </w:p>
    <w:p w:rsidR="00634C93" w:rsidRPr="00634C93" w:rsidRDefault="00634C93" w:rsidP="00FF0B61">
      <w:pPr>
        <w:spacing w:after="0" w:line="240" w:lineRule="auto"/>
      </w:pPr>
      <w:r w:rsidRPr="00634C93">
        <w:rPr>
          <w:b/>
          <w:u w:val="single"/>
        </w:rPr>
        <w:t>Costs (</w:t>
      </w:r>
      <w:r w:rsidRPr="00634C93">
        <w:rPr>
          <w:b/>
          <w:color w:val="C45911" w:themeColor="accent2" w:themeShade="BF"/>
          <w:u w:val="single"/>
        </w:rPr>
        <w:t>BCSA 160</w:t>
      </w:r>
      <w:r w:rsidRPr="00634C93">
        <w:rPr>
          <w:b/>
          <w:u w:val="single"/>
        </w:rPr>
        <w:t>):</w:t>
      </w:r>
      <w:r w:rsidRPr="00634C93">
        <w:rPr>
          <w:b/>
        </w:rPr>
        <w:t xml:space="preserve"> </w:t>
      </w:r>
      <w:r w:rsidRPr="00634C93">
        <w:t>After conducting a hearing, a Commission may order a party to pay the investigation or hearing costs (or both).</w:t>
      </w:r>
    </w:p>
    <w:p w:rsidR="00634C93" w:rsidRPr="00634C93" w:rsidRDefault="00634C93" w:rsidP="00FF0B61">
      <w:pPr>
        <w:pStyle w:val="ListParagraph"/>
        <w:numPr>
          <w:ilvl w:val="0"/>
          <w:numId w:val="134"/>
        </w:numPr>
      </w:pPr>
      <w:r w:rsidRPr="00634C93">
        <w:rPr>
          <w:b/>
        </w:rPr>
        <w:t xml:space="preserve">Includes: </w:t>
      </w:r>
      <w:r>
        <w:t>R</w:t>
      </w:r>
      <w:r w:rsidRPr="00634C93">
        <w:t>easonable amounts paid to non-Commission staff appointed in the investigative process; preliminary matters; time spent by Commission staff; fees paid to witnesses and legal costs.</w:t>
      </w:r>
    </w:p>
    <w:p w:rsidR="00634C93" w:rsidRDefault="00634C93" w:rsidP="00FF0B61">
      <w:pPr>
        <w:pStyle w:val="ListParagraph"/>
        <w:numPr>
          <w:ilvl w:val="0"/>
          <w:numId w:val="134"/>
        </w:numPr>
      </w:pPr>
      <w:r w:rsidRPr="00634C93">
        <w:t>Commissions may not order costs against Commission staff (no “loser pays” - problematic).</w:t>
      </w:r>
    </w:p>
    <w:p w:rsidR="00450BCD" w:rsidRDefault="00450BCD" w:rsidP="00FF0B61">
      <w:pPr>
        <w:spacing w:line="240" w:lineRule="auto"/>
      </w:pPr>
      <w:r w:rsidRPr="00232A07">
        <w:rPr>
          <w:b/>
          <w:u w:val="single"/>
        </w:rPr>
        <w:t>Failure to Comply with Filing Requirements (</w:t>
      </w:r>
      <w:r w:rsidRPr="00232A07">
        <w:rPr>
          <w:b/>
          <w:color w:val="C45911" w:themeColor="accent2" w:themeShade="BF"/>
          <w:u w:val="single"/>
        </w:rPr>
        <w:t>BCSA 164</w:t>
      </w:r>
      <w:r w:rsidRPr="00232A07">
        <w:rPr>
          <w:b/>
          <w:u w:val="single"/>
        </w:rPr>
        <w:t>):</w:t>
      </w:r>
      <w:r w:rsidR="00232A07" w:rsidRPr="00232A07">
        <w:t xml:space="preserve"> Cease trade order without hearing.</w:t>
      </w:r>
    </w:p>
    <w:p w:rsidR="0095649C" w:rsidRDefault="0095649C" w:rsidP="00FF0B61">
      <w:pPr>
        <w:pStyle w:val="Heading3"/>
        <w:spacing w:line="240" w:lineRule="auto"/>
      </w:pPr>
      <w:bookmarkStart w:id="90" w:name="_Toc468980461"/>
      <w:r>
        <w:t>Court Remedies</w:t>
      </w:r>
      <w:bookmarkEnd w:id="90"/>
    </w:p>
    <w:p w:rsidR="00971735" w:rsidRPr="00971735" w:rsidRDefault="00A15A54" w:rsidP="00FF0B61">
      <w:pPr>
        <w:spacing w:after="0" w:line="240" w:lineRule="auto"/>
        <w:rPr>
          <w:b/>
        </w:rPr>
      </w:pPr>
      <w:r>
        <w:rPr>
          <w:b/>
          <w:color w:val="C45911" w:themeColor="accent2" w:themeShade="BF"/>
        </w:rPr>
        <w:t>BCSA s.157(1)</w:t>
      </w:r>
      <w:r w:rsidR="0095649C">
        <w:rPr>
          <w:b/>
        </w:rPr>
        <w:t xml:space="preserve">: </w:t>
      </w:r>
      <w:r w:rsidR="00971735">
        <w:t>Commission is able to apply to court for a declaration that a person has not complied with provincial securities laws. Once this happens, court has jurisdiction to command any orders is has the powers to do (</w:t>
      </w:r>
      <w:r w:rsidR="00971735">
        <w:rPr>
          <w:b/>
        </w:rPr>
        <w:t>BofP)</w:t>
      </w:r>
    </w:p>
    <w:p w:rsidR="00971735" w:rsidRDefault="00971735" w:rsidP="00FF0B61">
      <w:pPr>
        <w:pStyle w:val="ListParagraph"/>
        <w:numPr>
          <w:ilvl w:val="0"/>
          <w:numId w:val="166"/>
        </w:numPr>
      </w:pPr>
      <w:r>
        <w:rPr>
          <w:b/>
        </w:rPr>
        <w:t xml:space="preserve">Ex: </w:t>
      </w:r>
      <w:r>
        <w:t xml:space="preserve">Forcing compliance, ordering transactions be rescinded, financial statements be produced, appoints of OFRs or DIRs, compensation or restitution, or ANY other order it considers appropriate. </w:t>
      </w:r>
    </w:p>
    <w:p w:rsidR="00012815" w:rsidRDefault="00012815" w:rsidP="00012815">
      <w:pPr>
        <w:pStyle w:val="ListParagraph"/>
        <w:rPr>
          <w:b/>
        </w:rPr>
      </w:pPr>
    </w:p>
    <w:p w:rsidR="00012815" w:rsidRDefault="00012815" w:rsidP="00012815">
      <w:pPr>
        <w:pStyle w:val="ListParagraph"/>
        <w:rPr>
          <w:b/>
        </w:rPr>
      </w:pPr>
    </w:p>
    <w:p w:rsidR="00012815" w:rsidRDefault="00012815" w:rsidP="00012815">
      <w:pPr>
        <w:pStyle w:val="ListParagraph"/>
      </w:pPr>
    </w:p>
    <w:p w:rsidR="00D722B9" w:rsidRPr="00232A07" w:rsidRDefault="00B915BF" w:rsidP="00FF0B61">
      <w:pPr>
        <w:pStyle w:val="Heading2"/>
        <w:spacing w:line="240" w:lineRule="auto"/>
      </w:pPr>
      <w:bookmarkStart w:id="91" w:name="_Toc468980462"/>
      <w:r w:rsidRPr="00232A07">
        <w:lastRenderedPageBreak/>
        <w:t>Option 2</w:t>
      </w:r>
      <w:r w:rsidR="00D722B9" w:rsidRPr="00232A07">
        <w:t>: Quasi-Criminal Provisions</w:t>
      </w:r>
      <w:bookmarkEnd w:id="91"/>
      <w:r w:rsidR="00D722B9" w:rsidRPr="00232A07">
        <w:t xml:space="preserve"> </w:t>
      </w:r>
    </w:p>
    <w:p w:rsidR="00450468" w:rsidRDefault="00B915BF" w:rsidP="00FF0B61">
      <w:pPr>
        <w:spacing w:line="240" w:lineRule="auto"/>
      </w:pPr>
      <w:r>
        <w:rPr>
          <w:b/>
        </w:rPr>
        <w:t>General</w:t>
      </w:r>
      <w:r w:rsidR="00450468">
        <w:t xml:space="preserve"> – They are not criminal provisions b/c not in CC but they use </w:t>
      </w:r>
      <w:r w:rsidR="00450468" w:rsidRPr="001E229D">
        <w:rPr>
          <w:b/>
        </w:rPr>
        <w:t>BARD burden of proof</w:t>
      </w:r>
      <w:r w:rsidR="00450468">
        <w:t xml:space="preserve">. They may be initially investigated by securities commission staff; at some point they decide its serious enough to give to Provincial Crown. </w:t>
      </w:r>
      <w:r w:rsidR="00D47D9B">
        <w:t xml:space="preserve">This has not been great b/c relationship b/w Crown + Securities Commission is not great. </w:t>
      </w:r>
    </w:p>
    <w:p w:rsidR="00DD3BCC" w:rsidRDefault="00232A07" w:rsidP="00FF0B61">
      <w:pPr>
        <w:spacing w:after="0" w:line="240" w:lineRule="auto"/>
        <w:rPr>
          <w:szCs w:val="20"/>
        </w:rPr>
      </w:pPr>
      <w:r w:rsidRPr="008769F8">
        <w:rPr>
          <w:b/>
        </w:rPr>
        <w:t>[1] General Offences</w:t>
      </w:r>
      <w:r w:rsidR="001E229D">
        <w:rPr>
          <w:b/>
        </w:rPr>
        <w:t xml:space="preserve"> </w:t>
      </w:r>
      <w:r w:rsidR="00DD3BCC">
        <w:rPr>
          <w:b/>
        </w:rPr>
        <w:t>(</w:t>
      </w:r>
      <w:r w:rsidR="008A4B9A" w:rsidRPr="008A4B9A">
        <w:rPr>
          <w:b/>
          <w:color w:val="C45911" w:themeColor="accent2" w:themeShade="BF"/>
          <w:szCs w:val="20"/>
        </w:rPr>
        <w:t>BCSA 155(1)</w:t>
      </w:r>
      <w:r w:rsidR="00DD3BCC">
        <w:rPr>
          <w:b/>
          <w:color w:val="C45911" w:themeColor="accent2" w:themeShade="BF"/>
          <w:szCs w:val="20"/>
        </w:rPr>
        <w:t>)</w:t>
      </w:r>
      <w:r w:rsidR="008A4B9A" w:rsidRPr="008A4B9A">
        <w:rPr>
          <w:b/>
          <w:color w:val="C45911" w:themeColor="accent2" w:themeShade="BF"/>
          <w:szCs w:val="20"/>
        </w:rPr>
        <w:t xml:space="preserve">: </w:t>
      </w:r>
      <w:r w:rsidR="008A4B9A" w:rsidRPr="008A4B9A">
        <w:rPr>
          <w:szCs w:val="20"/>
        </w:rPr>
        <w:t>provides quasi-criminal offences which must be proven B</w:t>
      </w:r>
      <w:r w:rsidR="00EA5345">
        <w:rPr>
          <w:szCs w:val="20"/>
        </w:rPr>
        <w:t>A</w:t>
      </w:r>
      <w:r w:rsidR="008A4B9A" w:rsidRPr="008A4B9A">
        <w:rPr>
          <w:szCs w:val="20"/>
        </w:rPr>
        <w:t>RD:</w:t>
      </w:r>
    </w:p>
    <w:p w:rsidR="00DD3BCC" w:rsidRDefault="00DD3BCC" w:rsidP="00FF0B61">
      <w:pPr>
        <w:spacing w:after="0" w:line="240" w:lineRule="auto"/>
        <w:ind w:left="142"/>
        <w:rPr>
          <w:szCs w:val="20"/>
          <w:highlight w:val="white"/>
        </w:rPr>
      </w:pPr>
      <w:r w:rsidRPr="00DD3BCC">
        <w:rPr>
          <w:b/>
          <w:color w:val="C45911" w:themeColor="accent2" w:themeShade="BF"/>
          <w:szCs w:val="20"/>
        </w:rPr>
        <w:t>a)</w:t>
      </w:r>
      <w:r w:rsidRPr="00DD3BCC">
        <w:rPr>
          <w:color w:val="C45911" w:themeColor="accent2" w:themeShade="BF"/>
          <w:szCs w:val="20"/>
        </w:rPr>
        <w:t xml:space="preserve"> </w:t>
      </w:r>
      <w:r w:rsidR="008A4B9A" w:rsidRPr="008A4B9A">
        <w:rPr>
          <w:szCs w:val="20"/>
          <w:highlight w:val="white"/>
        </w:rPr>
        <w:t xml:space="preserve">fails </w:t>
      </w:r>
      <w:r w:rsidR="008A4B9A" w:rsidRPr="00E71034">
        <w:rPr>
          <w:b/>
          <w:i/>
          <w:szCs w:val="20"/>
          <w:highlight w:val="white"/>
        </w:rPr>
        <w:t>to file, provide, deliver or send a record that</w:t>
      </w:r>
      <w:r w:rsidR="00E71034">
        <w:rPr>
          <w:szCs w:val="20"/>
          <w:highlight w:val="white"/>
        </w:rPr>
        <w:t xml:space="preserve"> </w:t>
      </w:r>
      <w:r w:rsidR="00E71034" w:rsidRPr="008769F8">
        <w:rPr>
          <w:b/>
          <w:szCs w:val="20"/>
          <w:highlight w:val="white"/>
        </w:rPr>
        <w:t>i)</w:t>
      </w:r>
      <w:r w:rsidR="00E71034">
        <w:rPr>
          <w:szCs w:val="20"/>
          <w:highlight w:val="white"/>
        </w:rPr>
        <w:t xml:space="preserve"> </w:t>
      </w:r>
      <w:r w:rsidR="00282171" w:rsidRPr="00E71034">
        <w:rPr>
          <w:szCs w:val="20"/>
          <w:highlight w:val="white"/>
        </w:rPr>
        <w:t xml:space="preserve">is required </w:t>
      </w:r>
      <w:r w:rsidR="00282171" w:rsidRPr="008769F8">
        <w:rPr>
          <w:b/>
          <w:szCs w:val="20"/>
          <w:highlight w:val="white"/>
        </w:rPr>
        <w:t>or</w:t>
      </w:r>
      <w:r w:rsidR="00E71034" w:rsidRPr="008769F8">
        <w:rPr>
          <w:b/>
          <w:szCs w:val="20"/>
          <w:highlight w:val="white"/>
        </w:rPr>
        <w:t xml:space="preserve"> ii)</w:t>
      </w:r>
      <w:r w:rsidR="00E71034">
        <w:rPr>
          <w:szCs w:val="20"/>
          <w:highlight w:val="white"/>
        </w:rPr>
        <w:t xml:space="preserve"> </w:t>
      </w:r>
      <w:r w:rsidR="00282171" w:rsidRPr="00E71034">
        <w:rPr>
          <w:szCs w:val="20"/>
          <w:highlight w:val="white"/>
        </w:rPr>
        <w:t>is required … within the time required under this Act;</w:t>
      </w:r>
    </w:p>
    <w:p w:rsidR="00DD3BCC" w:rsidRDefault="00DD3BCC" w:rsidP="00FF0B61">
      <w:pPr>
        <w:spacing w:after="0" w:line="240" w:lineRule="auto"/>
        <w:ind w:left="142"/>
        <w:rPr>
          <w:szCs w:val="18"/>
        </w:rPr>
      </w:pPr>
      <w:r w:rsidRPr="00DD3BCC">
        <w:rPr>
          <w:b/>
          <w:color w:val="C45911" w:themeColor="accent2" w:themeShade="BF"/>
          <w:szCs w:val="20"/>
          <w:highlight w:val="white"/>
        </w:rPr>
        <w:t>b)</w:t>
      </w:r>
      <w:r w:rsidRPr="00DD3BCC">
        <w:rPr>
          <w:color w:val="C45911" w:themeColor="accent2" w:themeShade="BF"/>
          <w:szCs w:val="20"/>
          <w:highlight w:val="white"/>
        </w:rPr>
        <w:t xml:space="preserve"> </w:t>
      </w:r>
      <w:r w:rsidR="008A4B9A" w:rsidRPr="008769F8">
        <w:rPr>
          <w:b/>
          <w:szCs w:val="18"/>
          <w:highlight w:val="white"/>
        </w:rPr>
        <w:t xml:space="preserve">contravenes any of </w:t>
      </w:r>
      <w:r w:rsidR="008A4B9A" w:rsidRPr="008769F8">
        <w:rPr>
          <w:b/>
          <w:szCs w:val="18"/>
        </w:rPr>
        <w:t xml:space="preserve">section </w:t>
      </w:r>
      <w:r w:rsidR="00282171" w:rsidRPr="008769F8">
        <w:rPr>
          <w:b/>
          <w:szCs w:val="18"/>
        </w:rPr>
        <w:t>of s</w:t>
      </w:r>
      <w:r w:rsidR="00282171" w:rsidRPr="00282171">
        <w:rPr>
          <w:szCs w:val="18"/>
        </w:rPr>
        <w:t xml:space="preserve">. </w:t>
      </w:r>
      <w:r w:rsidR="00282171" w:rsidRPr="00282171">
        <w:rPr>
          <w:b/>
          <w:color w:val="C45911" w:themeColor="accent2" w:themeShade="BF"/>
          <w:szCs w:val="18"/>
        </w:rPr>
        <w:t>34</w:t>
      </w:r>
      <w:r w:rsidR="00282171" w:rsidRPr="00282171">
        <w:rPr>
          <w:color w:val="C45911" w:themeColor="accent2" w:themeShade="BF"/>
          <w:szCs w:val="18"/>
        </w:rPr>
        <w:t xml:space="preserve"> </w:t>
      </w:r>
      <w:r w:rsidR="00282171" w:rsidRPr="00282171">
        <w:rPr>
          <w:szCs w:val="18"/>
        </w:rPr>
        <w:t>(</w:t>
      </w:r>
      <w:r w:rsidR="00282171" w:rsidRPr="008769F8">
        <w:rPr>
          <w:b/>
          <w:szCs w:val="18"/>
        </w:rPr>
        <w:t>registration</w:t>
      </w:r>
      <w:r w:rsidR="00282171" w:rsidRPr="00282171">
        <w:rPr>
          <w:szCs w:val="18"/>
        </w:rPr>
        <w:t xml:space="preserve">) … </w:t>
      </w:r>
      <w:r w:rsidR="00282171" w:rsidRPr="00282171">
        <w:rPr>
          <w:b/>
          <w:color w:val="C45911" w:themeColor="accent2" w:themeShade="BF"/>
          <w:szCs w:val="18"/>
        </w:rPr>
        <w:t>57.2</w:t>
      </w:r>
      <w:r w:rsidR="00282171" w:rsidRPr="00282171">
        <w:rPr>
          <w:color w:val="C45911" w:themeColor="accent2" w:themeShade="BF"/>
          <w:szCs w:val="18"/>
        </w:rPr>
        <w:t xml:space="preserve"> </w:t>
      </w:r>
      <w:r w:rsidR="00282171" w:rsidRPr="00282171">
        <w:rPr>
          <w:szCs w:val="18"/>
        </w:rPr>
        <w:t>(</w:t>
      </w:r>
      <w:r w:rsidR="00282171" w:rsidRPr="008769F8">
        <w:rPr>
          <w:b/>
          <w:szCs w:val="18"/>
        </w:rPr>
        <w:t>Insider trading</w:t>
      </w:r>
      <w:r w:rsidR="00282171" w:rsidRPr="00282171">
        <w:rPr>
          <w:szCs w:val="18"/>
        </w:rPr>
        <w:t xml:space="preserve">) … </w:t>
      </w:r>
      <w:r w:rsidR="00282171" w:rsidRPr="00282171">
        <w:rPr>
          <w:b/>
          <w:color w:val="C45911" w:themeColor="accent2" w:themeShade="BF"/>
          <w:szCs w:val="18"/>
        </w:rPr>
        <w:t>61</w:t>
      </w:r>
      <w:r w:rsidR="00282171" w:rsidRPr="00282171">
        <w:rPr>
          <w:color w:val="C45911" w:themeColor="accent2" w:themeShade="BF"/>
          <w:szCs w:val="18"/>
        </w:rPr>
        <w:t xml:space="preserve"> </w:t>
      </w:r>
      <w:r w:rsidR="00282171" w:rsidRPr="00282171">
        <w:rPr>
          <w:szCs w:val="18"/>
        </w:rPr>
        <w:t>(</w:t>
      </w:r>
      <w:r w:rsidR="00282171" w:rsidRPr="008769F8">
        <w:rPr>
          <w:b/>
          <w:szCs w:val="18"/>
        </w:rPr>
        <w:t>Prospectus</w:t>
      </w:r>
      <w:r w:rsidR="00282171" w:rsidRPr="00282171">
        <w:rPr>
          <w:szCs w:val="18"/>
        </w:rPr>
        <w:t xml:space="preserve">), </w:t>
      </w:r>
      <w:r w:rsidR="00282171" w:rsidRPr="00282171">
        <w:rPr>
          <w:b/>
          <w:color w:val="C45911" w:themeColor="accent2" w:themeShade="BF"/>
          <w:szCs w:val="18"/>
        </w:rPr>
        <w:t>85(b)</w:t>
      </w:r>
      <w:r w:rsidR="00282171" w:rsidRPr="00282171">
        <w:rPr>
          <w:color w:val="C45911" w:themeColor="accent2" w:themeShade="BF"/>
          <w:szCs w:val="18"/>
        </w:rPr>
        <w:t xml:space="preserve"> </w:t>
      </w:r>
      <w:r w:rsidR="00282171" w:rsidRPr="00282171">
        <w:rPr>
          <w:szCs w:val="18"/>
        </w:rPr>
        <w:t>(</w:t>
      </w:r>
      <w:r w:rsidR="00282171" w:rsidRPr="008769F8">
        <w:rPr>
          <w:b/>
          <w:szCs w:val="18"/>
        </w:rPr>
        <w:t>Timely Disclosure</w:t>
      </w:r>
      <w:r w:rsidR="00282171" w:rsidRPr="00282171">
        <w:rPr>
          <w:szCs w:val="18"/>
        </w:rPr>
        <w:t xml:space="preserve">) …  </w:t>
      </w:r>
    </w:p>
    <w:p w:rsidR="00DD3BCC" w:rsidRDefault="00DD3BCC" w:rsidP="00FF0B61">
      <w:pPr>
        <w:spacing w:after="0" w:line="240" w:lineRule="auto"/>
        <w:ind w:left="142"/>
        <w:rPr>
          <w:szCs w:val="18"/>
          <w:highlight w:val="white"/>
        </w:rPr>
      </w:pPr>
      <w:r w:rsidRPr="00DD3BCC">
        <w:rPr>
          <w:b/>
          <w:color w:val="C45911" w:themeColor="accent2" w:themeShade="BF"/>
          <w:szCs w:val="18"/>
        </w:rPr>
        <w:t>c)</w:t>
      </w:r>
      <w:r w:rsidRPr="00DD3BCC">
        <w:rPr>
          <w:color w:val="C45911" w:themeColor="accent2" w:themeShade="BF"/>
          <w:szCs w:val="18"/>
        </w:rPr>
        <w:t xml:space="preserve"> </w:t>
      </w:r>
      <w:r w:rsidR="008A4B9A" w:rsidRPr="00282171">
        <w:rPr>
          <w:szCs w:val="18"/>
          <w:highlight w:val="white"/>
        </w:rPr>
        <w:t>fails to comply with a decision made under this Act;</w:t>
      </w:r>
    </w:p>
    <w:p w:rsidR="00DD3BCC" w:rsidRDefault="00DD3BCC" w:rsidP="00FF0B61">
      <w:pPr>
        <w:spacing w:after="0" w:line="240" w:lineRule="auto"/>
        <w:ind w:left="142"/>
        <w:rPr>
          <w:szCs w:val="18"/>
          <w:highlight w:val="white"/>
        </w:rPr>
      </w:pPr>
      <w:r w:rsidRPr="00DD3BCC">
        <w:rPr>
          <w:b/>
          <w:color w:val="C45911" w:themeColor="accent2" w:themeShade="BF"/>
          <w:szCs w:val="18"/>
          <w:highlight w:val="white"/>
        </w:rPr>
        <w:t>d)</w:t>
      </w:r>
      <w:r w:rsidRPr="00DD3BCC">
        <w:rPr>
          <w:color w:val="C45911" w:themeColor="accent2" w:themeShade="BF"/>
          <w:szCs w:val="18"/>
          <w:highlight w:val="white"/>
        </w:rPr>
        <w:t xml:space="preserve"> </w:t>
      </w:r>
      <w:r w:rsidR="008A4B9A" w:rsidRPr="00282171">
        <w:rPr>
          <w:szCs w:val="18"/>
          <w:highlight w:val="white"/>
        </w:rPr>
        <w:t>contravenes any of the provisions of the regulations that are specified by regulation for the purpose of this paragraph;</w:t>
      </w:r>
    </w:p>
    <w:p w:rsidR="00232A07" w:rsidRDefault="00DD3BCC" w:rsidP="00FF0B61">
      <w:pPr>
        <w:spacing w:after="0" w:line="240" w:lineRule="auto"/>
        <w:ind w:left="142"/>
        <w:rPr>
          <w:szCs w:val="18"/>
        </w:rPr>
      </w:pPr>
      <w:r w:rsidRPr="00DD3BCC">
        <w:rPr>
          <w:b/>
          <w:color w:val="C45911" w:themeColor="accent2" w:themeShade="BF"/>
          <w:szCs w:val="18"/>
          <w:highlight w:val="white"/>
        </w:rPr>
        <w:t>e)</w:t>
      </w:r>
      <w:r w:rsidRPr="00DD3BCC">
        <w:rPr>
          <w:color w:val="C45911" w:themeColor="accent2" w:themeShade="BF"/>
          <w:szCs w:val="18"/>
          <w:highlight w:val="white"/>
        </w:rPr>
        <w:t xml:space="preserve"> </w:t>
      </w:r>
      <w:r w:rsidR="008A4B9A" w:rsidRPr="00282171">
        <w:rPr>
          <w:szCs w:val="18"/>
          <w:highlight w:val="white"/>
        </w:rPr>
        <w:t>contravenes any of the</w:t>
      </w:r>
      <w:r w:rsidR="008A4B9A" w:rsidRPr="008A4B9A">
        <w:rPr>
          <w:szCs w:val="18"/>
          <w:highlight w:val="white"/>
        </w:rPr>
        <w:t xml:space="preserve"> provisions of the commission rules that are specified by regulation for the purpose of this paragraph.</w:t>
      </w:r>
    </w:p>
    <w:p w:rsidR="001E229D" w:rsidRPr="001E229D" w:rsidRDefault="001E229D" w:rsidP="00FF0B61">
      <w:pPr>
        <w:pStyle w:val="ListParagraph"/>
        <w:numPr>
          <w:ilvl w:val="0"/>
          <w:numId w:val="137"/>
        </w:numPr>
        <w:spacing w:after="0"/>
      </w:pPr>
      <w:r w:rsidRPr="00C3444B">
        <w:rPr>
          <w:b/>
          <w:u w:val="single"/>
        </w:rPr>
        <w:t>DEFENSE</w:t>
      </w:r>
      <w:r w:rsidR="005F4FD7" w:rsidRPr="00C3444B">
        <w:rPr>
          <w:b/>
          <w:u w:val="single"/>
        </w:rPr>
        <w:t>S</w:t>
      </w:r>
      <w:r w:rsidRPr="00C3444B">
        <w:rPr>
          <w:b/>
          <w:u w:val="single"/>
        </w:rPr>
        <w:t>:</w:t>
      </w:r>
      <w:r w:rsidRPr="00C3444B">
        <w:t xml:space="preserve"> </w:t>
      </w:r>
      <w:r w:rsidR="005F4FD7" w:rsidRPr="00C3444B">
        <w:rPr>
          <w:b/>
        </w:rPr>
        <w:t>1)</w:t>
      </w:r>
      <w:r w:rsidR="005F4FD7" w:rsidRPr="00C3444B">
        <w:t xml:space="preserve"> </w:t>
      </w:r>
      <w:r w:rsidR="005F4FD7" w:rsidRPr="00235141">
        <w:rPr>
          <w:b/>
        </w:rPr>
        <w:t>Due Diligence</w:t>
      </w:r>
      <w:r w:rsidR="005F4FD7" w:rsidRPr="00C3444B">
        <w:t xml:space="preserve"> – the A must prove he or she did everything reasonably possible to avoid committing the offence; </w:t>
      </w:r>
      <w:r w:rsidR="005F4FD7" w:rsidRPr="00C3444B">
        <w:rPr>
          <w:b/>
        </w:rPr>
        <w:t>2)</w:t>
      </w:r>
      <w:r w:rsidR="005F4FD7" w:rsidRPr="00C3444B">
        <w:t xml:space="preserve"> </w:t>
      </w:r>
      <w:r w:rsidRPr="00C3444B">
        <w:t>Where the allegation is that</w:t>
      </w:r>
      <w:r>
        <w:t xml:space="preserve"> a required thing was not done, the burden is on the A to prove that it was done. </w:t>
      </w:r>
    </w:p>
    <w:p w:rsidR="00E71034" w:rsidRDefault="00E71034" w:rsidP="00FF0B61">
      <w:pPr>
        <w:pStyle w:val="Normal1"/>
        <w:widowControl w:val="0"/>
        <w:spacing w:line="240" w:lineRule="auto"/>
        <w:contextualSpacing/>
        <w:rPr>
          <w:rFonts w:asciiTheme="minorHAnsi" w:hAnsiTheme="minorHAnsi"/>
          <w:sz w:val="18"/>
          <w:szCs w:val="18"/>
          <w:highlight w:val="white"/>
        </w:rPr>
      </w:pPr>
    </w:p>
    <w:p w:rsidR="008769F8" w:rsidRDefault="00232A07" w:rsidP="00FF0B61">
      <w:pPr>
        <w:spacing w:after="0" w:line="240" w:lineRule="auto"/>
      </w:pPr>
      <w:r w:rsidRPr="008769F8">
        <w:rPr>
          <w:b/>
        </w:rPr>
        <w:t>[2] DIR/OFR permitting an Offence</w:t>
      </w:r>
      <w:r w:rsidR="008769F8" w:rsidRPr="008769F8">
        <w:rPr>
          <w:b/>
        </w:rPr>
        <w:t xml:space="preserve"> (</w:t>
      </w:r>
      <w:r w:rsidR="008769F8" w:rsidRPr="008769F8">
        <w:rPr>
          <w:b/>
          <w:color w:val="C45911" w:themeColor="accent2" w:themeShade="BF"/>
        </w:rPr>
        <w:t>155(4)</w:t>
      </w:r>
      <w:r w:rsidR="008769F8" w:rsidRPr="008769F8">
        <w:rPr>
          <w:b/>
        </w:rPr>
        <w:t>)</w:t>
      </w:r>
      <w:r w:rsidR="00163B6B" w:rsidRPr="008769F8">
        <w:rPr>
          <w:b/>
        </w:rPr>
        <w:t xml:space="preserve">: </w:t>
      </w:r>
      <w:r w:rsidR="008769F8" w:rsidRPr="008769F8">
        <w:t xml:space="preserve">DIRs/OFRs who authorize, permit or acquiesce (i.e. </w:t>
      </w:r>
      <w:r w:rsidR="005F4FD7" w:rsidRPr="008769F8">
        <w:t>willful</w:t>
      </w:r>
      <w:r w:rsidR="008769F8" w:rsidRPr="008769F8">
        <w:t xml:space="preserve"> blindness) in the commission of a general offence are liable for the offence, regardless of whether their corporation or firm ha</w:t>
      </w:r>
      <w:r w:rsidR="008769F8">
        <w:t>s been charged or found guilty</w:t>
      </w:r>
      <w:r w:rsidR="005B3BBE">
        <w:t>.</w:t>
      </w:r>
    </w:p>
    <w:p w:rsidR="001E229D" w:rsidRDefault="005B3BBE" w:rsidP="00FF0B61">
      <w:pPr>
        <w:pStyle w:val="ListParagraph"/>
        <w:numPr>
          <w:ilvl w:val="0"/>
          <w:numId w:val="136"/>
        </w:numPr>
        <w:spacing w:after="0"/>
        <w:rPr>
          <w:b/>
          <w:i/>
        </w:rPr>
      </w:pPr>
      <w:r>
        <w:t xml:space="preserve">Prosecution must prove that the DIR or PFR </w:t>
      </w:r>
      <w:r w:rsidRPr="006C1F62">
        <w:rPr>
          <w:b/>
          <w:i/>
        </w:rPr>
        <w:t xml:space="preserve">knew a general offence was committed. </w:t>
      </w:r>
    </w:p>
    <w:p w:rsidR="005B3BBE" w:rsidRPr="00C3444B" w:rsidRDefault="001E229D" w:rsidP="00FF0B61">
      <w:pPr>
        <w:pStyle w:val="ListParagraph"/>
        <w:numPr>
          <w:ilvl w:val="0"/>
          <w:numId w:val="136"/>
        </w:numPr>
        <w:spacing w:after="0"/>
        <w:rPr>
          <w:b/>
          <w:i/>
        </w:rPr>
      </w:pPr>
      <w:r w:rsidRPr="001E229D">
        <w:rPr>
          <w:b/>
        </w:rPr>
        <w:t>DEFENSE</w:t>
      </w:r>
      <w:r w:rsidR="00DD3BCC" w:rsidRPr="001E229D">
        <w:rPr>
          <w:b/>
        </w:rPr>
        <w:t xml:space="preserve">: </w:t>
      </w:r>
      <w:r w:rsidR="006C1F62" w:rsidRPr="00C3444B">
        <w:rPr>
          <w:b/>
        </w:rPr>
        <w:t xml:space="preserve">Limited to Due-Diligence Defense. </w:t>
      </w:r>
    </w:p>
    <w:p w:rsidR="00C055B1" w:rsidRPr="00C055B1" w:rsidRDefault="00C055B1" w:rsidP="00FF0B61">
      <w:pPr>
        <w:pStyle w:val="ListParagraph"/>
        <w:spacing w:after="0"/>
        <w:rPr>
          <w:b/>
          <w:i/>
        </w:rPr>
      </w:pPr>
    </w:p>
    <w:p w:rsidR="008769F8" w:rsidRPr="008769F8" w:rsidRDefault="008769F8" w:rsidP="00FF0B61">
      <w:pPr>
        <w:spacing w:after="0" w:line="240" w:lineRule="auto"/>
        <w:rPr>
          <w:b/>
          <w:u w:val="single"/>
        </w:rPr>
      </w:pPr>
      <w:r w:rsidRPr="008769F8">
        <w:rPr>
          <w:b/>
          <w:u w:val="single"/>
        </w:rPr>
        <w:t>PENALTIES:</w:t>
      </w:r>
    </w:p>
    <w:p w:rsidR="008769F8" w:rsidRDefault="008769F8" w:rsidP="00FF0B61">
      <w:pPr>
        <w:spacing w:after="0" w:line="240" w:lineRule="auto"/>
      </w:pPr>
      <w:r>
        <w:rPr>
          <w:b/>
        </w:rPr>
        <w:t>General</w:t>
      </w:r>
      <w:r w:rsidRPr="00E71034">
        <w:rPr>
          <w:b/>
        </w:rPr>
        <w:t xml:space="preserve"> (</w:t>
      </w:r>
      <w:r w:rsidRPr="00E71034">
        <w:rPr>
          <w:b/>
          <w:color w:val="C45911" w:themeColor="accent2" w:themeShade="BF"/>
        </w:rPr>
        <w:t>155(2)):</w:t>
      </w:r>
      <w:r w:rsidRPr="00E71034">
        <w:t xml:space="preserve"> Liable to a fine of not more than $3million or to imprisonment for not more than 3 years, or both (Charter has never been successfully argued here though). </w:t>
      </w:r>
    </w:p>
    <w:p w:rsidR="008769F8" w:rsidRPr="00E71034" w:rsidRDefault="008769F8" w:rsidP="00FF0B61">
      <w:pPr>
        <w:pStyle w:val="ListParagraph"/>
        <w:numPr>
          <w:ilvl w:val="0"/>
          <w:numId w:val="135"/>
        </w:numPr>
      </w:pPr>
      <w:r>
        <w:t xml:space="preserve">Failure to do periodic disclosure is not an offence under this. </w:t>
      </w:r>
    </w:p>
    <w:p w:rsidR="00E068E3" w:rsidRDefault="009722C0" w:rsidP="00FF0B61">
      <w:pPr>
        <w:spacing w:line="240" w:lineRule="auto"/>
      </w:pPr>
      <w:r w:rsidRPr="008769F8">
        <w:rPr>
          <w:b/>
        </w:rPr>
        <w:t>Special Set of Penalties for IT</w:t>
      </w:r>
      <w:r w:rsidR="008769F8" w:rsidRPr="008769F8">
        <w:rPr>
          <w:b/>
        </w:rPr>
        <w:t xml:space="preserve"> if contravene 57.2</w:t>
      </w:r>
      <w:r w:rsidRPr="008769F8">
        <w:rPr>
          <w:b/>
        </w:rPr>
        <w:t xml:space="preserve"> </w:t>
      </w:r>
      <w:r w:rsidR="008769F8" w:rsidRPr="008769F8">
        <w:rPr>
          <w:b/>
        </w:rPr>
        <w:t>(</w:t>
      </w:r>
      <w:r w:rsidR="008769F8" w:rsidRPr="008769F8">
        <w:rPr>
          <w:b/>
          <w:color w:val="C45911" w:themeColor="accent2" w:themeShade="BF"/>
        </w:rPr>
        <w:t xml:space="preserve">155(5)): </w:t>
      </w:r>
      <w:r w:rsidRPr="008769F8">
        <w:rPr>
          <w:b/>
        </w:rPr>
        <w:t xml:space="preserve">(a) </w:t>
      </w:r>
      <w:r w:rsidRPr="008769F8">
        <w:t xml:space="preserve">can’t be penalized less than the profit you made (bottom end); </w:t>
      </w:r>
      <w:r w:rsidRPr="008769F8">
        <w:rPr>
          <w:b/>
        </w:rPr>
        <w:t xml:space="preserve">(b) </w:t>
      </w:r>
      <w:r w:rsidRPr="008769F8">
        <w:t xml:space="preserve">the top end is not more than $3 million </w:t>
      </w:r>
      <w:r w:rsidRPr="008769F8">
        <w:rPr>
          <w:b/>
          <w:u w:val="single"/>
        </w:rPr>
        <w:t>OR</w:t>
      </w:r>
      <w:r w:rsidRPr="008769F8">
        <w:t xml:space="preserve"> triple any profit made by all persons.</w:t>
      </w:r>
      <w:r>
        <w:t xml:space="preserve"> </w:t>
      </w:r>
    </w:p>
    <w:p w:rsidR="005B3BBE" w:rsidRPr="005B3BBE" w:rsidRDefault="005B3BBE" w:rsidP="00FF0B61">
      <w:pPr>
        <w:spacing w:line="240" w:lineRule="auto"/>
      </w:pPr>
      <w:r>
        <w:rPr>
          <w:b/>
        </w:rPr>
        <w:t>Additional Remedies (</w:t>
      </w:r>
      <w:r w:rsidRPr="005B3BBE">
        <w:rPr>
          <w:b/>
          <w:color w:val="C45911" w:themeColor="accent2" w:themeShade="BF"/>
        </w:rPr>
        <w:t>155.1</w:t>
      </w:r>
      <w:r>
        <w:rPr>
          <w:b/>
        </w:rPr>
        <w:t xml:space="preserve">): </w:t>
      </w:r>
      <w:r w:rsidRPr="005B3BBE">
        <w:t>If the court finds that a person has committed an offence under section 155, t</w:t>
      </w:r>
      <w:r>
        <w:t xml:space="preserve">he court may make an order that </w:t>
      </w:r>
      <w:r w:rsidRPr="005B3BBE">
        <w:rPr>
          <w:b/>
        </w:rPr>
        <w:t>(a)</w:t>
      </w:r>
      <w:r w:rsidRPr="005B3BBE">
        <w:t xml:space="preserve"> the person </w:t>
      </w:r>
      <w:r w:rsidRPr="005B3BBE">
        <w:rPr>
          <w:u w:val="single"/>
        </w:rPr>
        <w:t>compensate or make restitution</w:t>
      </w:r>
      <w:r>
        <w:t xml:space="preserve"> to another person, or </w:t>
      </w:r>
      <w:r w:rsidRPr="005B3BBE">
        <w:rPr>
          <w:b/>
        </w:rPr>
        <w:t>(b)</w:t>
      </w:r>
      <w:r w:rsidRPr="005B3BBE">
        <w:t xml:space="preserve"> the person pay to the commission any amount obtained, or payment or loss avoided, directly or indirectly, as a result of the offence.</w:t>
      </w:r>
    </w:p>
    <w:p w:rsidR="00B915BF" w:rsidRDefault="00B915BF" w:rsidP="00FF0B61">
      <w:pPr>
        <w:pStyle w:val="Heading2"/>
        <w:spacing w:after="240" w:line="240" w:lineRule="auto"/>
      </w:pPr>
      <w:bookmarkStart w:id="92" w:name="_Toc468980463"/>
      <w:r w:rsidRPr="00B879E3">
        <w:t>Option 3: Criminal</w:t>
      </w:r>
      <w:bookmarkEnd w:id="92"/>
      <w:r w:rsidRPr="00B879E3">
        <w:t xml:space="preserve"> </w:t>
      </w:r>
    </w:p>
    <w:p w:rsidR="00D11A9D" w:rsidRDefault="00AA0B17" w:rsidP="00FF0B61">
      <w:pPr>
        <w:pStyle w:val="Heading1"/>
        <w:spacing w:after="0"/>
      </w:pPr>
      <w:bookmarkStart w:id="93" w:name="_Toc468980464"/>
      <w:r w:rsidRPr="00125676">
        <w:t>Statutory</w:t>
      </w:r>
      <w:r w:rsidR="0064446D">
        <w:t xml:space="preserve"> Civil</w:t>
      </w:r>
      <w:r w:rsidRPr="00125676">
        <w:t xml:space="preserve"> Liability and Due Diligence</w:t>
      </w:r>
      <w:bookmarkEnd w:id="93"/>
      <w:r>
        <w:t xml:space="preserve"> </w:t>
      </w:r>
    </w:p>
    <w:p w:rsidR="00D45333" w:rsidRPr="00D45333" w:rsidRDefault="00D45333" w:rsidP="00FF0B61">
      <w:pPr>
        <w:pStyle w:val="NormalWeb"/>
        <w:spacing w:before="0" w:beforeAutospacing="0" w:after="0" w:afterAutospacing="0"/>
        <w:textAlignment w:val="baseline"/>
        <w:rPr>
          <w:rFonts w:asciiTheme="minorHAnsi" w:hAnsiTheme="minorHAnsi" w:cs="Arial"/>
          <w:color w:val="000000"/>
          <w:sz w:val="18"/>
          <w:szCs w:val="20"/>
        </w:rPr>
      </w:pPr>
      <w:r>
        <w:rPr>
          <w:rFonts w:asciiTheme="minorHAnsi" w:hAnsiTheme="minorHAnsi" w:cs="Arial"/>
          <w:b/>
          <w:color w:val="000000"/>
          <w:sz w:val="18"/>
          <w:szCs w:val="20"/>
        </w:rPr>
        <w:t xml:space="preserve">Statutory Civil Liability applies in 5 Contexts: 1) </w:t>
      </w:r>
      <w:r>
        <w:rPr>
          <w:rFonts w:asciiTheme="minorHAnsi" w:hAnsiTheme="minorHAnsi" w:cs="Arial"/>
          <w:color w:val="000000"/>
          <w:sz w:val="18"/>
          <w:szCs w:val="20"/>
        </w:rPr>
        <w:t xml:space="preserve">Prospectus Misrepresentation; </w:t>
      </w:r>
      <w:r>
        <w:rPr>
          <w:rFonts w:asciiTheme="minorHAnsi" w:hAnsiTheme="minorHAnsi" w:cs="Arial"/>
          <w:b/>
          <w:color w:val="000000"/>
          <w:sz w:val="18"/>
          <w:szCs w:val="20"/>
        </w:rPr>
        <w:t xml:space="preserve">2) </w:t>
      </w:r>
      <w:r>
        <w:rPr>
          <w:rFonts w:asciiTheme="minorHAnsi" w:hAnsiTheme="minorHAnsi" w:cs="Arial"/>
          <w:color w:val="000000"/>
          <w:sz w:val="18"/>
          <w:szCs w:val="20"/>
        </w:rPr>
        <w:t xml:space="preserve">Offering Memorandum misrepresentation; </w:t>
      </w:r>
      <w:r>
        <w:rPr>
          <w:rFonts w:asciiTheme="minorHAnsi" w:hAnsiTheme="minorHAnsi" w:cs="Arial"/>
          <w:b/>
          <w:color w:val="000000"/>
          <w:sz w:val="18"/>
          <w:szCs w:val="20"/>
        </w:rPr>
        <w:t xml:space="preserve">3) </w:t>
      </w:r>
      <w:r>
        <w:rPr>
          <w:rFonts w:asciiTheme="minorHAnsi" w:hAnsiTheme="minorHAnsi" w:cs="Arial"/>
          <w:color w:val="000000"/>
          <w:sz w:val="18"/>
          <w:szCs w:val="20"/>
        </w:rPr>
        <w:t xml:space="preserve">Circular Misrepresentation; </w:t>
      </w:r>
      <w:r>
        <w:rPr>
          <w:rFonts w:asciiTheme="minorHAnsi" w:hAnsiTheme="minorHAnsi" w:cs="Arial"/>
          <w:b/>
          <w:color w:val="000000"/>
          <w:sz w:val="18"/>
          <w:szCs w:val="20"/>
        </w:rPr>
        <w:t xml:space="preserve">4) </w:t>
      </w:r>
      <w:r>
        <w:rPr>
          <w:rFonts w:asciiTheme="minorHAnsi" w:hAnsiTheme="minorHAnsi" w:cs="Arial"/>
          <w:color w:val="000000"/>
          <w:sz w:val="18"/>
          <w:szCs w:val="20"/>
        </w:rPr>
        <w:t xml:space="preserve">Trading and Tipping while in possession of undisclosed material facts or changes about the issues; </w:t>
      </w:r>
      <w:r>
        <w:rPr>
          <w:rFonts w:asciiTheme="minorHAnsi" w:hAnsiTheme="minorHAnsi" w:cs="Arial"/>
          <w:b/>
          <w:color w:val="000000"/>
          <w:sz w:val="18"/>
          <w:szCs w:val="20"/>
        </w:rPr>
        <w:t xml:space="preserve">4) </w:t>
      </w:r>
      <w:r>
        <w:rPr>
          <w:rFonts w:asciiTheme="minorHAnsi" w:hAnsiTheme="minorHAnsi" w:cs="Arial"/>
          <w:color w:val="000000"/>
          <w:sz w:val="18"/>
          <w:szCs w:val="20"/>
        </w:rPr>
        <w:t>Misrepresentation</w:t>
      </w:r>
      <w:r w:rsidR="00F00434">
        <w:rPr>
          <w:rFonts w:asciiTheme="minorHAnsi" w:hAnsiTheme="minorHAnsi" w:cs="Arial"/>
          <w:color w:val="000000"/>
          <w:sz w:val="18"/>
          <w:szCs w:val="20"/>
        </w:rPr>
        <w:t xml:space="preserve"> in continuous disclosure docs </w:t>
      </w:r>
      <w:r w:rsidR="00F00434" w:rsidRPr="00F00434">
        <w:rPr>
          <w:rFonts w:asciiTheme="minorHAnsi" w:hAnsiTheme="minorHAnsi" w:cs="Arial"/>
          <w:b/>
          <w:color w:val="000000"/>
          <w:sz w:val="18"/>
          <w:szCs w:val="20"/>
        </w:rPr>
        <w:t>(secondary market SCL).</w:t>
      </w:r>
      <w:r w:rsidR="00F00434">
        <w:rPr>
          <w:rFonts w:asciiTheme="minorHAnsi" w:hAnsiTheme="minorHAnsi" w:cs="Arial"/>
          <w:color w:val="000000"/>
          <w:sz w:val="18"/>
          <w:szCs w:val="20"/>
        </w:rPr>
        <w:t xml:space="preserve"> </w:t>
      </w:r>
    </w:p>
    <w:p w:rsidR="00D45333" w:rsidRDefault="00D45333" w:rsidP="00FF0B61">
      <w:pPr>
        <w:pStyle w:val="NormalWeb"/>
        <w:spacing w:before="0" w:beforeAutospacing="0" w:after="0" w:afterAutospacing="0"/>
        <w:textAlignment w:val="baseline"/>
        <w:rPr>
          <w:rFonts w:asciiTheme="minorHAnsi" w:hAnsiTheme="minorHAnsi" w:cs="Arial"/>
          <w:color w:val="000000"/>
          <w:sz w:val="18"/>
          <w:szCs w:val="20"/>
        </w:rPr>
      </w:pPr>
    </w:p>
    <w:p w:rsidR="00D45333" w:rsidRDefault="00D45333" w:rsidP="00FF0B61">
      <w:pPr>
        <w:pStyle w:val="Heading3"/>
        <w:spacing w:line="240" w:lineRule="auto"/>
      </w:pPr>
      <w:bookmarkStart w:id="94" w:name="_Toc468980465"/>
      <w:r>
        <w:t>Procedural Matters</w:t>
      </w:r>
      <w:bookmarkEnd w:id="94"/>
    </w:p>
    <w:p w:rsidR="00417E4A" w:rsidRPr="00D529AF" w:rsidRDefault="00D047CC" w:rsidP="00FF0B61">
      <w:pPr>
        <w:spacing w:after="0" w:line="240" w:lineRule="auto"/>
        <w:rPr>
          <w:b/>
          <w:u w:val="single"/>
        </w:rPr>
      </w:pPr>
      <w:r w:rsidRPr="00D529AF">
        <w:rPr>
          <w:b/>
          <w:u w:val="single"/>
        </w:rPr>
        <w:t>STANDING:</w:t>
      </w:r>
      <w:r w:rsidR="00417E4A" w:rsidRPr="00D529AF">
        <w:rPr>
          <w:b/>
        </w:rPr>
        <w:t xml:space="preserve"> </w:t>
      </w:r>
      <w:r w:rsidR="00417E4A" w:rsidRPr="00D529AF">
        <w:t xml:space="preserve">For </w:t>
      </w:r>
      <w:r w:rsidR="00417E4A" w:rsidRPr="00D529AF">
        <w:rPr>
          <w:b/>
        </w:rPr>
        <w:t>1)</w:t>
      </w:r>
      <w:r w:rsidR="00417E4A" w:rsidRPr="00D529AF">
        <w:t xml:space="preserve"> </w:t>
      </w:r>
      <w:r w:rsidR="00366987" w:rsidRPr="00D529AF">
        <w:t>P</w:t>
      </w:r>
      <w:r w:rsidR="00417E4A" w:rsidRPr="00D529AF">
        <w:t xml:space="preserve">rospectus, </w:t>
      </w:r>
      <w:r w:rsidR="00417E4A" w:rsidRPr="00D529AF">
        <w:rPr>
          <w:b/>
        </w:rPr>
        <w:t>2)</w:t>
      </w:r>
      <w:r w:rsidR="00417E4A" w:rsidRPr="00D529AF">
        <w:t xml:space="preserve"> </w:t>
      </w:r>
      <w:r w:rsidR="005F3022" w:rsidRPr="00D529AF">
        <w:t>Offering Memorandum</w:t>
      </w:r>
      <w:r w:rsidR="00417E4A" w:rsidRPr="00D529AF">
        <w:t xml:space="preserve">, and </w:t>
      </w:r>
      <w:r w:rsidR="00417E4A" w:rsidRPr="00D529AF">
        <w:rPr>
          <w:b/>
        </w:rPr>
        <w:t>3)</w:t>
      </w:r>
      <w:r w:rsidR="00417E4A" w:rsidRPr="00D529AF">
        <w:t xml:space="preserve"> </w:t>
      </w:r>
      <w:r w:rsidR="00366987" w:rsidRPr="00D529AF">
        <w:t>C</w:t>
      </w:r>
      <w:r w:rsidR="00417E4A" w:rsidRPr="00D529AF">
        <w:t>ircular misrepresentations, the document’s recipient has standing (i.e. purchaser for first two (</w:t>
      </w:r>
      <w:r w:rsidR="00417E4A" w:rsidRPr="00D529AF">
        <w:rPr>
          <w:b/>
          <w:color w:val="C45911" w:themeColor="accent2" w:themeShade="BF"/>
        </w:rPr>
        <w:t>BCSA, 131(1), 132.1</w:t>
      </w:r>
      <w:r w:rsidR="00417E4A" w:rsidRPr="00D529AF">
        <w:t>), any securityholder for (</w:t>
      </w:r>
      <w:r w:rsidR="00417E4A" w:rsidRPr="00D529AF">
        <w:rPr>
          <w:b/>
          <w:color w:val="C45911" w:themeColor="accent2" w:themeShade="BF"/>
        </w:rPr>
        <w:t>BCSA, 132(1)</w:t>
      </w:r>
      <w:r w:rsidR="00417E4A" w:rsidRPr="00D529AF">
        <w:rPr>
          <w:b/>
        </w:rPr>
        <w:t xml:space="preserve">)). </w:t>
      </w:r>
    </w:p>
    <w:p w:rsidR="00417E4A" w:rsidRPr="00D529AF" w:rsidRDefault="00417E4A" w:rsidP="00FF0B61">
      <w:pPr>
        <w:pStyle w:val="ListParagraph"/>
        <w:numPr>
          <w:ilvl w:val="0"/>
          <w:numId w:val="135"/>
        </w:numPr>
        <w:spacing w:after="0"/>
      </w:pPr>
      <w:r w:rsidRPr="00D529AF">
        <w:t xml:space="preserve">Person on </w:t>
      </w:r>
      <w:bookmarkStart w:id="95" w:name="_GoBack"/>
      <w:r w:rsidRPr="002F6371">
        <w:rPr>
          <w:b/>
        </w:rPr>
        <w:t>the other side of the trade</w:t>
      </w:r>
      <w:r w:rsidRPr="00D529AF">
        <w:t xml:space="preserve"> </w:t>
      </w:r>
      <w:bookmarkEnd w:id="95"/>
      <w:r w:rsidRPr="00D529AF">
        <w:t>has standing against an inside trader or tipper (</w:t>
      </w:r>
      <w:r w:rsidRPr="00D529AF">
        <w:rPr>
          <w:b/>
          <w:color w:val="C45911" w:themeColor="accent2" w:themeShade="BF"/>
        </w:rPr>
        <w:t>BCSA 136(1)-(3)</w:t>
      </w:r>
      <w:r w:rsidRPr="00D529AF">
        <w:t>).</w:t>
      </w:r>
    </w:p>
    <w:p w:rsidR="00417E4A" w:rsidRPr="00D529AF" w:rsidRDefault="00417E4A" w:rsidP="00FF0B61">
      <w:pPr>
        <w:pStyle w:val="ListParagraph"/>
        <w:numPr>
          <w:ilvl w:val="0"/>
          <w:numId w:val="135"/>
        </w:numPr>
        <w:spacing w:after="0"/>
      </w:pPr>
      <w:r w:rsidRPr="00D529AF">
        <w:t>Also, a reporting issuer has standing for an accountability action.</w:t>
      </w:r>
    </w:p>
    <w:p w:rsidR="00417E4A" w:rsidRPr="00D529AF" w:rsidRDefault="00417E4A" w:rsidP="00FF0B61">
      <w:pPr>
        <w:pStyle w:val="ListParagraph"/>
        <w:numPr>
          <w:ilvl w:val="0"/>
          <w:numId w:val="135"/>
        </w:numPr>
        <w:spacing w:after="0"/>
      </w:pPr>
      <w:r w:rsidRPr="00D529AF">
        <w:t>The Commission and other securityholders have a cause of action against the RI if it doesn’t pursue its cause of action.</w:t>
      </w:r>
    </w:p>
    <w:p w:rsidR="00417E4A" w:rsidRDefault="00417E4A" w:rsidP="00FF0B61">
      <w:pPr>
        <w:pStyle w:val="ListParagraph"/>
        <w:numPr>
          <w:ilvl w:val="0"/>
          <w:numId w:val="135"/>
        </w:numPr>
        <w:spacing w:after="0"/>
      </w:pPr>
      <w:r w:rsidRPr="00D529AF">
        <w:t>The amount lost is what you can recover.</w:t>
      </w:r>
    </w:p>
    <w:p w:rsidR="00D529AF" w:rsidRDefault="00D529AF" w:rsidP="00FF0B61">
      <w:pPr>
        <w:pStyle w:val="ListParagraph"/>
        <w:numPr>
          <w:ilvl w:val="0"/>
          <w:numId w:val="135"/>
        </w:numPr>
        <w:spacing w:after="0"/>
      </w:pPr>
      <w:r w:rsidRPr="00D529AF">
        <w:rPr>
          <w:b/>
        </w:rPr>
        <w:t>For standing against a party for misrepresentations in secondary market SCL,</w:t>
      </w:r>
      <w:r w:rsidRPr="00D529AF">
        <w:t xml:space="preserve"> </w:t>
      </w:r>
      <w:r w:rsidR="00D20A58">
        <w:t>see 4 grounds under s.140.3 below.</w:t>
      </w:r>
    </w:p>
    <w:p w:rsidR="00417E4A" w:rsidRPr="00417E4A" w:rsidRDefault="00417E4A" w:rsidP="00FF0B61">
      <w:pPr>
        <w:pStyle w:val="ListParagraph"/>
        <w:spacing w:after="0"/>
      </w:pPr>
    </w:p>
    <w:p w:rsidR="00D45333" w:rsidRDefault="00D047CC" w:rsidP="00FF0B61">
      <w:pPr>
        <w:spacing w:after="0" w:line="240" w:lineRule="auto"/>
      </w:pPr>
      <w:r w:rsidRPr="00475A27">
        <w:rPr>
          <w:b/>
          <w:u w:val="single"/>
        </w:rPr>
        <w:t>CLASS ACTION CERTIFICATION:</w:t>
      </w:r>
      <w:r w:rsidR="007F0B82" w:rsidRPr="00475A27">
        <w:t xml:space="preserve"> Court must certify class a</w:t>
      </w:r>
      <w:r w:rsidR="00475A27">
        <w:t>ctions before they can proceed (guard against “strike suits”)</w:t>
      </w:r>
    </w:p>
    <w:p w:rsidR="007C4FF8" w:rsidRPr="00475A27" w:rsidRDefault="007C4FF8" w:rsidP="00FF0B61">
      <w:pPr>
        <w:pStyle w:val="ListParagraph"/>
        <w:numPr>
          <w:ilvl w:val="0"/>
          <w:numId w:val="158"/>
        </w:numPr>
        <w:spacing w:after="0"/>
      </w:pPr>
      <w:r w:rsidRPr="007C4FF8">
        <w:rPr>
          <w:rFonts w:eastAsia="Times New Roman" w:cs="Times New Roman"/>
          <w:b/>
          <w:lang w:eastAsia="en-CA"/>
        </w:rPr>
        <w:t xml:space="preserve">NB: </w:t>
      </w:r>
      <w:r w:rsidRPr="007C4FF8">
        <w:rPr>
          <w:rFonts w:eastAsia="Times New Roman" w:cs="Times New Roman"/>
          <w:lang w:eastAsia="en-CA"/>
        </w:rPr>
        <w:t>See also</w:t>
      </w:r>
      <w:r w:rsidRPr="007C4FF8">
        <w:rPr>
          <w:rFonts w:eastAsia="Times New Roman" w:cs="Times New Roman"/>
          <w:color w:val="1006E0"/>
          <w:lang w:eastAsia="en-CA"/>
        </w:rPr>
        <w:t xml:space="preserve"> </w:t>
      </w:r>
      <w:r w:rsidRPr="007C4FF8">
        <w:rPr>
          <w:rFonts w:eastAsia="Times New Roman" w:cs="Times New Roman"/>
          <w:b/>
          <w:i/>
          <w:color w:val="1006E0"/>
          <w:lang w:eastAsia="en-CA"/>
        </w:rPr>
        <w:t xml:space="preserve">Theratechnologies </w:t>
      </w:r>
      <w:r w:rsidRPr="007C4FF8">
        <w:rPr>
          <w:rFonts w:eastAsia="Times New Roman" w:cs="Times New Roman"/>
          <w:b/>
          <w:lang w:eastAsia="en-CA"/>
        </w:rPr>
        <w:t>&amp; s.140.8 under Secondary Market Liability.</w:t>
      </w:r>
    </w:p>
    <w:p w:rsidR="001314CD" w:rsidRDefault="00C16C93" w:rsidP="00FF0B61">
      <w:pPr>
        <w:spacing w:after="0" w:line="240" w:lineRule="auto"/>
        <w:textAlignment w:val="center"/>
        <w:rPr>
          <w:rFonts w:eastAsia="Times New Roman" w:cs="Times New Roman"/>
          <w:b/>
          <w:lang w:eastAsia="en-CA"/>
        </w:rPr>
      </w:pPr>
      <w:r w:rsidRPr="00C16C93">
        <w:rPr>
          <w:rFonts w:eastAsia="Times New Roman" w:cs="Times New Roman"/>
          <w:b/>
          <w:lang w:eastAsia="en-CA"/>
        </w:rPr>
        <w:t xml:space="preserve">1. </w:t>
      </w:r>
      <w:r w:rsidR="001314CD">
        <w:rPr>
          <w:rFonts w:eastAsia="Times New Roman" w:cs="Times New Roman"/>
          <w:b/>
          <w:lang w:eastAsia="en-CA"/>
        </w:rPr>
        <w:t>There</w:t>
      </w:r>
      <w:r w:rsidR="00C56EF6">
        <w:rPr>
          <w:rFonts w:eastAsia="Times New Roman" w:cs="Times New Roman"/>
          <w:b/>
          <w:lang w:eastAsia="en-CA"/>
        </w:rPr>
        <w:t xml:space="preserve"> must be an Identifiable class;</w:t>
      </w:r>
    </w:p>
    <w:p w:rsidR="00C16C93" w:rsidRPr="00C16C93" w:rsidRDefault="001314CD" w:rsidP="00FF0B61">
      <w:pPr>
        <w:spacing w:after="0" w:line="240" w:lineRule="auto"/>
        <w:textAlignment w:val="center"/>
        <w:rPr>
          <w:rFonts w:eastAsia="Times New Roman" w:cs="Times New Roman"/>
          <w:lang w:eastAsia="en-CA"/>
        </w:rPr>
      </w:pPr>
      <w:r>
        <w:rPr>
          <w:rFonts w:eastAsia="Times New Roman" w:cs="Times New Roman"/>
          <w:b/>
          <w:lang w:eastAsia="en-CA"/>
        </w:rPr>
        <w:t xml:space="preserve">2. </w:t>
      </w:r>
      <w:r w:rsidR="00C16C93" w:rsidRPr="00C16C93">
        <w:rPr>
          <w:rFonts w:eastAsia="Times New Roman" w:cs="Times New Roman"/>
          <w:b/>
          <w:lang w:eastAsia="en-CA"/>
        </w:rPr>
        <w:t>Common issues</w:t>
      </w:r>
      <w:r w:rsidR="00C16C93" w:rsidRPr="00C16C93">
        <w:rPr>
          <w:rFonts w:eastAsia="Times New Roman" w:cs="Times New Roman"/>
          <w:lang w:eastAsia="en-CA"/>
        </w:rPr>
        <w:t xml:space="preserve"> </w:t>
      </w:r>
      <w:r w:rsidR="00C16C93" w:rsidRPr="001314CD">
        <w:rPr>
          <w:rFonts w:eastAsia="Times New Roman" w:cs="Times New Roman"/>
          <w:b/>
          <w:lang w:eastAsia="en-CA"/>
        </w:rPr>
        <w:t>of fact and law</w:t>
      </w:r>
      <w:r w:rsidR="00C16C93" w:rsidRPr="00C16C93">
        <w:rPr>
          <w:rFonts w:eastAsia="Times New Roman" w:cs="Times New Roman"/>
          <w:lang w:eastAsia="en-CA"/>
        </w:rPr>
        <w:t xml:space="preserve"> </w:t>
      </w:r>
      <w:r w:rsidR="00C16C93">
        <w:rPr>
          <w:rFonts w:eastAsia="Times New Roman" w:cs="Times New Roman"/>
          <w:lang w:eastAsia="en-CA"/>
        </w:rPr>
        <w:t xml:space="preserve">- </w:t>
      </w:r>
      <w:r w:rsidR="00C16C93" w:rsidRPr="00C56EF6">
        <w:rPr>
          <w:rFonts w:eastAsia="Times New Roman" w:cs="Times New Roman"/>
          <w:b/>
          <w:i/>
          <w:color w:val="1006E0"/>
          <w:lang w:eastAsia="en-CA"/>
        </w:rPr>
        <w:t xml:space="preserve">Class Proceedings Act </w:t>
      </w:r>
      <w:r w:rsidR="00C16C93" w:rsidRPr="00C56EF6">
        <w:rPr>
          <w:rFonts w:eastAsia="Times New Roman" w:cs="Times New Roman"/>
          <w:b/>
          <w:color w:val="1006E0"/>
          <w:lang w:eastAsia="en-CA"/>
        </w:rPr>
        <w:t>s.4(c)</w:t>
      </w:r>
    </w:p>
    <w:p w:rsidR="00C16C93" w:rsidRDefault="00C16C93" w:rsidP="00FF0B61">
      <w:pPr>
        <w:pStyle w:val="ListParagraph"/>
        <w:numPr>
          <w:ilvl w:val="0"/>
          <w:numId w:val="156"/>
        </w:numPr>
        <w:spacing w:after="0"/>
        <w:textAlignment w:val="center"/>
        <w:rPr>
          <w:rFonts w:eastAsia="Times New Roman" w:cs="Times New Roman"/>
          <w:lang w:eastAsia="en-CA"/>
        </w:rPr>
      </w:pPr>
      <w:r w:rsidRPr="00C16C93">
        <w:rPr>
          <w:rFonts w:eastAsia="Times New Roman" w:cs="Times New Roman"/>
          <w:b/>
          <w:lang w:eastAsia="en-CA"/>
        </w:rPr>
        <w:t>Note</w:t>
      </w:r>
      <w:r w:rsidRPr="00C16C93">
        <w:rPr>
          <w:rFonts w:eastAsia="Times New Roman" w:cs="Times New Roman"/>
          <w:lang w:eastAsia="en-CA"/>
        </w:rPr>
        <w:t xml:space="preserve">: There is significant divergence in the following court decisions, and further clarification is needed by the SCC. The total effect is that even if reliance must be proven, certification for other issues will still advance the litigation, allowing many of the issues to be dealt with together with individual trials for reliance and damages </w:t>
      </w:r>
      <w:r w:rsidRPr="00C16C93">
        <w:rPr>
          <w:rFonts w:eastAsia="Times New Roman" w:cs="Times New Roman"/>
          <w:b/>
          <w:i/>
          <w:lang w:eastAsia="en-CA"/>
        </w:rPr>
        <w:t>Green v CIBC.</w:t>
      </w:r>
    </w:p>
    <w:p w:rsidR="00C16C93" w:rsidRDefault="00C16C93" w:rsidP="00FF0B61">
      <w:pPr>
        <w:pStyle w:val="ListParagraph"/>
        <w:numPr>
          <w:ilvl w:val="0"/>
          <w:numId w:val="156"/>
        </w:numPr>
        <w:spacing w:after="0"/>
        <w:textAlignment w:val="center"/>
        <w:rPr>
          <w:rFonts w:eastAsia="Times New Roman" w:cs="Times New Roman"/>
          <w:lang w:eastAsia="en-CA"/>
        </w:rPr>
      </w:pPr>
      <w:r w:rsidRPr="00C16C93">
        <w:rPr>
          <w:rFonts w:eastAsia="Times New Roman" w:cs="Times New Roman"/>
          <w:b/>
          <w:i/>
          <w:color w:val="1006E0"/>
          <w:lang w:eastAsia="en-CA"/>
        </w:rPr>
        <w:t>Carom v Bre-X Minerals Ltd</w:t>
      </w:r>
      <w:r w:rsidRPr="00C16C93">
        <w:rPr>
          <w:rFonts w:eastAsia="Times New Roman" w:cs="Times New Roman"/>
          <w:i/>
          <w:color w:val="1006E0"/>
          <w:lang w:eastAsia="en-CA"/>
        </w:rPr>
        <w:t xml:space="preserve">: </w:t>
      </w:r>
      <w:r w:rsidRPr="00C16C93">
        <w:rPr>
          <w:rFonts w:eastAsia="Times New Roman" w:cs="Times New Roman"/>
          <w:b/>
          <w:u w:val="single"/>
          <w:lang w:eastAsia="en-CA"/>
        </w:rPr>
        <w:t>The issues need not be absolutely identical</w:t>
      </w:r>
      <w:r w:rsidRPr="00C16C93">
        <w:rPr>
          <w:rFonts w:eastAsia="Times New Roman" w:cs="Times New Roman"/>
          <w:lang w:eastAsia="en-CA"/>
        </w:rPr>
        <w:t xml:space="preserve"> between class members, so common law </w:t>
      </w:r>
      <w:r w:rsidRPr="00C16C93">
        <w:rPr>
          <w:rFonts w:eastAsia="Times New Roman" w:cs="Times New Roman"/>
          <w:u w:val="single"/>
          <w:lang w:eastAsia="en-CA"/>
        </w:rPr>
        <w:t>Negligent Misrepresentation can be pursued under a class</w:t>
      </w:r>
      <w:r w:rsidRPr="00C16C93">
        <w:rPr>
          <w:rFonts w:eastAsia="Times New Roman" w:cs="Times New Roman"/>
          <w:lang w:eastAsia="en-CA"/>
        </w:rPr>
        <w:t xml:space="preserve"> even though reliance is always factually specific (this is because of the goal of promoting access to justice and judicial economy; principles not served by being overly nice in technicalities).</w:t>
      </w:r>
    </w:p>
    <w:p w:rsidR="00C16C93" w:rsidRPr="00C16C93" w:rsidRDefault="001314CD" w:rsidP="00FF0B61">
      <w:pPr>
        <w:spacing w:after="0" w:line="240" w:lineRule="auto"/>
        <w:textAlignment w:val="center"/>
        <w:rPr>
          <w:rFonts w:eastAsia="Times New Roman" w:cs="Times New Roman"/>
          <w:lang w:eastAsia="en-CA"/>
        </w:rPr>
      </w:pPr>
      <w:r>
        <w:rPr>
          <w:rFonts w:eastAsia="Times New Roman" w:cs="Times New Roman"/>
          <w:b/>
          <w:lang w:eastAsia="en-CA"/>
        </w:rPr>
        <w:t xml:space="preserve">3. </w:t>
      </w:r>
      <w:r w:rsidR="00C16C93" w:rsidRPr="001314CD">
        <w:rPr>
          <w:rFonts w:eastAsia="Times New Roman" w:cs="Times New Roman"/>
          <w:b/>
          <w:lang w:eastAsia="en-CA"/>
        </w:rPr>
        <w:t xml:space="preserve"> Preferable Method:</w:t>
      </w:r>
      <w:r w:rsidR="00C16C93" w:rsidRPr="00C16C93">
        <w:rPr>
          <w:rFonts w:eastAsia="Times New Roman" w:cs="Times New Roman"/>
          <w:lang w:eastAsia="en-CA"/>
        </w:rPr>
        <w:t xml:space="preserve"> A class action is the preferable method for resolving the common issues </w:t>
      </w:r>
      <w:r w:rsidR="00C16C93" w:rsidRPr="00C56EF6">
        <w:rPr>
          <w:rFonts w:eastAsia="Times New Roman" w:cs="Times New Roman"/>
          <w:b/>
          <w:i/>
          <w:color w:val="1006E0"/>
          <w:lang w:eastAsia="en-CA"/>
        </w:rPr>
        <w:t>Class Proceedings Act</w:t>
      </w:r>
      <w:r w:rsidR="00C16C93" w:rsidRPr="00C56EF6">
        <w:rPr>
          <w:rFonts w:eastAsia="Times New Roman" w:cs="Times New Roman"/>
          <w:b/>
          <w:color w:val="1006E0"/>
          <w:lang w:eastAsia="en-CA"/>
        </w:rPr>
        <w:t xml:space="preserve"> s.4(d)</w:t>
      </w:r>
    </w:p>
    <w:p w:rsidR="00C16C93" w:rsidRPr="00C16C93" w:rsidRDefault="00C16C93" w:rsidP="00FF0B61">
      <w:pPr>
        <w:pStyle w:val="ListParagraph"/>
        <w:numPr>
          <w:ilvl w:val="0"/>
          <w:numId w:val="157"/>
        </w:numPr>
        <w:spacing w:after="0"/>
        <w:textAlignment w:val="center"/>
        <w:rPr>
          <w:rFonts w:eastAsia="Times New Roman" w:cs="Times New Roman"/>
          <w:lang w:eastAsia="en-CA"/>
        </w:rPr>
      </w:pPr>
      <w:r w:rsidRPr="00C16C93">
        <w:rPr>
          <w:rFonts w:eastAsia="Times New Roman" w:cs="Times New Roman"/>
          <w:b/>
          <w:lang w:eastAsia="en-CA"/>
        </w:rPr>
        <w:t>Note</w:t>
      </w:r>
      <w:r w:rsidRPr="00C16C93">
        <w:rPr>
          <w:rFonts w:eastAsia="Times New Roman" w:cs="Times New Roman"/>
          <w:lang w:eastAsia="en-CA"/>
        </w:rPr>
        <w:t xml:space="preserve">: </w:t>
      </w:r>
      <w:r w:rsidRPr="00C16C93">
        <w:rPr>
          <w:rFonts w:eastAsia="Times New Roman" w:cs="Times New Roman"/>
          <w:i/>
          <w:lang w:eastAsia="en-CA"/>
        </w:rPr>
        <w:t xml:space="preserve">Ragoonanan: </w:t>
      </w:r>
      <w:r w:rsidRPr="00C16C93">
        <w:rPr>
          <w:rFonts w:eastAsia="Times New Roman" w:cs="Times New Roman"/>
          <w:lang w:eastAsia="en-CA"/>
        </w:rPr>
        <w:t xml:space="preserve">The Court denied certification because </w:t>
      </w:r>
      <w:r w:rsidRPr="00C16C93">
        <w:rPr>
          <w:rFonts w:eastAsia="Times New Roman" w:cs="Times New Roman"/>
          <w:b/>
          <w:u w:val="single"/>
          <w:lang w:eastAsia="en-CA"/>
        </w:rPr>
        <w:t>no evidence was presented as to how many claimants would be involved</w:t>
      </w:r>
      <w:r w:rsidRPr="00C16C93">
        <w:rPr>
          <w:rFonts w:eastAsia="Times New Roman" w:cs="Times New Roman"/>
          <w:lang w:eastAsia="en-CA"/>
        </w:rPr>
        <w:t>: therefore it was difficult to know if a class proceeding was the preferable method.</w:t>
      </w:r>
    </w:p>
    <w:p w:rsidR="00C16C93" w:rsidRDefault="001314CD" w:rsidP="00FF0B61">
      <w:pPr>
        <w:spacing w:after="0" w:line="240" w:lineRule="auto"/>
        <w:textAlignment w:val="center"/>
        <w:rPr>
          <w:rFonts w:eastAsia="Times New Roman" w:cs="Times New Roman"/>
          <w:b/>
          <w:color w:val="1006E0"/>
          <w:lang w:eastAsia="en-CA"/>
        </w:rPr>
      </w:pPr>
      <w:r>
        <w:rPr>
          <w:rFonts w:eastAsia="Times New Roman" w:cs="Times New Roman"/>
          <w:b/>
          <w:lang w:eastAsia="en-CA"/>
        </w:rPr>
        <w:t>4.</w:t>
      </w:r>
      <w:r w:rsidR="00C16C93" w:rsidRPr="001314CD">
        <w:rPr>
          <w:rFonts w:eastAsia="Times New Roman" w:cs="Times New Roman"/>
          <w:b/>
          <w:lang w:eastAsia="en-CA"/>
        </w:rPr>
        <w:t xml:space="preserve"> Representative P:</w:t>
      </w:r>
      <w:r w:rsidR="00C16C93" w:rsidRPr="00C16C93">
        <w:rPr>
          <w:rFonts w:eastAsia="Times New Roman" w:cs="Times New Roman"/>
          <w:lang w:eastAsia="en-CA"/>
        </w:rPr>
        <w:t xml:space="preserve"> There is a representative </w:t>
      </w:r>
      <w:r w:rsidR="00C16C93">
        <w:rPr>
          <w:rFonts w:eastAsia="Times New Roman" w:cs="Times New Roman"/>
          <w:lang w:eastAsia="en-CA"/>
        </w:rPr>
        <w:t>P</w:t>
      </w:r>
      <w:r w:rsidR="00C16C93" w:rsidRPr="00C16C93">
        <w:rPr>
          <w:rFonts w:eastAsia="Times New Roman" w:cs="Times New Roman"/>
          <w:lang w:eastAsia="en-CA"/>
        </w:rPr>
        <w:t xml:space="preserve"> who fairly and adequately represents the interests of the class. </w:t>
      </w:r>
      <w:r w:rsidR="00C16C93" w:rsidRPr="00C56EF6">
        <w:rPr>
          <w:rFonts w:eastAsia="Times New Roman" w:cs="Times New Roman"/>
          <w:b/>
          <w:i/>
          <w:color w:val="1006E0"/>
          <w:lang w:eastAsia="en-CA"/>
        </w:rPr>
        <w:t xml:space="preserve">Class Proceedings Act </w:t>
      </w:r>
      <w:r w:rsidR="00C16C93" w:rsidRPr="00C56EF6">
        <w:rPr>
          <w:rFonts w:eastAsia="Times New Roman" w:cs="Times New Roman"/>
          <w:b/>
          <w:color w:val="1006E0"/>
          <w:lang w:eastAsia="en-CA"/>
        </w:rPr>
        <w:t>s.4(e)</w:t>
      </w:r>
    </w:p>
    <w:p w:rsidR="00FE236F" w:rsidRDefault="00FE236F" w:rsidP="00FF0B61">
      <w:pPr>
        <w:spacing w:after="0" w:line="240" w:lineRule="auto"/>
        <w:rPr>
          <w:b/>
          <w:u w:val="single"/>
        </w:rPr>
      </w:pPr>
    </w:p>
    <w:p w:rsidR="002D01BE" w:rsidRDefault="002D01BE" w:rsidP="00FF0B61">
      <w:pPr>
        <w:spacing w:after="0" w:line="240" w:lineRule="auto"/>
      </w:pPr>
      <w:r w:rsidRPr="00FD7076">
        <w:rPr>
          <w:b/>
          <w:u w:val="single"/>
        </w:rPr>
        <w:lastRenderedPageBreak/>
        <w:t>JURISDICTION:</w:t>
      </w:r>
      <w:r w:rsidRPr="00FD7076">
        <w:t xml:space="preserve"> Generally, residency of the investor or where the impugned conduct occurred. Only a court has jurisdiction to hear SCL claims and award damages (</w:t>
      </w:r>
      <w:r w:rsidRPr="00FD7076">
        <w:rPr>
          <w:b/>
          <w:color w:val="C45911" w:themeColor="accent2" w:themeShade="BF"/>
        </w:rPr>
        <w:t>BCSA 140.8-140.92</w:t>
      </w:r>
      <w:r w:rsidRPr="00FD7076">
        <w:t>).</w:t>
      </w:r>
      <w:r w:rsidR="00062D36" w:rsidRPr="00062D36">
        <w:t xml:space="preserve"> </w:t>
      </w:r>
    </w:p>
    <w:p w:rsidR="00B65177" w:rsidRPr="00B65177" w:rsidRDefault="00B65177" w:rsidP="00FF0B61">
      <w:pPr>
        <w:pStyle w:val="ListParagraph"/>
        <w:numPr>
          <w:ilvl w:val="0"/>
          <w:numId w:val="155"/>
        </w:numPr>
        <w:spacing w:after="0"/>
        <w:textAlignment w:val="center"/>
        <w:rPr>
          <w:rFonts w:eastAsia="Times New Roman" w:cs="Times New Roman"/>
          <w:i/>
          <w:lang w:eastAsia="en-CA"/>
        </w:rPr>
      </w:pPr>
      <w:r w:rsidRPr="00B65177">
        <w:rPr>
          <w:rFonts w:eastAsia="Times New Roman" w:cs="Times New Roman"/>
          <w:b/>
          <w:i/>
          <w:color w:val="1006E0"/>
          <w:lang w:eastAsia="en-CA"/>
        </w:rPr>
        <w:t>Pearson v Boliden</w:t>
      </w:r>
      <w:r w:rsidRPr="00B65177">
        <w:rPr>
          <w:rFonts w:eastAsia="Times New Roman" w:cs="Times New Roman"/>
          <w:i/>
          <w:color w:val="1006E0"/>
          <w:lang w:eastAsia="en-CA"/>
        </w:rPr>
        <w:t xml:space="preserve"> </w:t>
      </w:r>
      <w:r w:rsidRPr="00B65177">
        <w:rPr>
          <w:rFonts w:eastAsia="Times New Roman" w:cs="Times New Roman"/>
          <w:i/>
          <w:lang w:eastAsia="en-CA"/>
        </w:rPr>
        <w:t xml:space="preserve">- </w:t>
      </w:r>
      <w:r w:rsidRPr="00B65177">
        <w:rPr>
          <w:rFonts w:eastAsia="Times New Roman" w:cs="Times New Roman"/>
          <w:b/>
          <w:u w:val="single"/>
          <w:lang w:eastAsia="en-CA"/>
        </w:rPr>
        <w:t>For distributions</w:t>
      </w:r>
      <w:r w:rsidRPr="00B65177">
        <w:rPr>
          <w:rFonts w:eastAsia="Times New Roman" w:cs="Times New Roman"/>
          <w:lang w:eastAsia="en-CA"/>
        </w:rPr>
        <w:t xml:space="preserve"> it is always where the distribution occurred (residency of the investor)</w:t>
      </w:r>
    </w:p>
    <w:p w:rsidR="00B65177" w:rsidRPr="00B65177" w:rsidRDefault="00B65177" w:rsidP="00FF0B61">
      <w:pPr>
        <w:pStyle w:val="ListParagraph"/>
        <w:numPr>
          <w:ilvl w:val="0"/>
          <w:numId w:val="155"/>
        </w:numPr>
        <w:spacing w:after="0"/>
        <w:textAlignment w:val="center"/>
        <w:rPr>
          <w:rFonts w:eastAsia="Times New Roman" w:cs="Times New Roman"/>
          <w:i/>
          <w:lang w:eastAsia="en-CA"/>
        </w:rPr>
      </w:pPr>
      <w:r w:rsidRPr="00B65177">
        <w:rPr>
          <w:rFonts w:eastAsia="Times New Roman" w:cs="Times New Roman"/>
          <w:b/>
          <w:i/>
          <w:color w:val="1006E0"/>
          <w:lang w:eastAsia="en-CA"/>
        </w:rPr>
        <w:t xml:space="preserve">Abdula v. Canadian Solar </w:t>
      </w:r>
      <w:r w:rsidRPr="00B65177">
        <w:rPr>
          <w:rFonts w:eastAsia="Times New Roman" w:cs="Times New Roman"/>
          <w:b/>
          <w:i/>
          <w:lang w:eastAsia="en-CA"/>
        </w:rPr>
        <w:t>-</w:t>
      </w:r>
      <w:r>
        <w:rPr>
          <w:rFonts w:eastAsia="Times New Roman" w:cs="Times New Roman"/>
          <w:i/>
          <w:lang w:eastAsia="en-CA"/>
        </w:rPr>
        <w:t xml:space="preserve"> </w:t>
      </w:r>
      <w:r w:rsidRPr="00B65177">
        <w:rPr>
          <w:rFonts w:eastAsia="Times New Roman" w:cs="Times New Roman"/>
          <w:b/>
          <w:u w:val="single"/>
          <w:lang w:eastAsia="en-CA"/>
        </w:rPr>
        <w:t>For the secondary market</w:t>
      </w:r>
      <w:r w:rsidRPr="00B65177">
        <w:rPr>
          <w:rFonts w:eastAsia="Times New Roman" w:cs="Times New Roman"/>
          <w:lang w:eastAsia="en-CA"/>
        </w:rPr>
        <w:t>, it is likely where the investor purchased the security, but the issuer must have “a real and substantial connection” (</w:t>
      </w:r>
      <w:r w:rsidRPr="00B65177">
        <w:rPr>
          <w:rFonts w:eastAsia="Times New Roman" w:cs="Times New Roman"/>
          <w:i/>
          <w:lang w:eastAsia="en-CA"/>
        </w:rPr>
        <w:t>s.1 BCSA</w:t>
      </w:r>
      <w:r w:rsidRPr="00B65177">
        <w:rPr>
          <w:rFonts w:eastAsia="Times New Roman" w:cs="Times New Roman"/>
          <w:lang w:eastAsia="en-CA"/>
        </w:rPr>
        <w:t xml:space="preserve"> “responsible issuer”, which is term used in part 16.1) to that jurisdiction.</w:t>
      </w:r>
    </w:p>
    <w:p w:rsidR="00B65177" w:rsidRDefault="00B65177" w:rsidP="00FF0B61">
      <w:pPr>
        <w:spacing w:after="0" w:line="240" w:lineRule="auto"/>
        <w:rPr>
          <w:b/>
          <w:u w:val="single"/>
        </w:rPr>
      </w:pPr>
    </w:p>
    <w:p w:rsidR="002D01BE" w:rsidRPr="00FD7076" w:rsidRDefault="002D01BE" w:rsidP="00FF0B61">
      <w:pPr>
        <w:spacing w:after="0" w:line="240" w:lineRule="auto"/>
      </w:pPr>
      <w:r w:rsidRPr="00FD7076">
        <w:rPr>
          <w:b/>
          <w:u w:val="single"/>
        </w:rPr>
        <w:t>LIMITATION PERIOD:</w:t>
      </w:r>
      <w:r w:rsidRPr="00FD7076">
        <w:t xml:space="preserve"> </w:t>
      </w:r>
    </w:p>
    <w:p w:rsidR="00A109DF" w:rsidRPr="00A109DF" w:rsidRDefault="00A109DF" w:rsidP="00FF0B61">
      <w:pPr>
        <w:spacing w:after="0" w:line="240" w:lineRule="auto"/>
      </w:pPr>
      <w:r>
        <w:rPr>
          <w:b/>
        </w:rPr>
        <w:t>Primary Market Limitation periods</w:t>
      </w:r>
      <w:r>
        <w:t xml:space="preserve">: </w:t>
      </w:r>
    </w:p>
    <w:p w:rsidR="002D01BE" w:rsidRDefault="002D01BE" w:rsidP="00FF0B61">
      <w:pPr>
        <w:pStyle w:val="ListParagraph"/>
        <w:numPr>
          <w:ilvl w:val="0"/>
          <w:numId w:val="138"/>
        </w:numPr>
      </w:pPr>
      <w:r w:rsidRPr="00FD7076">
        <w:rPr>
          <w:b/>
          <w:i/>
        </w:rPr>
        <w:t xml:space="preserve">Rescission </w:t>
      </w:r>
      <w:r w:rsidRPr="00FD7076">
        <w:t>= 180 days from the date of the</w:t>
      </w:r>
      <w:r>
        <w:t xml:space="preserve"> transaction </w:t>
      </w:r>
      <w:r w:rsidRPr="002D01BE">
        <w:rPr>
          <w:b/>
          <w:color w:val="C45911" w:themeColor="accent2" w:themeShade="BF"/>
        </w:rPr>
        <w:t>(BCSA, 140(a)</w:t>
      </w:r>
      <w:r>
        <w:t>).</w:t>
      </w:r>
    </w:p>
    <w:p w:rsidR="002D01BE" w:rsidRDefault="002D01BE" w:rsidP="00FF0B61">
      <w:pPr>
        <w:pStyle w:val="ListParagraph"/>
        <w:numPr>
          <w:ilvl w:val="0"/>
          <w:numId w:val="138"/>
        </w:numPr>
      </w:pPr>
      <w:r w:rsidRPr="002D01BE">
        <w:rPr>
          <w:b/>
          <w:i/>
        </w:rPr>
        <w:t xml:space="preserve">Others (damages) </w:t>
      </w:r>
      <w:r>
        <w:t xml:space="preserve">= </w:t>
      </w:r>
      <w:r w:rsidRPr="002D01BE">
        <w:rPr>
          <w:b/>
          <w:color w:val="C45911" w:themeColor="accent2" w:themeShade="BF"/>
        </w:rPr>
        <w:t>(1)</w:t>
      </w:r>
      <w:r w:rsidRPr="002D01BE">
        <w:rPr>
          <w:color w:val="C45911" w:themeColor="accent2" w:themeShade="BF"/>
        </w:rPr>
        <w:t xml:space="preserve"> </w:t>
      </w:r>
      <w:r>
        <w:t xml:space="preserve">three years from the date of the transaction; </w:t>
      </w:r>
      <w:r w:rsidRPr="002D01BE">
        <w:rPr>
          <w:b/>
          <w:color w:val="C45911" w:themeColor="accent2" w:themeShade="BF"/>
        </w:rPr>
        <w:t>(2)</w:t>
      </w:r>
      <w:r w:rsidRPr="002D01BE">
        <w:rPr>
          <w:color w:val="C45911" w:themeColor="accent2" w:themeShade="BF"/>
        </w:rPr>
        <w:t xml:space="preserve"> </w:t>
      </w:r>
      <w:r>
        <w:t>180 days after the P first had knowledge of the facts underlying the cause of action (</w:t>
      </w:r>
      <w:r w:rsidRPr="002D01BE">
        <w:rPr>
          <w:b/>
          <w:color w:val="C45911" w:themeColor="accent2" w:themeShade="BF"/>
        </w:rPr>
        <w:t>BCSA 140(b)</w:t>
      </w:r>
      <w:r>
        <w:t>).</w:t>
      </w:r>
    </w:p>
    <w:p w:rsidR="00A109DF" w:rsidRPr="00A109DF" w:rsidRDefault="00A109DF" w:rsidP="00FF0B61">
      <w:pPr>
        <w:spacing w:after="0" w:line="240" w:lineRule="auto"/>
        <w:textAlignment w:val="center"/>
        <w:rPr>
          <w:rFonts w:eastAsia="Times New Roman" w:cs="Times New Roman"/>
          <w:b/>
          <w:szCs w:val="18"/>
          <w:lang w:eastAsia="en-CA"/>
        </w:rPr>
      </w:pPr>
      <w:r w:rsidRPr="00A109DF">
        <w:rPr>
          <w:rFonts w:eastAsia="Times New Roman" w:cs="Times New Roman"/>
          <w:b/>
          <w:szCs w:val="18"/>
          <w:lang w:eastAsia="en-CA"/>
        </w:rPr>
        <w:t>Secondary Market Limitation Periods (</w:t>
      </w:r>
      <w:r w:rsidRPr="00A109DF">
        <w:rPr>
          <w:rFonts w:eastAsia="Times New Roman" w:cs="Times New Roman"/>
          <w:b/>
          <w:color w:val="C45911" w:themeColor="accent2" w:themeShade="BF"/>
          <w:szCs w:val="18"/>
          <w:lang w:eastAsia="en-CA"/>
        </w:rPr>
        <w:t>140.94</w:t>
      </w:r>
      <w:r w:rsidRPr="00A109DF">
        <w:rPr>
          <w:rFonts w:eastAsia="Times New Roman" w:cs="Times New Roman"/>
          <w:b/>
          <w:szCs w:val="18"/>
          <w:lang w:eastAsia="en-CA"/>
        </w:rPr>
        <w:t>):</w:t>
      </w:r>
    </w:p>
    <w:p w:rsidR="00A109DF" w:rsidRPr="00A109DF" w:rsidRDefault="00A109DF" w:rsidP="00FF0B61">
      <w:pPr>
        <w:pStyle w:val="ListParagraph"/>
        <w:numPr>
          <w:ilvl w:val="0"/>
          <w:numId w:val="138"/>
        </w:numPr>
        <w:spacing w:after="0"/>
        <w:textAlignment w:val="center"/>
        <w:rPr>
          <w:rFonts w:eastAsia="Times New Roman" w:cs="Times New Roman"/>
          <w:szCs w:val="18"/>
          <w:lang w:eastAsia="en-CA"/>
        </w:rPr>
      </w:pPr>
      <w:r w:rsidRPr="00A109DF">
        <w:rPr>
          <w:rFonts w:eastAsia="Times New Roman" w:cs="Times New Roman"/>
          <w:b/>
          <w:szCs w:val="18"/>
          <w:u w:val="single"/>
          <w:lang w:eastAsia="en-CA"/>
        </w:rPr>
        <w:t>Damages:</w:t>
      </w:r>
      <w:r w:rsidRPr="00A109DF">
        <w:rPr>
          <w:rFonts w:eastAsia="Times New Roman" w:cs="Times New Roman"/>
          <w:szCs w:val="18"/>
          <w:lang w:eastAsia="en-CA"/>
        </w:rPr>
        <w:t xml:space="preserve"> it is the earlier of:</w:t>
      </w:r>
    </w:p>
    <w:p w:rsidR="00A109DF" w:rsidRPr="00A109DF" w:rsidRDefault="00A109DF" w:rsidP="00FF0B61">
      <w:pPr>
        <w:pStyle w:val="ListParagraph"/>
        <w:numPr>
          <w:ilvl w:val="1"/>
          <w:numId w:val="138"/>
        </w:numPr>
        <w:spacing w:after="0"/>
        <w:textAlignment w:val="center"/>
        <w:rPr>
          <w:rFonts w:eastAsia="Times New Roman" w:cs="Times New Roman"/>
          <w:szCs w:val="18"/>
          <w:lang w:eastAsia="en-CA"/>
        </w:rPr>
      </w:pPr>
      <w:r w:rsidRPr="00660AFD">
        <w:rPr>
          <w:rFonts w:eastAsia="Times New Roman" w:cs="Times New Roman"/>
          <w:b/>
          <w:szCs w:val="18"/>
          <w:lang w:eastAsia="en-CA"/>
        </w:rPr>
        <w:t>1)</w:t>
      </w:r>
      <w:r w:rsidRPr="00A109DF">
        <w:rPr>
          <w:rFonts w:eastAsia="Times New Roman" w:cs="Times New Roman"/>
          <w:szCs w:val="18"/>
          <w:lang w:eastAsia="en-CA"/>
        </w:rPr>
        <w:t xml:space="preserve"> 3 years from the date the impugned conduct occurred; and </w:t>
      </w:r>
    </w:p>
    <w:p w:rsidR="00A109DF" w:rsidRPr="00A109DF" w:rsidRDefault="00A109DF" w:rsidP="00FF0B61">
      <w:pPr>
        <w:pStyle w:val="ListParagraph"/>
        <w:numPr>
          <w:ilvl w:val="1"/>
          <w:numId w:val="138"/>
        </w:numPr>
        <w:spacing w:after="0"/>
        <w:textAlignment w:val="center"/>
        <w:rPr>
          <w:rFonts w:eastAsia="Times New Roman" w:cs="Times New Roman"/>
          <w:szCs w:val="18"/>
          <w:lang w:eastAsia="en-CA"/>
        </w:rPr>
      </w:pPr>
      <w:r w:rsidRPr="00660AFD">
        <w:rPr>
          <w:rFonts w:eastAsia="Times New Roman" w:cs="Times New Roman"/>
          <w:b/>
          <w:szCs w:val="18"/>
          <w:lang w:eastAsia="en-CA"/>
        </w:rPr>
        <w:t>2)</w:t>
      </w:r>
      <w:r w:rsidRPr="00A109DF">
        <w:rPr>
          <w:rFonts w:eastAsia="Times New Roman" w:cs="Times New Roman"/>
          <w:szCs w:val="18"/>
          <w:lang w:eastAsia="en-CA"/>
        </w:rPr>
        <w:t xml:space="preserve"> 6 months after the issuance of a news release disclos</w:t>
      </w:r>
      <w:r>
        <w:rPr>
          <w:rFonts w:eastAsia="Times New Roman" w:cs="Times New Roman"/>
          <w:szCs w:val="18"/>
          <w:lang w:eastAsia="en-CA"/>
        </w:rPr>
        <w:t xml:space="preserve">ing that the Ps have </w:t>
      </w:r>
      <w:r w:rsidRPr="00A109DF">
        <w:rPr>
          <w:rFonts w:eastAsia="Times New Roman" w:cs="Times New Roman"/>
          <w:szCs w:val="18"/>
          <w:lang w:eastAsia="en-CA"/>
        </w:rPr>
        <w:t>obtained leave to commence a secondary market SCL action</w:t>
      </w:r>
    </w:p>
    <w:p w:rsidR="00A109DF" w:rsidRPr="00A109DF" w:rsidRDefault="00A109DF" w:rsidP="00FF0B61">
      <w:pPr>
        <w:pStyle w:val="ListParagraph"/>
        <w:numPr>
          <w:ilvl w:val="0"/>
          <w:numId w:val="138"/>
        </w:numPr>
        <w:spacing w:after="0"/>
        <w:textAlignment w:val="center"/>
        <w:rPr>
          <w:rFonts w:eastAsia="Times New Roman" w:cs="Times New Roman"/>
          <w:szCs w:val="18"/>
          <w:lang w:eastAsia="en-CA"/>
        </w:rPr>
      </w:pPr>
      <w:r w:rsidRPr="00A109DF">
        <w:rPr>
          <w:rFonts w:eastAsia="Times New Roman" w:cs="Times New Roman"/>
          <w:szCs w:val="18"/>
          <w:lang w:eastAsia="en-CA"/>
        </w:rPr>
        <w:t xml:space="preserve">Remember, to pursue secondary market SCL plaintiff’s need leave of the Court under </w:t>
      </w:r>
      <w:r w:rsidRPr="00A109DF">
        <w:rPr>
          <w:rFonts w:eastAsia="Times New Roman" w:cs="Times New Roman"/>
          <w:b/>
          <w:color w:val="C45911" w:themeColor="accent2" w:themeShade="BF"/>
          <w:szCs w:val="18"/>
          <w:lang w:eastAsia="en-CA"/>
        </w:rPr>
        <w:t>BCSA s.140.8</w:t>
      </w:r>
    </w:p>
    <w:p w:rsidR="00A109DF" w:rsidRDefault="00A109DF" w:rsidP="00FF0B61">
      <w:pPr>
        <w:pStyle w:val="ListParagraph"/>
        <w:numPr>
          <w:ilvl w:val="0"/>
          <w:numId w:val="138"/>
        </w:numPr>
        <w:spacing w:after="0"/>
        <w:textAlignment w:val="center"/>
        <w:rPr>
          <w:rFonts w:eastAsia="Times New Roman" w:cs="Times New Roman"/>
          <w:szCs w:val="18"/>
          <w:lang w:eastAsia="en-CA"/>
        </w:rPr>
      </w:pPr>
      <w:r w:rsidRPr="00A109DF">
        <w:rPr>
          <w:rFonts w:eastAsia="Times New Roman" w:cs="Times New Roman"/>
          <w:b/>
          <w:szCs w:val="18"/>
          <w:lang w:eastAsia="en-CA"/>
        </w:rPr>
        <w:t>Note</w:t>
      </w:r>
      <w:r w:rsidRPr="00A109DF">
        <w:rPr>
          <w:rFonts w:eastAsia="Times New Roman" w:cs="Times New Roman"/>
          <w:szCs w:val="18"/>
          <w:lang w:eastAsia="en-CA"/>
        </w:rPr>
        <w:t>: Applying for leave suspends the 3 year limitation period (</w:t>
      </w:r>
      <w:r w:rsidRPr="00F26ADD">
        <w:rPr>
          <w:rFonts w:eastAsia="Times New Roman" w:cs="Times New Roman"/>
          <w:b/>
          <w:i/>
          <w:szCs w:val="18"/>
          <w:lang w:eastAsia="en-CA"/>
        </w:rPr>
        <w:t>Green v CIBC</w:t>
      </w:r>
      <w:r w:rsidRPr="00A109DF">
        <w:rPr>
          <w:rFonts w:eastAsia="Times New Roman" w:cs="Times New Roman"/>
          <w:szCs w:val="18"/>
          <w:lang w:eastAsia="en-CA"/>
        </w:rPr>
        <w:t>)</w:t>
      </w:r>
    </w:p>
    <w:p w:rsidR="00A109DF" w:rsidRPr="00A109DF" w:rsidRDefault="00A109DF" w:rsidP="00FF0B61">
      <w:pPr>
        <w:spacing w:after="0" w:line="240" w:lineRule="auto"/>
        <w:textAlignment w:val="center"/>
        <w:rPr>
          <w:rFonts w:eastAsia="Times New Roman" w:cs="Times New Roman"/>
          <w:szCs w:val="18"/>
          <w:lang w:eastAsia="en-CA"/>
        </w:rPr>
      </w:pPr>
    </w:p>
    <w:p w:rsidR="00307FDB" w:rsidRPr="003C6368" w:rsidRDefault="00307FDB" w:rsidP="00FF0B61">
      <w:pPr>
        <w:pStyle w:val="Heading2"/>
        <w:spacing w:line="240" w:lineRule="auto"/>
      </w:pPr>
      <w:bookmarkStart w:id="96" w:name="_Toc468980466"/>
      <w:r w:rsidRPr="003C6368">
        <w:t>Common Law</w:t>
      </w:r>
      <w:bookmarkEnd w:id="96"/>
    </w:p>
    <w:p w:rsidR="00307FDB" w:rsidRPr="007B08B3" w:rsidRDefault="00307FDB" w:rsidP="00FF0B61">
      <w:pPr>
        <w:pStyle w:val="ListParagraph"/>
        <w:numPr>
          <w:ilvl w:val="0"/>
          <w:numId w:val="126"/>
        </w:numPr>
      </w:pPr>
      <w:r w:rsidRPr="007B08B3">
        <w:rPr>
          <w:b/>
        </w:rPr>
        <w:t>K:</w:t>
      </w:r>
      <w:r w:rsidRPr="007B08B3">
        <w:t xml:space="preserve"> If misrepresentation in the prospect</w:t>
      </w:r>
      <w:r w:rsidR="007B08B3" w:rsidRPr="007B08B3">
        <w:t>us</w:t>
      </w:r>
      <w:r w:rsidRPr="007B08B3">
        <w:t xml:space="preserve"> you can sue for breach of K (for innocent misrepresentation) and then you can get rescission of the K and not damages. If can establish negligent or fraudulent misrep can get damages.</w:t>
      </w:r>
    </w:p>
    <w:p w:rsidR="004C4813" w:rsidRPr="004C4813" w:rsidRDefault="00307FDB" w:rsidP="00FF0B61">
      <w:pPr>
        <w:pStyle w:val="ListParagraph"/>
        <w:numPr>
          <w:ilvl w:val="0"/>
          <w:numId w:val="126"/>
        </w:numPr>
      </w:pPr>
      <w:r w:rsidRPr="004C4813">
        <w:rPr>
          <w:b/>
        </w:rPr>
        <w:t>Tort</w:t>
      </w:r>
      <w:r w:rsidRPr="004C4813">
        <w:t xml:space="preserve">: </w:t>
      </w:r>
      <w:r w:rsidRPr="004C4813">
        <w:rPr>
          <w:b/>
        </w:rPr>
        <w:t>Negligent Misrepresentation</w:t>
      </w:r>
      <w:r w:rsidRPr="004C4813">
        <w:t xml:space="preserve"> (</w:t>
      </w:r>
      <w:r w:rsidRPr="004C4813">
        <w:rPr>
          <w:b/>
          <w:i/>
          <w:color w:val="1006E0"/>
        </w:rPr>
        <w:t>Headl</w:t>
      </w:r>
      <w:r w:rsidR="004C4813">
        <w:rPr>
          <w:b/>
          <w:i/>
          <w:color w:val="1006E0"/>
        </w:rPr>
        <w:t xml:space="preserve">ey; </w:t>
      </w:r>
      <w:r w:rsidRPr="004C4813">
        <w:rPr>
          <w:b/>
          <w:i/>
          <w:color w:val="1006E0"/>
        </w:rPr>
        <w:t>Queen v Cogno</w:t>
      </w:r>
      <w:r w:rsidR="004C4813">
        <w:rPr>
          <w:b/>
          <w:i/>
          <w:color w:val="1006E0"/>
        </w:rPr>
        <w:t>s</w:t>
      </w:r>
      <w:r w:rsidR="004C4813">
        <w:rPr>
          <w:b/>
          <w:color w:val="1006E0"/>
        </w:rPr>
        <w:t>)</w:t>
      </w:r>
      <w:r w:rsidR="003C6368">
        <w:rPr>
          <w:b/>
          <w:color w:val="1006E0"/>
        </w:rPr>
        <w:t xml:space="preserve"> </w:t>
      </w:r>
      <w:r w:rsidR="003C6368" w:rsidRPr="003C6368">
        <w:rPr>
          <w:b/>
        </w:rPr>
        <w:sym w:font="Wingdings" w:char="F0E0"/>
      </w:r>
      <w:r w:rsidR="003C6368" w:rsidRPr="003C6368">
        <w:rPr>
          <w:b/>
        </w:rPr>
        <w:t xml:space="preserve"> DIFFICULT TO PROVE</w:t>
      </w:r>
    </w:p>
    <w:p w:rsidR="00307FDB" w:rsidRPr="004C4813" w:rsidRDefault="00307FDB" w:rsidP="00FF0B61">
      <w:pPr>
        <w:pStyle w:val="ListParagraph"/>
        <w:numPr>
          <w:ilvl w:val="1"/>
          <w:numId w:val="126"/>
        </w:numPr>
      </w:pPr>
      <w:r w:rsidRPr="004C4813">
        <w:rPr>
          <w:b/>
        </w:rPr>
        <w:t>5 req’s</w:t>
      </w:r>
      <w:r w:rsidR="004C4813" w:rsidRPr="004C4813">
        <w:rPr>
          <w:b/>
        </w:rPr>
        <w:t xml:space="preserve"> (</w:t>
      </w:r>
      <w:r w:rsidR="004C4813" w:rsidRPr="004C4813">
        <w:rPr>
          <w:b/>
          <w:i/>
          <w:color w:val="1006E0"/>
        </w:rPr>
        <w:t>Cognos</w:t>
      </w:r>
      <w:r w:rsidR="004C4813" w:rsidRPr="004C4813">
        <w:rPr>
          <w:b/>
        </w:rPr>
        <w:t>)</w:t>
      </w:r>
      <w:r w:rsidRPr="004C4813">
        <w:t xml:space="preserve">: </w:t>
      </w:r>
      <w:r w:rsidRPr="003C6368">
        <w:rPr>
          <w:b/>
        </w:rPr>
        <w:t>1)</w:t>
      </w:r>
      <w:r w:rsidRPr="004C4813">
        <w:t xml:space="preserve"> Was there a duty of care (special relationship such that the duty is not to mislead); </w:t>
      </w:r>
      <w:r w:rsidRPr="003C6368">
        <w:rPr>
          <w:b/>
        </w:rPr>
        <w:t>2)</w:t>
      </w:r>
      <w:r w:rsidRPr="004C4813">
        <w:t xml:space="preserve"> The representation must be a misrepresentation (untrue); </w:t>
      </w:r>
      <w:r w:rsidRPr="003C6368">
        <w:rPr>
          <w:b/>
        </w:rPr>
        <w:t>3)</w:t>
      </w:r>
      <w:r w:rsidRPr="004C4813">
        <w:t xml:space="preserve"> Establish negligence; </w:t>
      </w:r>
      <w:r w:rsidRPr="003C6368">
        <w:rPr>
          <w:b/>
        </w:rPr>
        <w:t>4)</w:t>
      </w:r>
      <w:r w:rsidRPr="004C4813">
        <w:t xml:space="preserve"> Reliance; and</w:t>
      </w:r>
      <w:r w:rsidRPr="003C6368">
        <w:rPr>
          <w:b/>
        </w:rPr>
        <w:t xml:space="preserve"> 5)</w:t>
      </w:r>
      <w:r w:rsidRPr="004C4813">
        <w:t xml:space="preserve"> </w:t>
      </w:r>
      <w:r w:rsidR="003C6368">
        <w:t xml:space="preserve">Demonstrate </w:t>
      </w:r>
      <w:r w:rsidRPr="004C4813">
        <w:t xml:space="preserve">Damages. </w:t>
      </w:r>
    </w:p>
    <w:p w:rsidR="00307FDB" w:rsidRDefault="00307FDB" w:rsidP="00FF0B61">
      <w:pPr>
        <w:pStyle w:val="ListParagraph"/>
        <w:numPr>
          <w:ilvl w:val="2"/>
          <w:numId w:val="126"/>
        </w:numPr>
      </w:pPr>
      <w:r w:rsidRPr="003C6368">
        <w:rPr>
          <w:b/>
          <w:i/>
          <w:u w:val="single"/>
        </w:rPr>
        <w:t>Reliance is hard</w:t>
      </w:r>
      <w:r w:rsidRPr="004C4813">
        <w:t xml:space="preserve">. Must have relied specifically on something in the prospectus to buy the securities. Especially hard if you are talking about class actions. </w:t>
      </w:r>
    </w:p>
    <w:p w:rsidR="000D232A" w:rsidRPr="002B71A7" w:rsidRDefault="00D45333" w:rsidP="00FF0B61">
      <w:pPr>
        <w:pStyle w:val="Heading2"/>
        <w:spacing w:line="240" w:lineRule="auto"/>
      </w:pPr>
      <w:bookmarkStart w:id="97" w:name="_Toc468980467"/>
      <w:r w:rsidRPr="00F70E27">
        <w:t>Primary Market Liability</w:t>
      </w:r>
      <w:bookmarkEnd w:id="97"/>
      <w:r>
        <w:t xml:space="preserve"> </w:t>
      </w:r>
    </w:p>
    <w:p w:rsidR="007C181A" w:rsidRPr="00DB6468" w:rsidRDefault="007C181A" w:rsidP="00FF0B61">
      <w:pPr>
        <w:spacing w:after="0" w:line="240" w:lineRule="auto"/>
      </w:pPr>
      <w:r w:rsidRPr="00DB6468">
        <w:rPr>
          <w:b/>
        </w:rPr>
        <w:t>“</w:t>
      </w:r>
      <w:r w:rsidR="000D232A" w:rsidRPr="00DB6468">
        <w:rPr>
          <w:b/>
        </w:rPr>
        <w:t>M</w:t>
      </w:r>
      <w:r w:rsidRPr="00DB6468">
        <w:rPr>
          <w:b/>
        </w:rPr>
        <w:t>isrepresentation”</w:t>
      </w:r>
      <w:r w:rsidR="00AD3A71" w:rsidRPr="000D232A">
        <w:t xml:space="preserve"> (</w:t>
      </w:r>
      <w:r w:rsidR="00AD3A71" w:rsidRPr="00DB6468">
        <w:rPr>
          <w:b/>
          <w:color w:val="C45911" w:themeColor="accent2" w:themeShade="BF"/>
        </w:rPr>
        <w:t>BCSA 1</w:t>
      </w:r>
      <w:r w:rsidR="000D232A" w:rsidRPr="00DB6468">
        <w:rPr>
          <w:b/>
          <w:color w:val="C45911" w:themeColor="accent2" w:themeShade="BF"/>
        </w:rPr>
        <w:t>(1)</w:t>
      </w:r>
      <w:r w:rsidR="00AD3A71" w:rsidRPr="00DB6468">
        <w:rPr>
          <w:b/>
        </w:rPr>
        <w:t>)</w:t>
      </w:r>
      <w:r w:rsidR="00DB6468">
        <w:rPr>
          <w:b/>
        </w:rPr>
        <w:t xml:space="preserve">, </w:t>
      </w:r>
      <w:r w:rsidR="00DB6468">
        <w:t>means:</w:t>
      </w:r>
    </w:p>
    <w:p w:rsidR="007C181A" w:rsidRPr="00AD3A71" w:rsidRDefault="00AD3A71" w:rsidP="00FF0B61">
      <w:pPr>
        <w:pStyle w:val="ListParagraph"/>
        <w:numPr>
          <w:ilvl w:val="0"/>
          <w:numId w:val="127"/>
        </w:numPr>
        <w:rPr>
          <w:b/>
        </w:rPr>
      </w:pPr>
      <w:r>
        <w:rPr>
          <w:b/>
        </w:rPr>
        <w:t xml:space="preserve">(a) </w:t>
      </w:r>
      <w:r w:rsidRPr="00AD3A71">
        <w:rPr>
          <w:b/>
          <w:i/>
        </w:rPr>
        <w:t>Untrue statement</w:t>
      </w:r>
      <w:r>
        <w:t xml:space="preserve"> of </w:t>
      </w:r>
      <w:r>
        <w:rPr>
          <w:b/>
          <w:u w:val="single"/>
        </w:rPr>
        <w:t xml:space="preserve">material fact (material changes can be material facts); </w:t>
      </w:r>
      <w:r>
        <w:t>OR</w:t>
      </w:r>
    </w:p>
    <w:p w:rsidR="00AD3A71" w:rsidRPr="000D232A" w:rsidRDefault="00AD3A71" w:rsidP="00FF0B61">
      <w:pPr>
        <w:pStyle w:val="ListParagraph"/>
        <w:numPr>
          <w:ilvl w:val="0"/>
          <w:numId w:val="127"/>
        </w:numPr>
        <w:rPr>
          <w:b/>
        </w:rPr>
      </w:pPr>
      <w:r>
        <w:rPr>
          <w:b/>
        </w:rPr>
        <w:t xml:space="preserve">(b) </w:t>
      </w:r>
      <w:r>
        <w:t xml:space="preserve">An </w:t>
      </w:r>
      <w:r w:rsidRPr="00AD3A71">
        <w:rPr>
          <w:b/>
          <w:i/>
        </w:rPr>
        <w:t xml:space="preserve">omissions </w:t>
      </w:r>
      <w:r>
        <w:t xml:space="preserve">to state a material fact that is: </w:t>
      </w:r>
      <w:r w:rsidRPr="00AD3A71">
        <w:rPr>
          <w:b/>
        </w:rPr>
        <w:t>(i)</w:t>
      </w:r>
      <w:r>
        <w:t xml:space="preserve"> required to be stated, </w:t>
      </w:r>
      <w:r w:rsidRPr="00AD3A71">
        <w:rPr>
          <w:b/>
        </w:rPr>
        <w:t>or (ii)</w:t>
      </w:r>
      <w:r>
        <w:t xml:space="preserve"> necessary to prevent a statement that is made from being false or misleading in the circumstances which it was made. </w:t>
      </w:r>
    </w:p>
    <w:p w:rsidR="000D232A" w:rsidRPr="000D232A" w:rsidRDefault="000D232A" w:rsidP="00FF0B61">
      <w:pPr>
        <w:pStyle w:val="ListParagraph"/>
        <w:numPr>
          <w:ilvl w:val="1"/>
          <w:numId w:val="127"/>
        </w:numPr>
        <w:rPr>
          <w:b/>
        </w:rPr>
      </w:pPr>
      <w:r w:rsidRPr="000D232A">
        <w:rPr>
          <w:b/>
        </w:rPr>
        <w:t xml:space="preserve">REMEMBER: </w:t>
      </w:r>
      <w:r w:rsidRPr="000D232A">
        <w:t>Facts are broader than changes; omissions are as bad as saying something.</w:t>
      </w:r>
    </w:p>
    <w:p w:rsidR="000D232A" w:rsidRPr="000D232A" w:rsidRDefault="000D232A" w:rsidP="00FF0B61">
      <w:pPr>
        <w:pStyle w:val="ListParagraph"/>
        <w:numPr>
          <w:ilvl w:val="1"/>
          <w:numId w:val="127"/>
        </w:numPr>
        <w:rPr>
          <w:b/>
        </w:rPr>
      </w:pPr>
      <w:r w:rsidRPr="000D232A">
        <w:rPr>
          <w:b/>
        </w:rPr>
        <w:t xml:space="preserve"> Liability for misrepresentation (</w:t>
      </w:r>
      <w:r w:rsidRPr="000D232A">
        <w:rPr>
          <w:b/>
          <w:color w:val="C45911" w:themeColor="accent2" w:themeShade="BF"/>
        </w:rPr>
        <w:t>131(a)</w:t>
      </w:r>
      <w:r w:rsidRPr="000D232A">
        <w:rPr>
          <w:b/>
        </w:rPr>
        <w:t xml:space="preserve">) – </w:t>
      </w:r>
      <w:r w:rsidR="00703AB5">
        <w:t>T</w:t>
      </w:r>
      <w:r w:rsidRPr="000D232A">
        <w:t>akes the hard reliance part out.</w:t>
      </w:r>
    </w:p>
    <w:p w:rsidR="000D232A" w:rsidRPr="000D232A" w:rsidRDefault="000D232A" w:rsidP="00FF0B61">
      <w:pPr>
        <w:pStyle w:val="ListParagraph"/>
        <w:numPr>
          <w:ilvl w:val="1"/>
          <w:numId w:val="127"/>
        </w:numPr>
      </w:pPr>
      <w:r w:rsidRPr="000D232A">
        <w:t>These SCL provisions are in addition to common law remedies.</w:t>
      </w:r>
    </w:p>
    <w:p w:rsidR="00023999" w:rsidRPr="00023999" w:rsidRDefault="00A465CC" w:rsidP="00FF0B61">
      <w:pPr>
        <w:spacing w:after="0" w:line="240" w:lineRule="auto"/>
        <w:rPr>
          <w:b/>
        </w:rPr>
      </w:pPr>
      <w:r w:rsidRPr="00023999">
        <w:rPr>
          <w:b/>
        </w:rPr>
        <w:t>3 TYPES</w:t>
      </w:r>
      <w:r w:rsidR="002B71A7" w:rsidRPr="00023999">
        <w:rPr>
          <w:b/>
        </w:rPr>
        <w:t xml:space="preserve"> OF MISREPS LIABLE FOR</w:t>
      </w:r>
      <w:r w:rsidRPr="00023999">
        <w:rPr>
          <w:b/>
        </w:rPr>
        <w:t>:</w:t>
      </w:r>
      <w:r w:rsidR="00023999" w:rsidRPr="00023999">
        <w:t xml:space="preserve"> In each case</w:t>
      </w:r>
      <w:r w:rsidR="00023999">
        <w:t xml:space="preserve">, the investor is </w:t>
      </w:r>
      <w:r w:rsidR="00023999" w:rsidRPr="00023999">
        <w:rPr>
          <w:b/>
          <w:i/>
        </w:rPr>
        <w:t>effectively deemed to rely on the misrepresentation</w:t>
      </w:r>
      <w:r w:rsidR="00023999">
        <w:t xml:space="preserve"> (</w:t>
      </w:r>
      <w:r w:rsidR="00023999" w:rsidRPr="00023999">
        <w:rPr>
          <w:b/>
          <w:color w:val="C45911" w:themeColor="accent2" w:themeShade="BF"/>
        </w:rPr>
        <w:t>131(1)(a), 132(1), 132.1(1)(a)</w:t>
      </w:r>
      <w:r w:rsidR="00023999">
        <w:t>)</w:t>
      </w:r>
    </w:p>
    <w:p w:rsidR="00A465CC" w:rsidRPr="000002C7" w:rsidRDefault="00023999" w:rsidP="00FF0B61">
      <w:pPr>
        <w:pStyle w:val="ListParagraph"/>
        <w:numPr>
          <w:ilvl w:val="0"/>
          <w:numId w:val="139"/>
        </w:numPr>
        <w:rPr>
          <w:b/>
        </w:rPr>
      </w:pPr>
      <w:r>
        <w:rPr>
          <w:b/>
        </w:rPr>
        <w:t xml:space="preserve">[a] </w:t>
      </w:r>
      <w:r w:rsidR="00A465CC">
        <w:rPr>
          <w:b/>
        </w:rPr>
        <w:t>Prospectus Liability (</w:t>
      </w:r>
      <w:r w:rsidR="00A465CC" w:rsidRPr="00A465CC">
        <w:rPr>
          <w:b/>
          <w:color w:val="C45911" w:themeColor="accent2" w:themeShade="BF"/>
        </w:rPr>
        <w:t>131</w:t>
      </w:r>
      <w:r w:rsidR="00A465CC">
        <w:rPr>
          <w:b/>
        </w:rPr>
        <w:t xml:space="preserve">): </w:t>
      </w:r>
      <w:r w:rsidR="000002C7">
        <w:t>L</w:t>
      </w:r>
      <w:r w:rsidR="000002C7" w:rsidRPr="000002C7">
        <w:t>iability is triggered when a purchaser buys a security under a prospectus during the period of distribution, if the documents contained a misrepresentation, or if a misrepresentation resulted from a material change that was not properly disclosed</w:t>
      </w:r>
      <w:r w:rsidR="000002C7">
        <w:t>.</w:t>
      </w:r>
    </w:p>
    <w:p w:rsidR="000002C7" w:rsidRPr="00A465CC" w:rsidRDefault="000002C7" w:rsidP="00FF0B61">
      <w:pPr>
        <w:pStyle w:val="ListParagraph"/>
        <w:numPr>
          <w:ilvl w:val="1"/>
          <w:numId w:val="139"/>
        </w:numPr>
        <w:rPr>
          <w:b/>
        </w:rPr>
      </w:pPr>
      <w:r>
        <w:rPr>
          <w:b/>
        </w:rPr>
        <w:t xml:space="preserve">No liability springs from events that take place after closing date, as that is the date the distribution period is over. </w:t>
      </w:r>
    </w:p>
    <w:p w:rsidR="00A465CC" w:rsidRPr="00A465CC" w:rsidRDefault="00023999" w:rsidP="00FF0B61">
      <w:pPr>
        <w:pStyle w:val="ListParagraph"/>
        <w:numPr>
          <w:ilvl w:val="0"/>
          <w:numId w:val="139"/>
        </w:numPr>
        <w:rPr>
          <w:b/>
        </w:rPr>
      </w:pPr>
      <w:r>
        <w:rPr>
          <w:b/>
        </w:rPr>
        <w:t xml:space="preserve">[b] </w:t>
      </w:r>
      <w:r w:rsidR="00A465CC">
        <w:rPr>
          <w:b/>
        </w:rPr>
        <w:t>TOB Doc Liability (</w:t>
      </w:r>
      <w:r w:rsidR="00A465CC" w:rsidRPr="00A465CC">
        <w:rPr>
          <w:b/>
          <w:color w:val="C45911" w:themeColor="accent2" w:themeShade="BF"/>
        </w:rPr>
        <w:t>132)</w:t>
      </w:r>
      <w:r w:rsidR="00A465CC">
        <w:rPr>
          <w:b/>
        </w:rPr>
        <w:t xml:space="preserve">: </w:t>
      </w:r>
      <w:r w:rsidR="005B741A">
        <w:t>I</w:t>
      </w:r>
      <w:r w:rsidR="00A465CC" w:rsidRPr="00A465CC">
        <w:t>s for a misrepresentation in a take over bid circular, issuer bid circular, notice of change, or notice of variation.</w:t>
      </w:r>
      <w:r w:rsidR="00182FF5">
        <w:t xml:space="preserve"> Triggered when such a document is sent to securityholders (</w:t>
      </w:r>
      <w:r w:rsidR="00182FF5" w:rsidRPr="00182FF5">
        <w:rPr>
          <w:b/>
          <w:color w:val="C45911" w:themeColor="accent2" w:themeShade="BF"/>
        </w:rPr>
        <w:t>132(1))</w:t>
      </w:r>
      <w:r w:rsidR="00182FF5">
        <w:t>.</w:t>
      </w:r>
    </w:p>
    <w:p w:rsidR="00A465CC" w:rsidRPr="00182FF5" w:rsidRDefault="00023999" w:rsidP="00FF0B61">
      <w:pPr>
        <w:pStyle w:val="ListParagraph"/>
        <w:numPr>
          <w:ilvl w:val="0"/>
          <w:numId w:val="139"/>
        </w:numPr>
        <w:rPr>
          <w:b/>
        </w:rPr>
      </w:pPr>
      <w:r>
        <w:rPr>
          <w:b/>
        </w:rPr>
        <w:t xml:space="preserve">[c] </w:t>
      </w:r>
      <w:r w:rsidR="005E3763">
        <w:rPr>
          <w:b/>
        </w:rPr>
        <w:t>Offering Memorandum</w:t>
      </w:r>
      <w:r w:rsidR="00A465CC">
        <w:rPr>
          <w:b/>
        </w:rPr>
        <w:t xml:space="preserve"> Liability (</w:t>
      </w:r>
      <w:r w:rsidR="00A465CC" w:rsidRPr="00A465CC">
        <w:rPr>
          <w:b/>
          <w:color w:val="C45911" w:themeColor="accent2" w:themeShade="BF"/>
        </w:rPr>
        <w:t>132.1</w:t>
      </w:r>
      <w:r w:rsidR="00A465CC">
        <w:rPr>
          <w:b/>
        </w:rPr>
        <w:t>):</w:t>
      </w:r>
      <w:r w:rsidR="00A465CC" w:rsidRPr="00A465CC">
        <w:rPr>
          <w:b/>
        </w:rPr>
        <w:t xml:space="preserve"> </w:t>
      </w:r>
      <w:r w:rsidR="00F24A5C" w:rsidRPr="00F24A5C">
        <w:t>Liability is triggered when a purchaser buys a security under an OM, if the documents contained a misrepresentation, or if a misrepresentation resulted from a material change that was not properly disclosed</w:t>
      </w:r>
      <w:r w:rsidR="00F24A5C">
        <w:t xml:space="preserve">. </w:t>
      </w:r>
    </w:p>
    <w:p w:rsidR="002B71A7" w:rsidRPr="00023999" w:rsidRDefault="00023999" w:rsidP="00FF0B61">
      <w:pPr>
        <w:spacing w:after="0" w:line="240" w:lineRule="auto"/>
        <w:rPr>
          <w:b/>
          <w:u w:val="single"/>
        </w:rPr>
      </w:pPr>
      <w:r w:rsidRPr="00023999">
        <w:rPr>
          <w:b/>
          <w:u w:val="single"/>
        </w:rPr>
        <w:t xml:space="preserve">[a] </w:t>
      </w:r>
      <w:r w:rsidR="002B71A7" w:rsidRPr="00023999">
        <w:rPr>
          <w:b/>
          <w:u w:val="single"/>
        </w:rPr>
        <w:t xml:space="preserve">PROSPECTUS MISREP: </w:t>
      </w:r>
    </w:p>
    <w:p w:rsidR="00023999" w:rsidRPr="00023999" w:rsidRDefault="00023999" w:rsidP="00FF0B61">
      <w:pPr>
        <w:pStyle w:val="Body"/>
        <w:rPr>
          <w:rFonts w:asciiTheme="minorHAnsi" w:hAnsiTheme="minorHAnsi"/>
          <w:bCs/>
          <w:position w:val="4"/>
          <w:sz w:val="18"/>
          <w:szCs w:val="21"/>
        </w:rPr>
      </w:pPr>
      <w:r w:rsidRPr="00023999">
        <w:rPr>
          <w:rFonts w:asciiTheme="minorHAnsi" w:hAnsiTheme="minorHAnsi"/>
          <w:b/>
          <w:bCs/>
          <w:position w:val="4"/>
          <w:sz w:val="18"/>
          <w:szCs w:val="21"/>
        </w:rPr>
        <w:t>Prospectus investor</w:t>
      </w:r>
      <w:r w:rsidRPr="00023999">
        <w:rPr>
          <w:rFonts w:asciiTheme="minorHAnsi" w:hAnsiTheme="minorHAnsi"/>
          <w:bCs/>
          <w:position w:val="4"/>
          <w:sz w:val="18"/>
          <w:szCs w:val="21"/>
        </w:rPr>
        <w:t xml:space="preserve"> has a right of action against:</w:t>
      </w:r>
    </w:p>
    <w:p w:rsidR="00023999" w:rsidRPr="00023999" w:rsidRDefault="00023999" w:rsidP="00FF0B61">
      <w:pPr>
        <w:pStyle w:val="Body"/>
        <w:ind w:left="284"/>
        <w:rPr>
          <w:rFonts w:asciiTheme="minorHAnsi" w:hAnsiTheme="minorHAnsi"/>
          <w:bCs/>
          <w:position w:val="4"/>
          <w:sz w:val="18"/>
          <w:szCs w:val="21"/>
        </w:rPr>
      </w:pPr>
      <w:r w:rsidRPr="00023999">
        <w:rPr>
          <w:rFonts w:asciiTheme="minorHAnsi" w:hAnsiTheme="minorHAnsi"/>
          <w:b/>
          <w:bCs/>
          <w:position w:val="4"/>
          <w:sz w:val="18"/>
          <w:szCs w:val="21"/>
        </w:rPr>
        <w:t>(1)</w:t>
      </w:r>
      <w:r w:rsidRPr="00023999">
        <w:rPr>
          <w:rFonts w:asciiTheme="minorHAnsi" w:hAnsiTheme="minorHAnsi"/>
          <w:bCs/>
          <w:position w:val="4"/>
          <w:sz w:val="18"/>
          <w:szCs w:val="21"/>
        </w:rPr>
        <w:t xml:space="preserve"> The issuer or selling securityholder (rescission or damages) (</w:t>
      </w:r>
      <w:r w:rsidRPr="00023999">
        <w:rPr>
          <w:rFonts w:asciiTheme="minorHAnsi" w:hAnsiTheme="minorHAnsi"/>
          <w:b/>
          <w:bCs/>
          <w:color w:val="C45911" w:themeColor="accent2" w:themeShade="BF"/>
          <w:position w:val="4"/>
          <w:sz w:val="18"/>
          <w:szCs w:val="21"/>
        </w:rPr>
        <w:t>131(1)(b)(i)</w:t>
      </w:r>
      <w:r w:rsidRPr="00023999">
        <w:rPr>
          <w:rFonts w:asciiTheme="minorHAnsi" w:hAnsiTheme="minorHAnsi"/>
          <w:bCs/>
          <w:position w:val="4"/>
          <w:sz w:val="18"/>
          <w:szCs w:val="21"/>
        </w:rPr>
        <w:t>).</w:t>
      </w:r>
    </w:p>
    <w:p w:rsidR="00023999" w:rsidRPr="00023999" w:rsidRDefault="00023999" w:rsidP="00FF0B61">
      <w:pPr>
        <w:pStyle w:val="Body"/>
        <w:ind w:left="284"/>
        <w:rPr>
          <w:rFonts w:asciiTheme="minorHAnsi" w:hAnsiTheme="minorHAnsi"/>
          <w:bCs/>
          <w:position w:val="4"/>
          <w:sz w:val="18"/>
          <w:szCs w:val="21"/>
        </w:rPr>
      </w:pPr>
      <w:r w:rsidRPr="00023999">
        <w:rPr>
          <w:rFonts w:asciiTheme="minorHAnsi" w:hAnsiTheme="minorHAnsi"/>
          <w:b/>
          <w:bCs/>
          <w:position w:val="4"/>
          <w:sz w:val="18"/>
          <w:szCs w:val="21"/>
        </w:rPr>
        <w:t>(2)</w:t>
      </w:r>
      <w:r w:rsidR="004B5D98">
        <w:rPr>
          <w:rFonts w:asciiTheme="minorHAnsi" w:hAnsiTheme="minorHAnsi"/>
          <w:bCs/>
          <w:position w:val="4"/>
          <w:sz w:val="18"/>
          <w:szCs w:val="21"/>
        </w:rPr>
        <w:t xml:space="preserve"> Any UW</w:t>
      </w:r>
      <w:r w:rsidRPr="00023999">
        <w:rPr>
          <w:rFonts w:asciiTheme="minorHAnsi" w:hAnsiTheme="minorHAnsi"/>
          <w:bCs/>
          <w:position w:val="4"/>
          <w:sz w:val="18"/>
          <w:szCs w:val="21"/>
        </w:rPr>
        <w:t xml:space="preserve"> who signed the prospectus certificate (rescission or damages) (</w:t>
      </w:r>
      <w:r w:rsidRPr="00023999">
        <w:rPr>
          <w:rFonts w:asciiTheme="minorHAnsi" w:hAnsiTheme="minorHAnsi"/>
          <w:b/>
          <w:bCs/>
          <w:color w:val="C45911" w:themeColor="accent2" w:themeShade="BF"/>
          <w:position w:val="4"/>
          <w:sz w:val="18"/>
          <w:szCs w:val="21"/>
        </w:rPr>
        <w:t>131(1)(b)(ii)</w:t>
      </w:r>
      <w:r w:rsidRPr="00023999">
        <w:rPr>
          <w:rFonts w:asciiTheme="minorHAnsi" w:hAnsiTheme="minorHAnsi"/>
          <w:bCs/>
          <w:position w:val="4"/>
          <w:sz w:val="18"/>
          <w:szCs w:val="21"/>
        </w:rPr>
        <w:t>).</w:t>
      </w:r>
    </w:p>
    <w:p w:rsidR="00023999" w:rsidRPr="00023999" w:rsidRDefault="00023999" w:rsidP="00FF0B61">
      <w:pPr>
        <w:pStyle w:val="Body"/>
        <w:ind w:left="284"/>
        <w:rPr>
          <w:rFonts w:asciiTheme="minorHAnsi" w:hAnsiTheme="minorHAnsi"/>
          <w:bCs/>
          <w:position w:val="4"/>
          <w:sz w:val="18"/>
          <w:szCs w:val="21"/>
        </w:rPr>
      </w:pPr>
      <w:r w:rsidRPr="00023999">
        <w:rPr>
          <w:rFonts w:asciiTheme="minorHAnsi" w:hAnsiTheme="minorHAnsi"/>
          <w:b/>
          <w:bCs/>
          <w:position w:val="4"/>
          <w:sz w:val="18"/>
          <w:szCs w:val="21"/>
        </w:rPr>
        <w:t xml:space="preserve">(3) </w:t>
      </w:r>
      <w:r w:rsidR="008912ED">
        <w:rPr>
          <w:rFonts w:asciiTheme="minorHAnsi" w:hAnsiTheme="minorHAnsi"/>
          <w:bCs/>
          <w:position w:val="4"/>
          <w:sz w:val="18"/>
          <w:szCs w:val="21"/>
        </w:rPr>
        <w:t xml:space="preserve">Any DIR </w:t>
      </w:r>
      <w:r w:rsidRPr="00023999">
        <w:rPr>
          <w:rFonts w:asciiTheme="minorHAnsi" w:hAnsiTheme="minorHAnsi"/>
          <w:bCs/>
          <w:position w:val="4"/>
          <w:sz w:val="18"/>
          <w:szCs w:val="21"/>
        </w:rPr>
        <w:t>of the issuer when the prospectus was filed (damages) (</w:t>
      </w:r>
      <w:r w:rsidRPr="00023999">
        <w:rPr>
          <w:rFonts w:asciiTheme="minorHAnsi" w:hAnsiTheme="minorHAnsi"/>
          <w:b/>
          <w:bCs/>
          <w:color w:val="C45911" w:themeColor="accent2" w:themeShade="BF"/>
          <w:position w:val="4"/>
          <w:sz w:val="18"/>
          <w:szCs w:val="21"/>
        </w:rPr>
        <w:t>131(1)(b)(iii)</w:t>
      </w:r>
      <w:r w:rsidRPr="00023999">
        <w:rPr>
          <w:rFonts w:asciiTheme="minorHAnsi" w:hAnsiTheme="minorHAnsi"/>
          <w:bCs/>
          <w:color w:val="C45911" w:themeColor="accent2" w:themeShade="BF"/>
          <w:position w:val="4"/>
          <w:sz w:val="18"/>
          <w:szCs w:val="21"/>
        </w:rPr>
        <w:t>).</w:t>
      </w:r>
    </w:p>
    <w:p w:rsidR="00023999" w:rsidRPr="00023999" w:rsidRDefault="00023999" w:rsidP="00FF0B61">
      <w:pPr>
        <w:pStyle w:val="Body"/>
        <w:ind w:left="284"/>
        <w:rPr>
          <w:rFonts w:asciiTheme="minorHAnsi" w:hAnsiTheme="minorHAnsi"/>
          <w:bCs/>
          <w:position w:val="4"/>
          <w:sz w:val="18"/>
          <w:szCs w:val="21"/>
        </w:rPr>
      </w:pPr>
      <w:r w:rsidRPr="00023999">
        <w:rPr>
          <w:rFonts w:asciiTheme="minorHAnsi" w:hAnsiTheme="minorHAnsi"/>
          <w:b/>
          <w:bCs/>
          <w:position w:val="4"/>
          <w:sz w:val="18"/>
          <w:szCs w:val="21"/>
        </w:rPr>
        <w:t>(4)</w:t>
      </w:r>
      <w:r w:rsidRPr="00023999">
        <w:rPr>
          <w:rFonts w:asciiTheme="minorHAnsi" w:hAnsiTheme="minorHAnsi"/>
          <w:bCs/>
          <w:position w:val="4"/>
          <w:sz w:val="18"/>
          <w:szCs w:val="21"/>
        </w:rPr>
        <w:t xml:space="preserve"> Any person who consented to any part of the prospectus (damages – for that person’s part) (</w:t>
      </w:r>
      <w:r w:rsidRPr="00023999">
        <w:rPr>
          <w:rFonts w:asciiTheme="minorHAnsi" w:hAnsiTheme="minorHAnsi"/>
          <w:b/>
          <w:bCs/>
          <w:color w:val="C45911" w:themeColor="accent2" w:themeShade="BF"/>
          <w:position w:val="4"/>
          <w:sz w:val="18"/>
          <w:szCs w:val="21"/>
        </w:rPr>
        <w:t>131(1)(b)(iv)</w:t>
      </w:r>
      <w:r w:rsidRPr="00023999">
        <w:rPr>
          <w:rFonts w:asciiTheme="minorHAnsi" w:hAnsiTheme="minorHAnsi"/>
          <w:bCs/>
          <w:position w:val="4"/>
          <w:sz w:val="18"/>
          <w:szCs w:val="21"/>
        </w:rPr>
        <w:t>).</w:t>
      </w:r>
    </w:p>
    <w:p w:rsidR="00023999" w:rsidRPr="00023999" w:rsidRDefault="00023999" w:rsidP="00FF0B61">
      <w:pPr>
        <w:spacing w:after="0" w:line="240" w:lineRule="auto"/>
        <w:ind w:left="284"/>
        <w:rPr>
          <w:b/>
          <w:sz w:val="14"/>
        </w:rPr>
      </w:pPr>
      <w:r w:rsidRPr="00023999">
        <w:rPr>
          <w:b/>
          <w:bCs/>
          <w:position w:val="4"/>
          <w:szCs w:val="21"/>
        </w:rPr>
        <w:t>(5)</w:t>
      </w:r>
      <w:r w:rsidRPr="00023999">
        <w:rPr>
          <w:bCs/>
          <w:position w:val="4"/>
          <w:szCs w:val="21"/>
        </w:rPr>
        <w:t xml:space="preserve"> Any other person who signed the prospectus (damages) (</w:t>
      </w:r>
      <w:r w:rsidRPr="00023999">
        <w:rPr>
          <w:b/>
          <w:bCs/>
          <w:color w:val="C45911" w:themeColor="accent2" w:themeShade="BF"/>
          <w:position w:val="4"/>
          <w:szCs w:val="21"/>
        </w:rPr>
        <w:t>131(1)(b)(v)</w:t>
      </w:r>
      <w:r w:rsidRPr="00023999">
        <w:rPr>
          <w:bCs/>
          <w:position w:val="4"/>
          <w:szCs w:val="21"/>
        </w:rPr>
        <w:t>).</w:t>
      </w:r>
    </w:p>
    <w:p w:rsidR="00A335EC" w:rsidRPr="00A335EC" w:rsidRDefault="00B27E66" w:rsidP="00FF0B61">
      <w:pPr>
        <w:pStyle w:val="ListParagraph"/>
        <w:numPr>
          <w:ilvl w:val="0"/>
          <w:numId w:val="127"/>
        </w:numPr>
        <w:ind w:hanging="153"/>
        <w:rPr>
          <w:b/>
        </w:rPr>
      </w:pPr>
      <w:r w:rsidRPr="004B5D98">
        <w:rPr>
          <w:b/>
        </w:rPr>
        <w:t>P has to show: 1)</w:t>
      </w:r>
      <w:r w:rsidRPr="004B5D98">
        <w:t xml:space="preserve"> Bought prospectus during distribution; </w:t>
      </w:r>
      <w:r w:rsidRPr="004B5D98">
        <w:rPr>
          <w:b/>
        </w:rPr>
        <w:t>2</w:t>
      </w:r>
      <w:r w:rsidR="004B5D98">
        <w:rPr>
          <w:b/>
        </w:rPr>
        <w:t xml:space="preserve">) </w:t>
      </w:r>
      <w:r w:rsidR="004B5D98">
        <w:t>There</w:t>
      </w:r>
      <w:r w:rsidRPr="004B5D98">
        <w:t xml:space="preserve"> is a misrepresentation</w:t>
      </w:r>
      <w:r w:rsidRPr="004B5D98">
        <w:rPr>
          <w:b/>
        </w:rPr>
        <w:t>; 3)</w:t>
      </w:r>
      <w:r w:rsidRPr="004B5D98">
        <w:t xml:space="preserve"> Figure out who they are going to sue.</w:t>
      </w:r>
    </w:p>
    <w:p w:rsidR="00A335EC" w:rsidRPr="00A335EC" w:rsidRDefault="00A335EC" w:rsidP="00FF0B61">
      <w:pPr>
        <w:pStyle w:val="ListParagraph"/>
        <w:numPr>
          <w:ilvl w:val="0"/>
          <w:numId w:val="127"/>
        </w:numPr>
        <w:ind w:hanging="153"/>
        <w:rPr>
          <w:b/>
        </w:rPr>
      </w:pPr>
      <w:r w:rsidRPr="00A335EC">
        <w:t>A person referred to in (1)(b)(iv) is liable only with respect to a misrepresentation contained in a report, opinion or statement made by the person</w:t>
      </w:r>
      <w:r>
        <w:rPr>
          <w:b/>
        </w:rPr>
        <w:t xml:space="preserve"> (</w:t>
      </w:r>
      <w:r w:rsidRPr="00A335EC">
        <w:rPr>
          <w:b/>
          <w:color w:val="C45911" w:themeColor="accent2" w:themeShade="BF"/>
        </w:rPr>
        <w:t>131(2)</w:t>
      </w:r>
      <w:r>
        <w:rPr>
          <w:b/>
        </w:rPr>
        <w:t>)</w:t>
      </w:r>
    </w:p>
    <w:p w:rsidR="00746577" w:rsidRDefault="00746577" w:rsidP="00FF0B61">
      <w:pPr>
        <w:pStyle w:val="NoSpacing"/>
        <w:rPr>
          <w:rFonts w:asciiTheme="minorHAnsi" w:hAnsiTheme="minorHAnsi" w:cs="Arial"/>
          <w:sz w:val="18"/>
          <w:szCs w:val="21"/>
        </w:rPr>
      </w:pPr>
      <w:r w:rsidRPr="00746577">
        <w:rPr>
          <w:rFonts w:asciiTheme="minorHAnsi" w:hAnsiTheme="minorHAnsi" w:cs="Arial"/>
          <w:b/>
          <w:color w:val="C45911" w:themeColor="accent2" w:themeShade="BF"/>
          <w:sz w:val="18"/>
          <w:szCs w:val="21"/>
        </w:rPr>
        <w:t xml:space="preserve">BCSA </w:t>
      </w:r>
      <w:r w:rsidRPr="0043369E">
        <w:rPr>
          <w:rFonts w:asciiTheme="minorHAnsi" w:hAnsiTheme="minorHAnsi" w:cs="Arial"/>
          <w:b/>
          <w:color w:val="C45911" w:themeColor="accent2" w:themeShade="BF"/>
          <w:sz w:val="18"/>
          <w:szCs w:val="21"/>
        </w:rPr>
        <w:t>131(11)</w:t>
      </w:r>
      <w:r w:rsidRPr="0043369E">
        <w:rPr>
          <w:rFonts w:asciiTheme="minorHAnsi" w:hAnsiTheme="minorHAnsi" w:cs="Arial"/>
          <w:color w:val="C45911" w:themeColor="accent2" w:themeShade="BF"/>
          <w:sz w:val="18"/>
          <w:szCs w:val="21"/>
        </w:rPr>
        <w:t xml:space="preserve">: </w:t>
      </w:r>
      <w:r w:rsidRPr="0043369E">
        <w:rPr>
          <w:rFonts w:asciiTheme="minorHAnsi" w:hAnsiTheme="minorHAnsi" w:cs="Arial"/>
          <w:sz w:val="18"/>
          <w:szCs w:val="21"/>
        </w:rPr>
        <w:t>The liability of all these people is joint and several,</w:t>
      </w:r>
      <w:r w:rsidR="008912ED">
        <w:rPr>
          <w:rFonts w:asciiTheme="minorHAnsi" w:hAnsiTheme="minorHAnsi" w:cs="Arial"/>
          <w:sz w:val="18"/>
          <w:szCs w:val="21"/>
        </w:rPr>
        <w:t xml:space="preserve"> except for UW</w:t>
      </w:r>
      <w:r w:rsidRPr="0043369E">
        <w:rPr>
          <w:rFonts w:asciiTheme="minorHAnsi" w:hAnsiTheme="minorHAnsi" w:cs="Arial"/>
          <w:sz w:val="18"/>
          <w:szCs w:val="21"/>
        </w:rPr>
        <w:t xml:space="preserve">s, whose liability is limited to the portion of the distribution underwritten by it </w:t>
      </w:r>
      <w:r w:rsidRPr="0043369E">
        <w:rPr>
          <w:rFonts w:asciiTheme="minorHAnsi" w:hAnsiTheme="minorHAnsi" w:cs="Arial"/>
          <w:color w:val="C45911" w:themeColor="accent2" w:themeShade="BF"/>
          <w:sz w:val="18"/>
          <w:szCs w:val="21"/>
        </w:rPr>
        <w:t>(</w:t>
      </w:r>
      <w:r w:rsidRPr="0043369E">
        <w:rPr>
          <w:rFonts w:asciiTheme="minorHAnsi" w:hAnsiTheme="minorHAnsi" w:cs="Arial"/>
          <w:b/>
          <w:color w:val="C45911" w:themeColor="accent2" w:themeShade="BF"/>
          <w:sz w:val="18"/>
          <w:szCs w:val="21"/>
        </w:rPr>
        <w:t>(9)</w:t>
      </w:r>
      <w:r w:rsidRPr="0043369E">
        <w:rPr>
          <w:rFonts w:asciiTheme="minorHAnsi" w:hAnsiTheme="minorHAnsi" w:cs="Arial"/>
          <w:sz w:val="18"/>
          <w:szCs w:val="21"/>
        </w:rPr>
        <w:t>).</w:t>
      </w:r>
    </w:p>
    <w:p w:rsidR="00CD30FF" w:rsidRPr="0043369E" w:rsidRDefault="00CD30FF" w:rsidP="00FF0B61">
      <w:pPr>
        <w:pStyle w:val="NoSpacing"/>
        <w:rPr>
          <w:rFonts w:asciiTheme="minorHAnsi" w:hAnsiTheme="minorHAnsi" w:cs="Arial"/>
          <w:sz w:val="18"/>
          <w:szCs w:val="21"/>
        </w:rPr>
      </w:pPr>
    </w:p>
    <w:p w:rsidR="007B08B3" w:rsidRDefault="0043369E" w:rsidP="00FF0B61">
      <w:pPr>
        <w:spacing w:after="0" w:line="240" w:lineRule="auto"/>
        <w:rPr>
          <w:b/>
          <w:color w:val="C45911" w:themeColor="accent2" w:themeShade="BF"/>
        </w:rPr>
      </w:pPr>
      <w:r>
        <w:rPr>
          <w:b/>
          <w:u w:val="single"/>
        </w:rPr>
        <w:lastRenderedPageBreak/>
        <w:t>[b] TOB DOC MISREP:</w:t>
      </w:r>
      <w:r w:rsidRPr="0043369E">
        <w:t xml:space="preserve"> </w:t>
      </w:r>
      <w:r w:rsidR="004C4813" w:rsidRPr="004C4813">
        <w:t>Liability arises against the following people</w:t>
      </w:r>
      <w:r w:rsidR="004C4813">
        <w:t xml:space="preserve"> </w:t>
      </w:r>
      <w:r>
        <w:t>(</w:t>
      </w:r>
      <w:r w:rsidRPr="0043369E">
        <w:rPr>
          <w:b/>
          <w:color w:val="C45911" w:themeColor="accent2" w:themeShade="BF"/>
        </w:rPr>
        <w:t xml:space="preserve">BCSA </w:t>
      </w:r>
      <w:r w:rsidR="004C4813">
        <w:rPr>
          <w:b/>
          <w:color w:val="C45911" w:themeColor="accent2" w:themeShade="BF"/>
        </w:rPr>
        <w:t>132(1)</w:t>
      </w:r>
      <w:r w:rsidRPr="0043369E">
        <w:rPr>
          <w:b/>
          <w:color w:val="C45911" w:themeColor="accent2" w:themeShade="BF"/>
        </w:rPr>
        <w:t>)</w:t>
      </w:r>
      <w:r w:rsidR="004C4813">
        <w:rPr>
          <w:b/>
          <w:color w:val="C45911" w:themeColor="accent2" w:themeShade="BF"/>
        </w:rPr>
        <w:t>:</w:t>
      </w:r>
    </w:p>
    <w:p w:rsidR="007B08B3" w:rsidRPr="007B08B3" w:rsidRDefault="007B08B3" w:rsidP="00FF0B61">
      <w:pPr>
        <w:pStyle w:val="ListParagraph"/>
        <w:numPr>
          <w:ilvl w:val="0"/>
          <w:numId w:val="127"/>
        </w:numPr>
        <w:spacing w:after="0"/>
        <w:rPr>
          <w:b/>
          <w:color w:val="C45911" w:themeColor="accent2" w:themeShade="BF"/>
        </w:rPr>
      </w:pPr>
      <w:r w:rsidRPr="007B08B3">
        <w:rPr>
          <w:b/>
          <w:color w:val="C45911" w:themeColor="accent2" w:themeShade="BF"/>
        </w:rPr>
        <w:t>(a)</w:t>
      </w:r>
      <w:r w:rsidRPr="007B08B3">
        <w:rPr>
          <w:color w:val="C45911" w:themeColor="accent2" w:themeShade="BF"/>
        </w:rPr>
        <w:t xml:space="preserve"> </w:t>
      </w:r>
      <w:r w:rsidR="004C4813">
        <w:t>T</w:t>
      </w:r>
      <w:r w:rsidR="004C4813" w:rsidRPr="004C4813">
        <w:t>he offeror (Rescission)</w:t>
      </w:r>
    </w:p>
    <w:p w:rsidR="004C4813" w:rsidRPr="007B08B3" w:rsidRDefault="007B08B3" w:rsidP="00FF0B61">
      <w:pPr>
        <w:pStyle w:val="ListParagraph"/>
        <w:numPr>
          <w:ilvl w:val="0"/>
          <w:numId w:val="127"/>
        </w:numPr>
        <w:spacing w:after="0"/>
        <w:rPr>
          <w:b/>
          <w:color w:val="C45911" w:themeColor="accent2" w:themeShade="BF"/>
        </w:rPr>
      </w:pPr>
      <w:r w:rsidRPr="007B08B3">
        <w:rPr>
          <w:b/>
          <w:color w:val="C45911" w:themeColor="accent2" w:themeShade="BF"/>
        </w:rPr>
        <w:t>(b)</w:t>
      </w:r>
      <w:r w:rsidRPr="007B08B3">
        <w:rPr>
          <w:color w:val="C45911" w:themeColor="accent2" w:themeShade="BF"/>
        </w:rPr>
        <w:t xml:space="preserve"> </w:t>
      </w:r>
      <w:r w:rsidR="004C4813" w:rsidRPr="007B08B3">
        <w:rPr>
          <w:b/>
        </w:rPr>
        <w:t>i</w:t>
      </w:r>
      <w:r w:rsidR="004C4813" w:rsidRPr="004C4813">
        <w:t>) Anyone who signed the document (Damages)</w:t>
      </w:r>
    </w:p>
    <w:p w:rsidR="004C4813" w:rsidRPr="004C4813" w:rsidRDefault="007B08B3" w:rsidP="00FF0B61">
      <w:pPr>
        <w:spacing w:after="0" w:line="240" w:lineRule="auto"/>
      </w:pPr>
      <w:r>
        <w:tab/>
        <w:t xml:space="preserve">     </w:t>
      </w:r>
      <w:r w:rsidR="004C4813" w:rsidRPr="004C4813">
        <w:rPr>
          <w:b/>
        </w:rPr>
        <w:t xml:space="preserve">ii) </w:t>
      </w:r>
      <w:r w:rsidR="004C4813">
        <w:t>Every DIR</w:t>
      </w:r>
      <w:r w:rsidR="004C4813" w:rsidRPr="004C4813">
        <w:t xml:space="preserve"> of the offeror when it was signed (Damages)</w:t>
      </w:r>
    </w:p>
    <w:p w:rsidR="004C4813" w:rsidRPr="004C4813" w:rsidRDefault="007B08B3" w:rsidP="00FF0B61">
      <w:pPr>
        <w:spacing w:after="0" w:line="240" w:lineRule="auto"/>
      </w:pPr>
      <w:r>
        <w:tab/>
        <w:t xml:space="preserve">     </w:t>
      </w:r>
      <w:r w:rsidR="004C4813" w:rsidRPr="004C4813">
        <w:rPr>
          <w:b/>
        </w:rPr>
        <w:t xml:space="preserve">iii) </w:t>
      </w:r>
      <w:r w:rsidR="004C4813" w:rsidRPr="004C4813">
        <w:t>Anyone whose consent has been filed as prescribed (Damages)</w:t>
      </w:r>
    </w:p>
    <w:p w:rsidR="00CD30FF" w:rsidRDefault="007B08B3" w:rsidP="00FF0B61">
      <w:pPr>
        <w:spacing w:after="0" w:line="240" w:lineRule="auto"/>
      </w:pPr>
      <w:r>
        <w:tab/>
        <w:t xml:space="preserve">     </w:t>
      </w:r>
      <w:r w:rsidR="004C4813" w:rsidRPr="004C4813">
        <w:rPr>
          <w:b/>
        </w:rPr>
        <w:t xml:space="preserve">iv) </w:t>
      </w:r>
      <w:r w:rsidR="004C4813" w:rsidRPr="004C4813">
        <w:t>The offeror (Damages)</w:t>
      </w:r>
    </w:p>
    <w:p w:rsidR="004C4813" w:rsidRPr="004C4813" w:rsidRDefault="004C4813" w:rsidP="00FF0B61">
      <w:pPr>
        <w:spacing w:after="0" w:line="240" w:lineRule="auto"/>
        <w:ind w:left="284"/>
      </w:pPr>
    </w:p>
    <w:p w:rsidR="00CD30FF" w:rsidRPr="00CD30FF" w:rsidRDefault="00CD30FF" w:rsidP="00FF0B61">
      <w:pPr>
        <w:spacing w:after="0" w:line="240" w:lineRule="auto"/>
        <w:rPr>
          <w:b/>
          <w:u w:val="single"/>
        </w:rPr>
      </w:pPr>
      <w:r>
        <w:rPr>
          <w:b/>
          <w:u w:val="single"/>
        </w:rPr>
        <w:t>[c] O</w:t>
      </w:r>
      <w:r w:rsidR="005E3763">
        <w:rPr>
          <w:b/>
          <w:u w:val="single"/>
        </w:rPr>
        <w:t>FFERING ME</w:t>
      </w:r>
      <w:r>
        <w:rPr>
          <w:b/>
          <w:u w:val="single"/>
        </w:rPr>
        <w:t>M</w:t>
      </w:r>
      <w:r w:rsidR="005E3763">
        <w:rPr>
          <w:b/>
          <w:u w:val="single"/>
        </w:rPr>
        <w:t>ORANDUM</w:t>
      </w:r>
      <w:r>
        <w:rPr>
          <w:b/>
          <w:u w:val="single"/>
        </w:rPr>
        <w:t xml:space="preserve"> MISREP: </w:t>
      </w:r>
      <w:r w:rsidRPr="00CD30FF">
        <w:t>OM investor can get rescission or damages against</w:t>
      </w:r>
      <w:r>
        <w:t xml:space="preserve"> (</w:t>
      </w:r>
      <w:r w:rsidRPr="00CD30FF">
        <w:rPr>
          <w:b/>
          <w:color w:val="C45911" w:themeColor="accent2" w:themeShade="BF"/>
        </w:rPr>
        <w:t>BCSA 132.1(1),(2)</w:t>
      </w:r>
      <w:r>
        <w:t>)</w:t>
      </w:r>
      <w:r w:rsidRPr="00CD30FF">
        <w:t xml:space="preserve">: </w:t>
      </w:r>
    </w:p>
    <w:p w:rsidR="008912ED" w:rsidRDefault="008912ED" w:rsidP="00FF0B61">
      <w:pPr>
        <w:spacing w:after="0" w:line="240" w:lineRule="auto"/>
        <w:ind w:left="284"/>
      </w:pPr>
      <w:r w:rsidRPr="008912ED">
        <w:rPr>
          <w:b/>
        </w:rPr>
        <w:t>(i)</w:t>
      </w:r>
      <w:r w:rsidR="005B741A">
        <w:t xml:space="preserve"> the issuer (textbook also says selling securityholder) </w:t>
      </w:r>
      <w:r w:rsidR="00100766">
        <w:t>(damages + rescission)</w:t>
      </w:r>
    </w:p>
    <w:p w:rsidR="008912ED" w:rsidRDefault="008912ED" w:rsidP="00FF0B61">
      <w:pPr>
        <w:spacing w:after="0" w:line="240" w:lineRule="auto"/>
        <w:ind w:left="284"/>
      </w:pPr>
      <w:r w:rsidRPr="008912ED">
        <w:rPr>
          <w:b/>
        </w:rPr>
        <w:t>(ii)</w:t>
      </w:r>
      <w:r>
        <w:t xml:space="preserve"> every DIR of the issuer at the date of the disclosure document</w:t>
      </w:r>
      <w:r w:rsidR="00100766">
        <w:t xml:space="preserve"> (damages)</w:t>
      </w:r>
      <w:r>
        <w:t>, and</w:t>
      </w:r>
    </w:p>
    <w:p w:rsidR="00CD30FF" w:rsidRDefault="008912ED" w:rsidP="00FF0B61">
      <w:pPr>
        <w:spacing w:after="0" w:line="240" w:lineRule="auto"/>
        <w:ind w:left="284"/>
      </w:pPr>
      <w:r w:rsidRPr="008912ED">
        <w:rPr>
          <w:b/>
        </w:rPr>
        <w:t>(iii)</w:t>
      </w:r>
      <w:r>
        <w:t xml:space="preserve"> every person who signed the disclosure document</w:t>
      </w:r>
      <w:r w:rsidR="00100766">
        <w:t xml:space="preserve"> (damages)</w:t>
      </w:r>
      <w:r>
        <w:t>.</w:t>
      </w:r>
    </w:p>
    <w:p w:rsidR="00BD0963" w:rsidRDefault="00BD0963" w:rsidP="00FF0B61">
      <w:pPr>
        <w:spacing w:after="0" w:line="240" w:lineRule="auto"/>
        <w:ind w:left="284"/>
      </w:pPr>
    </w:p>
    <w:p w:rsidR="00CD30FF" w:rsidRPr="00CD30FF" w:rsidRDefault="00CD30FF" w:rsidP="00FF0B61">
      <w:pPr>
        <w:pStyle w:val="Heading3"/>
        <w:spacing w:line="240" w:lineRule="auto"/>
      </w:pPr>
      <w:bookmarkStart w:id="98" w:name="_Toc468980468"/>
      <w:r>
        <w:t>Defenses</w:t>
      </w:r>
      <w:bookmarkEnd w:id="98"/>
    </w:p>
    <w:p w:rsidR="00140F1F" w:rsidRPr="00140F1F" w:rsidRDefault="00B20B47" w:rsidP="00FF0B61">
      <w:pPr>
        <w:spacing w:after="0" w:line="240" w:lineRule="auto"/>
        <w:textAlignment w:val="center"/>
        <w:rPr>
          <w:rFonts w:eastAsia="Times New Roman" w:cs="Times New Roman"/>
          <w:lang w:eastAsia="en-CA"/>
        </w:rPr>
      </w:pPr>
      <w:r w:rsidRPr="00B20B47">
        <w:rPr>
          <w:b/>
        </w:rPr>
        <w:t xml:space="preserve">Onus of Proof: </w:t>
      </w:r>
      <w:r w:rsidRPr="00B20B47">
        <w:t xml:space="preserve">is on </w:t>
      </w:r>
      <w:r w:rsidR="00140F1F">
        <w:t xml:space="preserve">the party claiming the defense </w:t>
      </w:r>
      <w:r w:rsidR="00140F1F">
        <w:rPr>
          <w:b/>
        </w:rPr>
        <w:t>// STD of Reasonableness (</w:t>
      </w:r>
      <w:r w:rsidR="00140F1F" w:rsidRPr="00140F1F">
        <w:rPr>
          <w:b/>
          <w:color w:val="C45911" w:themeColor="accent2" w:themeShade="BF"/>
        </w:rPr>
        <w:t>BCSA 133</w:t>
      </w:r>
      <w:r w:rsidR="00140F1F">
        <w:rPr>
          <w:b/>
        </w:rPr>
        <w:t xml:space="preserve">): </w:t>
      </w:r>
      <w:r w:rsidR="00140F1F" w:rsidRPr="00140F1F">
        <w:rPr>
          <w:rFonts w:eastAsia="Times New Roman" w:cs="Times New Roman"/>
          <w:bCs/>
          <w:lang w:eastAsia="en-CA"/>
        </w:rPr>
        <w:t>The standard for determining "reasonable investigation" and "reasonable grounds" is that of "</w:t>
      </w:r>
      <w:r w:rsidR="00140F1F" w:rsidRPr="00140F1F">
        <w:rPr>
          <w:rFonts w:eastAsia="Times New Roman" w:cs="Times New Roman"/>
          <w:b/>
          <w:bCs/>
          <w:u w:val="single"/>
          <w:lang w:eastAsia="en-CA"/>
        </w:rPr>
        <w:t>a prudent person in the circumstances</w:t>
      </w:r>
      <w:r w:rsidR="00140F1F" w:rsidRPr="00140F1F">
        <w:rPr>
          <w:rFonts w:eastAsia="Times New Roman" w:cs="Times New Roman"/>
          <w:bCs/>
          <w:lang w:eastAsia="en-CA"/>
        </w:rPr>
        <w:t>"</w:t>
      </w:r>
    </w:p>
    <w:p w:rsidR="00140F1F" w:rsidRDefault="00140F1F" w:rsidP="00FF0B61">
      <w:pPr>
        <w:spacing w:after="0" w:line="240" w:lineRule="auto"/>
        <w:rPr>
          <w:b/>
        </w:rPr>
      </w:pPr>
    </w:p>
    <w:p w:rsidR="00B20B47" w:rsidRPr="00B20B47" w:rsidRDefault="00B20B47" w:rsidP="00FF0B61">
      <w:pPr>
        <w:spacing w:line="240" w:lineRule="auto"/>
      </w:pPr>
      <w:r w:rsidRPr="00B20B47">
        <w:rPr>
          <w:b/>
        </w:rPr>
        <w:t>[1] Knowledge of the Misrepresentation (</w:t>
      </w:r>
      <w:r w:rsidRPr="00B20B47">
        <w:rPr>
          <w:b/>
          <w:color w:val="C45911" w:themeColor="accent2" w:themeShade="BF"/>
        </w:rPr>
        <w:t xml:space="preserve">131(4) </w:t>
      </w:r>
      <w:r>
        <w:rPr>
          <w:b/>
        </w:rPr>
        <w:t xml:space="preserve">– </w:t>
      </w:r>
      <w:r>
        <w:t xml:space="preserve">Prosp.; </w:t>
      </w:r>
      <w:r w:rsidRPr="00B20B47">
        <w:rPr>
          <w:b/>
          <w:color w:val="C45911" w:themeColor="accent2" w:themeShade="BF"/>
        </w:rPr>
        <w:t xml:space="preserve">132(4) </w:t>
      </w:r>
      <w:r>
        <w:rPr>
          <w:b/>
        </w:rPr>
        <w:t xml:space="preserve">– </w:t>
      </w:r>
      <w:r>
        <w:t xml:space="preserve">TOB; </w:t>
      </w:r>
      <w:r w:rsidRPr="00B20B47">
        <w:rPr>
          <w:b/>
          <w:color w:val="C45911" w:themeColor="accent2" w:themeShade="BF"/>
        </w:rPr>
        <w:t xml:space="preserve">132.1(4) </w:t>
      </w:r>
      <w:r>
        <w:rPr>
          <w:b/>
        </w:rPr>
        <w:t xml:space="preserve">- </w:t>
      </w:r>
      <w:r>
        <w:t>OM</w:t>
      </w:r>
      <w:r w:rsidRPr="00B20B47">
        <w:rPr>
          <w:b/>
        </w:rPr>
        <w:t xml:space="preserve">): </w:t>
      </w:r>
      <w:r w:rsidR="00140F1F">
        <w:rPr>
          <w:u w:val="single"/>
        </w:rPr>
        <w:t>A</w:t>
      </w:r>
      <w:r w:rsidRPr="00B20B47">
        <w:rPr>
          <w:u w:val="single"/>
        </w:rPr>
        <w:t>vailable to issuer or selling security holder.</w:t>
      </w:r>
      <w:r w:rsidRPr="00B20B47">
        <w:t xml:space="preserve"> Liability is defeated if the </w:t>
      </w:r>
      <w:r w:rsidRPr="00B20B47">
        <w:rPr>
          <w:b/>
          <w:i/>
        </w:rPr>
        <w:t xml:space="preserve">investor knew </w:t>
      </w:r>
      <w:r w:rsidRPr="00B20B47">
        <w:t xml:space="preserve">of the misrepresentation at the time of purchase. </w:t>
      </w:r>
    </w:p>
    <w:p w:rsidR="00B20B47" w:rsidRDefault="00B20B47" w:rsidP="00FF0B61">
      <w:pPr>
        <w:spacing w:after="0" w:line="240" w:lineRule="auto"/>
      </w:pPr>
      <w:r w:rsidRPr="00134999">
        <w:rPr>
          <w:b/>
        </w:rPr>
        <w:t>[2] Impugned Party had No Knowledge</w:t>
      </w:r>
      <w:r w:rsidR="00EB420F" w:rsidRPr="00134999">
        <w:rPr>
          <w:b/>
        </w:rPr>
        <w:t xml:space="preserve"> (</w:t>
      </w:r>
      <w:r w:rsidR="00EB420F" w:rsidRPr="00134999">
        <w:rPr>
          <w:b/>
          <w:color w:val="C45911" w:themeColor="accent2" w:themeShade="BF"/>
        </w:rPr>
        <w:t xml:space="preserve">131(5)(a) </w:t>
      </w:r>
      <w:r w:rsidR="00EB420F" w:rsidRPr="00134999">
        <w:rPr>
          <w:b/>
        </w:rPr>
        <w:t xml:space="preserve">– </w:t>
      </w:r>
      <w:r w:rsidR="00EB420F" w:rsidRPr="00134999">
        <w:t xml:space="preserve">Prosp; </w:t>
      </w:r>
      <w:r w:rsidR="00134999">
        <w:rPr>
          <w:b/>
          <w:color w:val="C45911" w:themeColor="accent2" w:themeShade="BF"/>
        </w:rPr>
        <w:t>132(5</w:t>
      </w:r>
      <w:r w:rsidR="00EB420F" w:rsidRPr="00134999">
        <w:rPr>
          <w:b/>
          <w:color w:val="C45911" w:themeColor="accent2" w:themeShade="BF"/>
        </w:rPr>
        <w:t>)</w:t>
      </w:r>
      <w:r w:rsidR="00134999">
        <w:rPr>
          <w:b/>
          <w:color w:val="C45911" w:themeColor="accent2" w:themeShade="BF"/>
        </w:rPr>
        <w:t>(a)</w:t>
      </w:r>
      <w:r w:rsidR="00EB420F" w:rsidRPr="00134999">
        <w:rPr>
          <w:b/>
          <w:color w:val="C45911" w:themeColor="accent2" w:themeShade="BF"/>
        </w:rPr>
        <w:t xml:space="preserve"> </w:t>
      </w:r>
      <w:r w:rsidR="00EB420F" w:rsidRPr="00134999">
        <w:rPr>
          <w:b/>
        </w:rPr>
        <w:t xml:space="preserve">– </w:t>
      </w:r>
      <w:r w:rsidR="00EB420F" w:rsidRPr="00134999">
        <w:t xml:space="preserve">TOB; </w:t>
      </w:r>
      <w:r w:rsidR="00EB420F" w:rsidRPr="00134999">
        <w:rPr>
          <w:b/>
          <w:color w:val="C45911" w:themeColor="accent2" w:themeShade="BF"/>
        </w:rPr>
        <w:t>132.1(4)</w:t>
      </w:r>
      <w:r w:rsidR="00134999">
        <w:rPr>
          <w:b/>
          <w:color w:val="C45911" w:themeColor="accent2" w:themeShade="BF"/>
        </w:rPr>
        <w:t>(a)</w:t>
      </w:r>
      <w:r w:rsidR="00EB420F" w:rsidRPr="00134999">
        <w:rPr>
          <w:b/>
          <w:color w:val="C45911" w:themeColor="accent2" w:themeShade="BF"/>
        </w:rPr>
        <w:t xml:space="preserve"> </w:t>
      </w:r>
      <w:r w:rsidR="00EB420F" w:rsidRPr="00134999">
        <w:rPr>
          <w:b/>
        </w:rPr>
        <w:t xml:space="preserve">– </w:t>
      </w:r>
      <w:r w:rsidR="00EB420F" w:rsidRPr="00134999">
        <w:t>OM</w:t>
      </w:r>
      <w:r w:rsidR="00EB420F" w:rsidRPr="001C106C">
        <w:rPr>
          <w:b/>
        </w:rPr>
        <w:t>)</w:t>
      </w:r>
      <w:r w:rsidR="00EB420F" w:rsidRPr="00134999">
        <w:rPr>
          <w:b/>
        </w:rPr>
        <w:t xml:space="preserve">: </w:t>
      </w:r>
      <w:r w:rsidR="00EB420F" w:rsidRPr="00134999">
        <w:t>An impugned party has a defence if the documents were s</w:t>
      </w:r>
      <w:r w:rsidR="00523F76">
        <w:t>ent without his or her consent (e.g. prospectus filed w/o D’s consent)</w:t>
      </w:r>
      <w:r w:rsidR="00EB420F" w:rsidRPr="00134999">
        <w:t xml:space="preserve"> Must also have given “reasonable general notice” of this lack of knowledge or consent upon finding out.</w:t>
      </w:r>
    </w:p>
    <w:p w:rsidR="00523F76" w:rsidRPr="00EB420F" w:rsidRDefault="00523F76" w:rsidP="00FF0B61">
      <w:pPr>
        <w:pStyle w:val="ListParagraph"/>
        <w:numPr>
          <w:ilvl w:val="0"/>
          <w:numId w:val="140"/>
        </w:numPr>
      </w:pPr>
      <w:r>
        <w:rPr>
          <w:b/>
        </w:rPr>
        <w:t xml:space="preserve">NB: </w:t>
      </w:r>
      <w:r>
        <w:t>Doesn’t apply to the issuer or selling securityholder (</w:t>
      </w:r>
      <w:r w:rsidRPr="00523F76">
        <w:rPr>
          <w:b/>
          <w:color w:val="C45911" w:themeColor="accent2" w:themeShade="BF"/>
        </w:rPr>
        <w:t>131(8)</w:t>
      </w:r>
      <w:r>
        <w:t>)</w:t>
      </w:r>
    </w:p>
    <w:p w:rsidR="00B20B47" w:rsidRDefault="00B20B47" w:rsidP="00FF0B61">
      <w:pPr>
        <w:spacing w:after="0" w:line="240" w:lineRule="auto"/>
      </w:pPr>
      <w:r w:rsidRPr="007F0D09">
        <w:rPr>
          <w:b/>
        </w:rPr>
        <w:t>[3] Withdrawal of Consent</w:t>
      </w:r>
      <w:r w:rsidR="007F0D09">
        <w:rPr>
          <w:b/>
        </w:rPr>
        <w:t xml:space="preserve"> (</w:t>
      </w:r>
      <w:r w:rsidR="007F0D09" w:rsidRPr="007F0D09">
        <w:rPr>
          <w:b/>
          <w:color w:val="C45911" w:themeColor="accent2" w:themeShade="BF"/>
        </w:rPr>
        <w:t>131(5)(b)</w:t>
      </w:r>
      <w:r w:rsidR="007F0D09">
        <w:rPr>
          <w:b/>
          <w:color w:val="C45911" w:themeColor="accent2" w:themeShade="BF"/>
        </w:rPr>
        <w:t xml:space="preserve"> – </w:t>
      </w:r>
      <w:r w:rsidR="007F0D09">
        <w:t>Prosp.</w:t>
      </w:r>
      <w:r w:rsidR="007F0D09" w:rsidRPr="007F0D09">
        <w:rPr>
          <w:b/>
          <w:color w:val="C45911" w:themeColor="accent2" w:themeShade="BF"/>
        </w:rPr>
        <w:t>; 132(5)(b)</w:t>
      </w:r>
      <w:r w:rsidR="007F0D09">
        <w:rPr>
          <w:b/>
          <w:color w:val="C45911" w:themeColor="accent2" w:themeShade="BF"/>
        </w:rPr>
        <w:t xml:space="preserve"> - </w:t>
      </w:r>
      <w:r w:rsidR="007F0D09">
        <w:t>TOB</w:t>
      </w:r>
      <w:r w:rsidR="007F0D09" w:rsidRPr="007F0D09">
        <w:rPr>
          <w:b/>
          <w:color w:val="C45911" w:themeColor="accent2" w:themeShade="BF"/>
        </w:rPr>
        <w:t>, 132.1(4)(b)</w:t>
      </w:r>
      <w:r w:rsidR="007F0D09">
        <w:rPr>
          <w:b/>
          <w:color w:val="C45911" w:themeColor="accent2" w:themeShade="BF"/>
        </w:rPr>
        <w:t xml:space="preserve"> - </w:t>
      </w:r>
      <w:r w:rsidR="007F0D09">
        <w:t>OM</w:t>
      </w:r>
      <w:r w:rsidR="007F0D09">
        <w:rPr>
          <w:b/>
        </w:rPr>
        <w:t>)</w:t>
      </w:r>
      <w:r w:rsidR="007F0D09" w:rsidRPr="007F0D09">
        <w:rPr>
          <w:b/>
        </w:rPr>
        <w:t xml:space="preserve">: </w:t>
      </w:r>
      <w:r w:rsidR="007F0D09" w:rsidRPr="007F0D09">
        <w:t xml:space="preserve">Liability is defeated if the person withdrew consent to a prospectus, OM, or TOB doc when the person became aware of a misrepresentation after it was filed or sent, and gave “reasonable genera; notice” of the withdrawal or reason. </w:t>
      </w:r>
    </w:p>
    <w:p w:rsidR="007F0D09" w:rsidRPr="00EB420F" w:rsidRDefault="007F0D09" w:rsidP="00FF0B61">
      <w:pPr>
        <w:pStyle w:val="ListParagraph"/>
        <w:numPr>
          <w:ilvl w:val="0"/>
          <w:numId w:val="140"/>
        </w:numPr>
      </w:pPr>
      <w:r>
        <w:rPr>
          <w:b/>
        </w:rPr>
        <w:t xml:space="preserve">NB: </w:t>
      </w:r>
      <w:r>
        <w:t>Doesn’t apply to the issuer or selling securityholder (</w:t>
      </w:r>
      <w:r w:rsidRPr="00523F76">
        <w:rPr>
          <w:b/>
          <w:color w:val="C45911" w:themeColor="accent2" w:themeShade="BF"/>
        </w:rPr>
        <w:t>131(8)</w:t>
      </w:r>
      <w:r>
        <w:t>)</w:t>
      </w:r>
    </w:p>
    <w:p w:rsidR="00B20B47" w:rsidRPr="00C9315A" w:rsidRDefault="00B20B47" w:rsidP="00FF0B61">
      <w:pPr>
        <w:spacing w:after="0" w:line="240" w:lineRule="auto"/>
        <w:rPr>
          <w:b/>
        </w:rPr>
      </w:pPr>
      <w:r w:rsidRPr="00C9315A">
        <w:rPr>
          <w:b/>
        </w:rPr>
        <w:t>[4] Reliance on Expert</w:t>
      </w:r>
      <w:r w:rsidR="00875A60" w:rsidRPr="00C9315A">
        <w:rPr>
          <w:b/>
        </w:rPr>
        <w:t>:</w:t>
      </w:r>
    </w:p>
    <w:p w:rsidR="00B34985" w:rsidRDefault="00B34985" w:rsidP="00FF0B61">
      <w:pPr>
        <w:pStyle w:val="ListParagraph"/>
        <w:numPr>
          <w:ilvl w:val="0"/>
          <w:numId w:val="142"/>
        </w:numPr>
        <w:spacing w:after="0"/>
        <w:textAlignment w:val="center"/>
        <w:rPr>
          <w:rFonts w:eastAsia="Times New Roman" w:cs="Times New Roman"/>
          <w:lang w:eastAsia="en-CA"/>
        </w:rPr>
      </w:pPr>
      <w:r w:rsidRPr="00C9315A">
        <w:rPr>
          <w:b/>
        </w:rPr>
        <w:t xml:space="preserve">Defendant: Reliance on an Expert: </w:t>
      </w:r>
      <w:r w:rsidRPr="00C9315A">
        <w:rPr>
          <w:rFonts w:eastAsia="Times New Roman" w:cs="Times New Roman"/>
          <w:lang w:eastAsia="en-CA"/>
        </w:rPr>
        <w:t>(</w:t>
      </w:r>
      <w:r w:rsidRPr="00B34985">
        <w:rPr>
          <w:rFonts w:eastAsia="Times New Roman" w:cs="Times New Roman"/>
          <w:b/>
          <w:color w:val="C45911" w:themeColor="accent2" w:themeShade="BF"/>
          <w:lang w:eastAsia="en-CA"/>
        </w:rPr>
        <w:t>131(5)(c)</w:t>
      </w:r>
      <w:r w:rsidRPr="00B34985">
        <w:rPr>
          <w:rFonts w:eastAsia="Times New Roman" w:cs="Times New Roman"/>
          <w:color w:val="C45911" w:themeColor="accent2" w:themeShade="BF"/>
          <w:lang w:eastAsia="en-CA"/>
        </w:rPr>
        <w:t xml:space="preserve"> </w:t>
      </w:r>
      <w:r>
        <w:rPr>
          <w:rFonts w:eastAsia="Times New Roman" w:cs="Times New Roman"/>
          <w:lang w:eastAsia="en-CA"/>
        </w:rPr>
        <w:t>– Prosp;</w:t>
      </w:r>
      <w:r w:rsidRPr="00B34985">
        <w:rPr>
          <w:rFonts w:eastAsia="Times New Roman" w:cs="Times New Roman"/>
          <w:lang w:eastAsia="en-CA"/>
        </w:rPr>
        <w:t xml:space="preserve"> </w:t>
      </w:r>
      <w:r w:rsidRPr="00B34985">
        <w:rPr>
          <w:rFonts w:eastAsia="Times New Roman" w:cs="Times New Roman"/>
          <w:b/>
          <w:color w:val="C45911" w:themeColor="accent2" w:themeShade="BF"/>
          <w:lang w:eastAsia="en-CA"/>
        </w:rPr>
        <w:t>132(5)(c)</w:t>
      </w:r>
      <w:r w:rsidRPr="00B34985">
        <w:rPr>
          <w:rFonts w:eastAsia="Times New Roman" w:cs="Times New Roman"/>
          <w:lang w:eastAsia="en-CA"/>
        </w:rPr>
        <w:t xml:space="preserve"> </w:t>
      </w:r>
      <w:r>
        <w:rPr>
          <w:rFonts w:eastAsia="Times New Roman" w:cs="Times New Roman"/>
          <w:lang w:eastAsia="en-CA"/>
        </w:rPr>
        <w:t xml:space="preserve">- </w:t>
      </w:r>
      <w:r w:rsidRPr="00B34985">
        <w:rPr>
          <w:rFonts w:eastAsia="Times New Roman" w:cs="Times New Roman"/>
          <w:lang w:eastAsia="en-CA"/>
        </w:rPr>
        <w:t xml:space="preserve">TOB document, </w:t>
      </w:r>
      <w:r w:rsidRPr="00B34985">
        <w:rPr>
          <w:rFonts w:eastAsia="Times New Roman" w:cs="Times New Roman"/>
          <w:b/>
          <w:color w:val="C45911" w:themeColor="accent2" w:themeShade="BF"/>
          <w:lang w:eastAsia="en-CA"/>
        </w:rPr>
        <w:t>132.1(4)(c) –</w:t>
      </w:r>
      <w:r w:rsidRPr="00B34985">
        <w:rPr>
          <w:rFonts w:eastAsia="Times New Roman" w:cs="Times New Roman"/>
          <w:color w:val="C45911" w:themeColor="accent2" w:themeShade="BF"/>
          <w:lang w:eastAsia="en-CA"/>
        </w:rPr>
        <w:t xml:space="preserve"> </w:t>
      </w:r>
      <w:r w:rsidRPr="00B34985">
        <w:rPr>
          <w:rFonts w:eastAsia="Times New Roman" w:cs="Times New Roman"/>
          <w:lang w:eastAsia="en-CA"/>
        </w:rPr>
        <w:t>OM</w:t>
      </w:r>
      <w:r>
        <w:rPr>
          <w:rFonts w:eastAsia="Times New Roman" w:cs="Times New Roman"/>
          <w:lang w:eastAsia="en-CA"/>
        </w:rPr>
        <w:t xml:space="preserve">): </w:t>
      </w:r>
      <w:r w:rsidR="00C9315A">
        <w:rPr>
          <w:rFonts w:eastAsia="Times New Roman" w:cs="Times New Roman"/>
          <w:lang w:eastAsia="en-CA"/>
        </w:rPr>
        <w:t xml:space="preserve">Defense exists where the D did not believe there was a misrepresentation and had </w:t>
      </w:r>
      <w:r w:rsidR="00C9315A" w:rsidRPr="00631491">
        <w:rPr>
          <w:rFonts w:eastAsia="Times New Roman" w:cs="Times New Roman"/>
          <w:b/>
          <w:u w:val="single"/>
          <w:lang w:eastAsia="en-CA"/>
        </w:rPr>
        <w:t>no reasonable grounds</w:t>
      </w:r>
      <w:r w:rsidR="00C9315A">
        <w:rPr>
          <w:rFonts w:eastAsia="Times New Roman" w:cs="Times New Roman"/>
          <w:lang w:eastAsia="en-CA"/>
        </w:rPr>
        <w:t xml:space="preserve"> to believe it. </w:t>
      </w:r>
    </w:p>
    <w:p w:rsidR="00B34985" w:rsidRPr="00B34985" w:rsidRDefault="00B34985" w:rsidP="00FF0B61">
      <w:pPr>
        <w:pStyle w:val="ListParagraph"/>
        <w:numPr>
          <w:ilvl w:val="0"/>
          <w:numId w:val="142"/>
        </w:numPr>
        <w:spacing w:after="0"/>
        <w:textAlignment w:val="center"/>
        <w:rPr>
          <w:rFonts w:eastAsia="Times New Roman" w:cs="Times New Roman"/>
          <w:b/>
          <w:lang w:eastAsia="en-CA"/>
        </w:rPr>
      </w:pPr>
      <w:r>
        <w:rPr>
          <w:rFonts w:eastAsia="Times New Roman" w:cs="Times New Roman"/>
          <w:b/>
          <w:lang w:eastAsia="en-CA"/>
        </w:rPr>
        <w:t>Expert Defendant: Unfair Representation (</w:t>
      </w:r>
      <w:r w:rsidRPr="00B34985">
        <w:rPr>
          <w:rFonts w:eastAsia="Times New Roman" w:cs="Times New Roman"/>
          <w:b/>
          <w:color w:val="C45911" w:themeColor="accent2" w:themeShade="BF"/>
          <w:lang w:eastAsia="en-CA"/>
        </w:rPr>
        <w:t>131(5)(d)</w:t>
      </w:r>
      <w:r w:rsidRPr="00B34985">
        <w:rPr>
          <w:rFonts w:eastAsia="Times New Roman" w:cs="Times New Roman"/>
          <w:color w:val="C45911" w:themeColor="accent2" w:themeShade="BF"/>
          <w:lang w:eastAsia="en-CA"/>
        </w:rPr>
        <w:t xml:space="preserve"> </w:t>
      </w:r>
      <w:r>
        <w:rPr>
          <w:rFonts w:eastAsia="Times New Roman" w:cs="Times New Roman"/>
          <w:lang w:eastAsia="en-CA"/>
        </w:rPr>
        <w:t xml:space="preserve">– Prosp; </w:t>
      </w:r>
      <w:r w:rsidRPr="00B34985">
        <w:rPr>
          <w:rFonts w:eastAsia="Times New Roman" w:cs="Times New Roman"/>
          <w:b/>
          <w:color w:val="C45911" w:themeColor="accent2" w:themeShade="BF"/>
          <w:lang w:eastAsia="en-CA"/>
        </w:rPr>
        <w:t>132(5)(d)</w:t>
      </w:r>
      <w:r w:rsidRPr="00B34985">
        <w:rPr>
          <w:rFonts w:eastAsia="Times New Roman" w:cs="Times New Roman"/>
          <w:color w:val="C45911" w:themeColor="accent2" w:themeShade="BF"/>
          <w:lang w:eastAsia="en-CA"/>
        </w:rPr>
        <w:t xml:space="preserve"> </w:t>
      </w:r>
      <w:r>
        <w:rPr>
          <w:rFonts w:eastAsia="Times New Roman" w:cs="Times New Roman"/>
          <w:lang w:eastAsia="en-CA"/>
        </w:rPr>
        <w:t>– TOB</w:t>
      </w:r>
      <w:r w:rsidRPr="003E56DB">
        <w:rPr>
          <w:rFonts w:eastAsia="Times New Roman" w:cs="Times New Roman"/>
          <w:szCs w:val="18"/>
          <w:lang w:eastAsia="en-CA"/>
        </w:rPr>
        <w:t xml:space="preserve">): </w:t>
      </w:r>
      <w:r w:rsidR="003E56DB" w:rsidRPr="003E56DB">
        <w:rPr>
          <w:rFonts w:cs="Arial"/>
          <w:szCs w:val="18"/>
        </w:rPr>
        <w:t xml:space="preserve">If the prospectus did not fairly represent D’s expert report, opinion, or statement, no liability. To rely on this, D must have </w:t>
      </w:r>
      <w:r w:rsidR="003E56DB" w:rsidRPr="00A02259">
        <w:rPr>
          <w:rFonts w:cs="Arial"/>
          <w:b/>
          <w:szCs w:val="18"/>
          <w:u w:val="single"/>
        </w:rPr>
        <w:t>reasonable grounds</w:t>
      </w:r>
      <w:r w:rsidR="003E56DB" w:rsidRPr="003E56DB">
        <w:rPr>
          <w:rFonts w:cs="Arial"/>
          <w:szCs w:val="18"/>
        </w:rPr>
        <w:t xml:space="preserve"> to believe that the relevant part of the prospectus did fairly represent their report, opinion or statement, OR advised the regulator as soon as practicable upon becoming aware of the misrepresentation, and gave reasonable notice that they were withdrawing their expertise.</w:t>
      </w:r>
    </w:p>
    <w:p w:rsidR="00B34985" w:rsidRPr="00B34985" w:rsidRDefault="00B34985" w:rsidP="00FF0B61">
      <w:pPr>
        <w:pStyle w:val="ListParagraph"/>
        <w:numPr>
          <w:ilvl w:val="1"/>
          <w:numId w:val="142"/>
        </w:numPr>
        <w:spacing w:after="0"/>
        <w:textAlignment w:val="center"/>
        <w:rPr>
          <w:rFonts w:eastAsia="Times New Roman" w:cs="Times New Roman"/>
          <w:b/>
          <w:lang w:eastAsia="en-CA"/>
        </w:rPr>
      </w:pPr>
      <w:r>
        <w:rPr>
          <w:rFonts w:eastAsia="Times New Roman" w:cs="Times New Roman"/>
          <w:b/>
          <w:lang w:eastAsia="en-CA"/>
        </w:rPr>
        <w:t>NB</w:t>
      </w:r>
      <w:r w:rsidRPr="00B34985">
        <w:rPr>
          <w:rFonts w:eastAsia="Times New Roman" w:cs="Times New Roman"/>
          <w:lang w:eastAsia="en-CA"/>
        </w:rPr>
        <w:t>: not available under OM provisions.</w:t>
      </w:r>
      <w:r w:rsidRPr="00B34985">
        <w:rPr>
          <w:rFonts w:eastAsia="Times New Roman" w:cs="Times New Roman"/>
          <w:lang w:eastAsia="en-CA"/>
        </w:rPr>
        <w:tab/>
      </w:r>
      <w:r w:rsidRPr="00B34985">
        <w:rPr>
          <w:rFonts w:eastAsia="Times New Roman" w:cs="Times New Roman"/>
          <w:lang w:eastAsia="en-CA"/>
        </w:rPr>
        <w:tab/>
      </w:r>
      <w:r w:rsidRPr="00B34985">
        <w:rPr>
          <w:rFonts w:eastAsia="Times New Roman" w:cs="Times New Roman"/>
          <w:lang w:eastAsia="en-CA"/>
        </w:rPr>
        <w:tab/>
      </w:r>
    </w:p>
    <w:p w:rsidR="00631491" w:rsidRDefault="00631491" w:rsidP="00FF0B61">
      <w:pPr>
        <w:pStyle w:val="ListParagraph"/>
        <w:numPr>
          <w:ilvl w:val="0"/>
          <w:numId w:val="140"/>
        </w:numPr>
      </w:pPr>
      <w:r>
        <w:rPr>
          <w:b/>
        </w:rPr>
        <w:t xml:space="preserve">“Reasonable Grounds” = </w:t>
      </w:r>
      <w:r>
        <w:t>that of a prudent person in the circumstances (</w:t>
      </w:r>
      <w:r w:rsidRPr="00AC42AA">
        <w:rPr>
          <w:b/>
          <w:color w:val="C45911" w:themeColor="accent2" w:themeShade="BF"/>
        </w:rPr>
        <w:t>s.133</w:t>
      </w:r>
      <w:r>
        <w:rPr>
          <w:b/>
        </w:rPr>
        <w:t>)</w:t>
      </w:r>
    </w:p>
    <w:p w:rsidR="00B34985" w:rsidRPr="00EB420F" w:rsidRDefault="00B34985" w:rsidP="00FF0B61">
      <w:pPr>
        <w:pStyle w:val="ListParagraph"/>
        <w:numPr>
          <w:ilvl w:val="0"/>
          <w:numId w:val="140"/>
        </w:numPr>
      </w:pPr>
      <w:r>
        <w:t>Doesn’t apply to the issuer or selling securityholder (</w:t>
      </w:r>
      <w:r w:rsidRPr="00523F76">
        <w:rPr>
          <w:b/>
          <w:color w:val="C45911" w:themeColor="accent2" w:themeShade="BF"/>
        </w:rPr>
        <w:t>131(8)</w:t>
      </w:r>
      <w:r>
        <w:t>)</w:t>
      </w:r>
    </w:p>
    <w:p w:rsidR="00B00E0F" w:rsidRDefault="00B00E0F" w:rsidP="00FF0B61">
      <w:pPr>
        <w:spacing w:after="0" w:line="240" w:lineRule="auto"/>
        <w:rPr>
          <w:b/>
        </w:rPr>
      </w:pPr>
      <w:r w:rsidRPr="002D49B0">
        <w:rPr>
          <w:b/>
        </w:rPr>
        <w:t>[5] *Due Diligence:</w:t>
      </w:r>
      <w:r w:rsidRPr="002D49B0">
        <w:t xml:space="preserve"> </w:t>
      </w:r>
      <w:r w:rsidR="00AC42AA" w:rsidRPr="002D49B0">
        <w:rPr>
          <w:rFonts w:cs="Arial"/>
          <w:szCs w:val="21"/>
        </w:rPr>
        <w:t>A</w:t>
      </w:r>
      <w:r w:rsidR="00AC42AA">
        <w:rPr>
          <w:rFonts w:cs="Arial"/>
          <w:szCs w:val="21"/>
        </w:rPr>
        <w:t xml:space="preserve"> D is </w:t>
      </w:r>
      <w:r w:rsidR="00AC42AA" w:rsidRPr="001D7CD3">
        <w:rPr>
          <w:rFonts w:cs="Arial"/>
          <w:b/>
          <w:szCs w:val="21"/>
        </w:rPr>
        <w:t>not liable</w:t>
      </w:r>
      <w:r w:rsidR="00AC42AA">
        <w:rPr>
          <w:rFonts w:cs="Arial"/>
          <w:szCs w:val="21"/>
        </w:rPr>
        <w:t xml:space="preserve"> </w:t>
      </w:r>
      <w:r w:rsidR="00AC42AA" w:rsidRPr="001D7CD3">
        <w:rPr>
          <w:rFonts w:cs="Arial"/>
          <w:b/>
          <w:i/>
          <w:szCs w:val="21"/>
        </w:rPr>
        <w:t>unless he or she failed to conduct</w:t>
      </w:r>
      <w:r w:rsidR="00AC42AA">
        <w:rPr>
          <w:rFonts w:cs="Arial"/>
          <w:szCs w:val="21"/>
        </w:rPr>
        <w:t xml:space="preserve"> such </w:t>
      </w:r>
      <w:r w:rsidR="00AC42AA" w:rsidRPr="00525E8A">
        <w:rPr>
          <w:rFonts w:cs="Arial"/>
          <w:szCs w:val="21"/>
          <w:u w:val="single"/>
        </w:rPr>
        <w:t>reasonable investigation</w:t>
      </w:r>
      <w:r w:rsidR="00AC42AA">
        <w:rPr>
          <w:rFonts w:cs="Arial"/>
          <w:szCs w:val="21"/>
        </w:rPr>
        <w:t xml:space="preserve"> as to provide </w:t>
      </w:r>
      <w:r w:rsidR="00AC42AA" w:rsidRPr="00525E8A">
        <w:rPr>
          <w:rFonts w:cs="Arial"/>
          <w:szCs w:val="21"/>
          <w:u w:val="single"/>
        </w:rPr>
        <w:t>reasonable grounds</w:t>
      </w:r>
      <w:r w:rsidR="00AC42AA">
        <w:rPr>
          <w:rFonts w:cs="Arial"/>
          <w:szCs w:val="21"/>
        </w:rPr>
        <w:t xml:space="preserve"> for believing there was no misrepresentation OR unless he or she believed there has been a misrepresentation </w:t>
      </w:r>
      <w:r w:rsidR="00C63567">
        <w:rPr>
          <w:rFonts w:cs="Arial"/>
          <w:szCs w:val="21"/>
        </w:rPr>
        <w:t>(</w:t>
      </w:r>
      <w:r w:rsidR="00C63567" w:rsidRPr="00C63567">
        <w:rPr>
          <w:rFonts w:cs="Arial"/>
          <w:b/>
          <w:color w:val="C45911" w:themeColor="accent2" w:themeShade="BF"/>
          <w:szCs w:val="21"/>
        </w:rPr>
        <w:t>131(6)(7)</w:t>
      </w:r>
      <w:r w:rsidR="00EC427C">
        <w:rPr>
          <w:rFonts w:cs="Arial"/>
          <w:b/>
          <w:color w:val="C45911" w:themeColor="accent2" w:themeShade="BF"/>
          <w:szCs w:val="21"/>
        </w:rPr>
        <w:t xml:space="preserve"> </w:t>
      </w:r>
      <w:r w:rsidR="00EC427C">
        <w:rPr>
          <w:rFonts w:eastAsia="Times New Roman" w:cs="Times New Roman"/>
          <w:lang w:eastAsia="en-CA"/>
        </w:rPr>
        <w:t>– Prosp</w:t>
      </w:r>
      <w:r w:rsidR="00C63567" w:rsidRPr="00C63567">
        <w:rPr>
          <w:rFonts w:cs="Arial"/>
          <w:b/>
          <w:color w:val="C45911" w:themeColor="accent2" w:themeShade="BF"/>
          <w:szCs w:val="21"/>
        </w:rPr>
        <w:t>; 132(6)(7)</w:t>
      </w:r>
      <w:r w:rsidR="00EC427C">
        <w:rPr>
          <w:rFonts w:cs="Arial"/>
          <w:b/>
          <w:color w:val="C45911" w:themeColor="accent2" w:themeShade="BF"/>
          <w:szCs w:val="21"/>
        </w:rPr>
        <w:t xml:space="preserve"> </w:t>
      </w:r>
      <w:r w:rsidR="00EC427C">
        <w:rPr>
          <w:rFonts w:eastAsia="Times New Roman" w:cs="Times New Roman"/>
          <w:lang w:eastAsia="en-CA"/>
        </w:rPr>
        <w:t xml:space="preserve">- </w:t>
      </w:r>
      <w:r w:rsidR="00EC427C" w:rsidRPr="00B34985">
        <w:rPr>
          <w:rFonts w:eastAsia="Times New Roman" w:cs="Times New Roman"/>
          <w:lang w:eastAsia="en-CA"/>
        </w:rPr>
        <w:t>TOB</w:t>
      </w:r>
      <w:r w:rsidR="00C63567" w:rsidRPr="00C63567">
        <w:rPr>
          <w:rFonts w:cs="Arial"/>
          <w:b/>
          <w:color w:val="C45911" w:themeColor="accent2" w:themeShade="BF"/>
          <w:szCs w:val="21"/>
        </w:rPr>
        <w:t>; 132.1(5)</w:t>
      </w:r>
      <w:r w:rsidR="00EC427C">
        <w:rPr>
          <w:rFonts w:cs="Arial"/>
          <w:b/>
          <w:color w:val="C45911" w:themeColor="accent2" w:themeShade="BF"/>
          <w:szCs w:val="21"/>
        </w:rPr>
        <w:t xml:space="preserve"> </w:t>
      </w:r>
      <w:r w:rsidR="00EC427C" w:rsidRPr="00B34985">
        <w:rPr>
          <w:rFonts w:eastAsia="Times New Roman" w:cs="Times New Roman"/>
          <w:b/>
          <w:color w:val="C45911" w:themeColor="accent2" w:themeShade="BF"/>
          <w:lang w:eastAsia="en-CA"/>
        </w:rPr>
        <w:t>–</w:t>
      </w:r>
      <w:r w:rsidR="00EC427C" w:rsidRPr="00B34985">
        <w:rPr>
          <w:rFonts w:eastAsia="Times New Roman" w:cs="Times New Roman"/>
          <w:color w:val="C45911" w:themeColor="accent2" w:themeShade="BF"/>
          <w:lang w:eastAsia="en-CA"/>
        </w:rPr>
        <w:t xml:space="preserve"> </w:t>
      </w:r>
      <w:r w:rsidR="00EC427C" w:rsidRPr="00B34985">
        <w:rPr>
          <w:rFonts w:eastAsia="Times New Roman" w:cs="Times New Roman"/>
          <w:lang w:eastAsia="en-CA"/>
        </w:rPr>
        <w:t>OM</w:t>
      </w:r>
      <w:r w:rsidR="00C63567">
        <w:rPr>
          <w:rFonts w:cs="Arial"/>
          <w:szCs w:val="21"/>
        </w:rPr>
        <w:t>)</w:t>
      </w:r>
    </w:p>
    <w:p w:rsidR="00B00E0F" w:rsidRPr="00AC42AA" w:rsidRDefault="00B00E0F" w:rsidP="00FF0B61">
      <w:pPr>
        <w:pStyle w:val="ListParagraph"/>
        <w:numPr>
          <w:ilvl w:val="0"/>
          <w:numId w:val="143"/>
        </w:numPr>
        <w:rPr>
          <w:b/>
        </w:rPr>
      </w:pPr>
      <w:r w:rsidRPr="003F7AF6">
        <w:rPr>
          <w:b/>
          <w:color w:val="C45911" w:themeColor="accent2" w:themeShade="BF"/>
        </w:rPr>
        <w:t>(6)</w:t>
      </w:r>
      <w:r w:rsidRPr="003F7AF6">
        <w:rPr>
          <w:color w:val="C45911" w:themeColor="accent2" w:themeShade="BF"/>
        </w:rPr>
        <w:t xml:space="preserve"> </w:t>
      </w:r>
      <w:r w:rsidRPr="003F7AF6">
        <w:rPr>
          <w:b/>
        </w:rPr>
        <w:t>An expert has a due diligence defence</w:t>
      </w:r>
      <w:r w:rsidR="00855E30">
        <w:t xml:space="preserve">; </w:t>
      </w:r>
      <w:r w:rsidRPr="00855E30">
        <w:rPr>
          <w:b/>
          <w:color w:val="C45911" w:themeColor="accent2" w:themeShade="BF"/>
        </w:rPr>
        <w:t>(7)</w:t>
      </w:r>
      <w:r w:rsidRPr="00855E30">
        <w:rPr>
          <w:color w:val="C45911" w:themeColor="accent2" w:themeShade="BF"/>
        </w:rPr>
        <w:t xml:space="preserve"> </w:t>
      </w:r>
      <w:r w:rsidRPr="00855E30">
        <w:rPr>
          <w:b/>
        </w:rPr>
        <w:t>A broade</w:t>
      </w:r>
      <w:r w:rsidR="00397577" w:rsidRPr="00855E30">
        <w:rPr>
          <w:b/>
        </w:rPr>
        <w:t>r due diligence defence</w:t>
      </w:r>
      <w:r w:rsidR="00397577" w:rsidRPr="003F7AF6">
        <w:t xml:space="preserve"> </w:t>
      </w:r>
      <w:r w:rsidR="00AB14EA" w:rsidRPr="00855E30">
        <w:rPr>
          <w:b/>
        </w:rPr>
        <w:t>(non-experts)</w:t>
      </w:r>
      <w:r w:rsidR="00AB14EA" w:rsidRPr="003F7AF6">
        <w:t xml:space="preserve"> </w:t>
      </w:r>
      <w:r w:rsidR="00397577" w:rsidRPr="003F7AF6">
        <w:t>–</w:t>
      </w:r>
      <w:r w:rsidR="00FA4E22">
        <w:t xml:space="preserve"> e.g.</w:t>
      </w:r>
      <w:r w:rsidR="00397577" w:rsidRPr="003F7AF6">
        <w:t xml:space="preserve"> an UW</w:t>
      </w:r>
      <w:r w:rsidR="00FA4E22">
        <w:t xml:space="preserve"> or an outside DIR</w:t>
      </w:r>
    </w:p>
    <w:p w:rsidR="00AC42AA" w:rsidRPr="00855E30" w:rsidRDefault="00AC42AA" w:rsidP="00FF0B61">
      <w:pPr>
        <w:pStyle w:val="ListParagraph"/>
        <w:numPr>
          <w:ilvl w:val="0"/>
          <w:numId w:val="143"/>
        </w:numPr>
        <w:rPr>
          <w:b/>
        </w:rPr>
      </w:pPr>
      <w:r>
        <w:rPr>
          <w:b/>
        </w:rPr>
        <w:t xml:space="preserve">“Reasonable Investigation” &amp; “Reasonable Grounds” = </w:t>
      </w:r>
      <w:r>
        <w:t>that of a prudent person in the circumstances (</w:t>
      </w:r>
      <w:r w:rsidRPr="00AC42AA">
        <w:rPr>
          <w:b/>
          <w:color w:val="C45911" w:themeColor="accent2" w:themeShade="BF"/>
        </w:rPr>
        <w:t>s.133</w:t>
      </w:r>
      <w:r>
        <w:rPr>
          <w:b/>
        </w:rPr>
        <w:t>)</w:t>
      </w:r>
    </w:p>
    <w:p w:rsidR="004D1B7D" w:rsidRDefault="007803C9" w:rsidP="00FF0B61">
      <w:pPr>
        <w:spacing w:after="0" w:line="240" w:lineRule="auto"/>
        <w:rPr>
          <w:b/>
          <w:u w:val="single"/>
        </w:rPr>
      </w:pPr>
      <w:r>
        <w:rPr>
          <w:b/>
          <w:u w:val="single"/>
        </w:rPr>
        <w:t>Cases:</w:t>
      </w:r>
    </w:p>
    <w:p w:rsidR="00B23313" w:rsidRPr="00B23313" w:rsidRDefault="00E762FC" w:rsidP="00FF0B61">
      <w:pPr>
        <w:pStyle w:val="ListParagraph"/>
        <w:numPr>
          <w:ilvl w:val="0"/>
          <w:numId w:val="128"/>
        </w:numPr>
        <w:rPr>
          <w:b/>
          <w:u w:val="single"/>
        </w:rPr>
      </w:pPr>
      <w:r>
        <w:rPr>
          <w:b/>
        </w:rPr>
        <w:t xml:space="preserve">Degree of Liability Depends on who you are – </w:t>
      </w:r>
      <w:r>
        <w:t>The auditor is only liable for misrepresentations in FS’s. Sr. OFRs – it does not matter if you didn’t read or understand the prospectus, if you signed it you are liable. Also OFR cannot rely on experts if have not checked the facts in some degree themselves (e.g. cannot give all authority to UW). Legal counsel was liable b/</w:t>
      </w:r>
      <w:r w:rsidR="009C519C">
        <w:t xml:space="preserve">c did not do any due diligence </w:t>
      </w:r>
      <w:r>
        <w:t>(</w:t>
      </w:r>
      <w:r w:rsidRPr="004D1B7D">
        <w:rPr>
          <w:b/>
          <w:i/>
          <w:color w:val="1006E0"/>
        </w:rPr>
        <w:t xml:space="preserve">Escott v Barchris, </w:t>
      </w:r>
      <w:r w:rsidRPr="004D1B7D">
        <w:rPr>
          <w:b/>
          <w:color w:val="1006E0"/>
        </w:rPr>
        <w:t>NY 1968</w:t>
      </w:r>
      <w:r>
        <w:rPr>
          <w:b/>
          <w:color w:val="1006E0"/>
        </w:rPr>
        <w:t xml:space="preserve"> - </w:t>
      </w:r>
      <w:r>
        <w:rPr>
          <w:i/>
        </w:rPr>
        <w:t>No defense to Executives re: language barrier</w:t>
      </w:r>
      <w:r>
        <w:t>)</w:t>
      </w:r>
    </w:p>
    <w:p w:rsidR="00B23313" w:rsidRPr="004248B4" w:rsidRDefault="00A02259" w:rsidP="00FF0B61">
      <w:pPr>
        <w:pStyle w:val="ListParagraph"/>
        <w:numPr>
          <w:ilvl w:val="0"/>
          <w:numId w:val="128"/>
        </w:numPr>
        <w:spacing w:after="0"/>
        <w:rPr>
          <w:b/>
          <w:u w:val="single"/>
        </w:rPr>
      </w:pPr>
      <w:r>
        <w:t>If Sr. OFR or I</w:t>
      </w:r>
      <w:r w:rsidR="0064790C">
        <w:t>nside DIR, going to be held to</w:t>
      </w:r>
      <w:r w:rsidR="009C519C">
        <w:t xml:space="preserve"> a high due diligence standard (</w:t>
      </w:r>
      <w:r w:rsidR="009C519C">
        <w:rPr>
          <w:b/>
          <w:i/>
          <w:color w:val="1006E0"/>
        </w:rPr>
        <w:t>K</w:t>
      </w:r>
      <w:r w:rsidR="00674F4F">
        <w:rPr>
          <w:b/>
          <w:i/>
          <w:color w:val="1006E0"/>
        </w:rPr>
        <w:t xml:space="preserve">err v Danier Leathet </w:t>
      </w:r>
      <w:r w:rsidR="00674F4F">
        <w:rPr>
          <w:b/>
          <w:color w:val="1006E0"/>
        </w:rPr>
        <w:t>(trial)</w:t>
      </w:r>
      <w:r w:rsidR="009C519C">
        <w:rPr>
          <w:b/>
          <w:color w:val="1006E0"/>
        </w:rPr>
        <w:t xml:space="preserve">). </w:t>
      </w:r>
    </w:p>
    <w:p w:rsidR="00BC258C" w:rsidRPr="00D46F6C" w:rsidRDefault="000C262F" w:rsidP="00FF0B61">
      <w:pPr>
        <w:pStyle w:val="Normal1"/>
        <w:widowControl w:val="0"/>
        <w:numPr>
          <w:ilvl w:val="0"/>
          <w:numId w:val="128"/>
        </w:numPr>
        <w:spacing w:line="240" w:lineRule="auto"/>
        <w:contextualSpacing/>
        <w:rPr>
          <w:rFonts w:asciiTheme="minorHAnsi" w:hAnsiTheme="minorHAnsi"/>
          <w:sz w:val="18"/>
          <w:szCs w:val="18"/>
        </w:rPr>
      </w:pPr>
      <w:r>
        <w:rPr>
          <w:rFonts w:asciiTheme="minorHAnsi" w:hAnsiTheme="minorHAnsi"/>
          <w:b/>
          <w:sz w:val="18"/>
          <w:szCs w:val="18"/>
          <w:u w:val="single"/>
        </w:rPr>
        <w:t>Subjective/Objective Approach</w:t>
      </w:r>
      <w:r w:rsidR="00BC258C">
        <w:rPr>
          <w:rFonts w:asciiTheme="minorHAnsi" w:hAnsiTheme="minorHAnsi"/>
          <w:b/>
          <w:sz w:val="18"/>
          <w:szCs w:val="18"/>
          <w:u w:val="single"/>
        </w:rPr>
        <w:t xml:space="preserve"> (For DIR’s OFR’s + UW’s)</w:t>
      </w:r>
      <w:r>
        <w:rPr>
          <w:rFonts w:asciiTheme="minorHAnsi" w:hAnsiTheme="minorHAnsi"/>
          <w:b/>
          <w:sz w:val="18"/>
          <w:szCs w:val="18"/>
          <w:u w:val="single"/>
        </w:rPr>
        <w:t>:</w:t>
      </w:r>
      <w:r w:rsidR="00D46F6C">
        <w:rPr>
          <w:rFonts w:asciiTheme="minorHAnsi" w:hAnsiTheme="minorHAnsi"/>
          <w:b/>
          <w:sz w:val="18"/>
          <w:szCs w:val="18"/>
        </w:rPr>
        <w:t xml:space="preserve"> </w:t>
      </w:r>
      <w:r w:rsidR="00C54D15">
        <w:rPr>
          <w:rFonts w:asciiTheme="minorHAnsi" w:hAnsiTheme="minorHAnsi"/>
          <w:sz w:val="18"/>
          <w:szCs w:val="18"/>
        </w:rPr>
        <w:t>I</w:t>
      </w:r>
      <w:r w:rsidR="00BE4F88" w:rsidRPr="000C262F">
        <w:rPr>
          <w:rFonts w:asciiTheme="minorHAnsi" w:hAnsiTheme="minorHAnsi"/>
          <w:sz w:val="18"/>
          <w:szCs w:val="18"/>
        </w:rPr>
        <w:t xml:space="preserve">t best to consider the reasonableness of the respondents’ diligence and their belief from the perspective of a prudent person in the circumstances. This necessarily entails both objective and subjective considerations including their degree of participation, </w:t>
      </w:r>
      <w:r w:rsidR="00D46F6C">
        <w:rPr>
          <w:rFonts w:asciiTheme="minorHAnsi" w:hAnsiTheme="minorHAnsi"/>
          <w:sz w:val="18"/>
          <w:szCs w:val="18"/>
        </w:rPr>
        <w:t xml:space="preserve">access to information </w:t>
      </w:r>
      <w:r w:rsidR="00D46F6C" w:rsidRPr="00D46F6C">
        <w:rPr>
          <w:rFonts w:asciiTheme="minorHAnsi" w:hAnsiTheme="minorHAnsi"/>
          <w:sz w:val="18"/>
          <w:szCs w:val="18"/>
        </w:rPr>
        <w:t xml:space="preserve">and skill </w:t>
      </w:r>
      <w:r w:rsidRPr="00D46F6C">
        <w:rPr>
          <w:rFonts w:asciiTheme="minorHAnsi" w:hAnsiTheme="minorHAnsi"/>
          <w:sz w:val="18"/>
          <w:szCs w:val="18"/>
        </w:rPr>
        <w:t>(</w:t>
      </w:r>
      <w:r w:rsidR="004248B4" w:rsidRPr="00D46F6C">
        <w:rPr>
          <w:rFonts w:asciiTheme="minorHAnsi" w:hAnsiTheme="minorHAnsi"/>
          <w:b/>
          <w:i/>
          <w:color w:val="1006E0"/>
          <w:sz w:val="18"/>
          <w:szCs w:val="18"/>
        </w:rPr>
        <w:t xml:space="preserve">YBM Magnex, </w:t>
      </w:r>
      <w:r w:rsidR="004248B4" w:rsidRPr="00D46F6C">
        <w:rPr>
          <w:rFonts w:asciiTheme="minorHAnsi" w:hAnsiTheme="minorHAnsi"/>
          <w:b/>
          <w:color w:val="1006E0"/>
          <w:sz w:val="18"/>
          <w:szCs w:val="18"/>
        </w:rPr>
        <w:t>ONSC 2003</w:t>
      </w:r>
      <w:r w:rsidRPr="00D46F6C">
        <w:rPr>
          <w:rFonts w:asciiTheme="minorHAnsi" w:hAnsiTheme="minorHAnsi"/>
          <w:b/>
          <w:color w:val="1006E0"/>
          <w:sz w:val="18"/>
          <w:szCs w:val="18"/>
        </w:rPr>
        <w:t xml:space="preserve">) </w:t>
      </w:r>
    </w:p>
    <w:p w:rsidR="00D46F6C" w:rsidRDefault="00D46F6C" w:rsidP="00FF0B61">
      <w:pPr>
        <w:pStyle w:val="Normal1"/>
        <w:widowControl w:val="0"/>
        <w:numPr>
          <w:ilvl w:val="1"/>
          <w:numId w:val="128"/>
        </w:numPr>
        <w:spacing w:line="240" w:lineRule="auto"/>
        <w:contextualSpacing/>
        <w:rPr>
          <w:rFonts w:asciiTheme="minorHAnsi" w:hAnsiTheme="minorHAnsi"/>
          <w:sz w:val="18"/>
          <w:szCs w:val="18"/>
        </w:rPr>
      </w:pPr>
      <w:r>
        <w:rPr>
          <w:rFonts w:asciiTheme="minorHAnsi" w:hAnsiTheme="minorHAnsi"/>
          <w:b/>
          <w:sz w:val="18"/>
          <w:szCs w:val="18"/>
        </w:rPr>
        <w:t>DIRS</w:t>
      </w:r>
      <w:r w:rsidR="00C170D7">
        <w:rPr>
          <w:rFonts w:asciiTheme="minorHAnsi" w:hAnsiTheme="minorHAnsi"/>
          <w:b/>
          <w:sz w:val="18"/>
          <w:szCs w:val="18"/>
        </w:rPr>
        <w:t>/OFRs</w:t>
      </w:r>
      <w:r>
        <w:rPr>
          <w:rFonts w:asciiTheme="minorHAnsi" w:hAnsiTheme="minorHAnsi"/>
          <w:b/>
          <w:sz w:val="18"/>
          <w:szCs w:val="18"/>
        </w:rPr>
        <w:t>:</w:t>
      </w:r>
      <w:r>
        <w:rPr>
          <w:rFonts w:asciiTheme="minorHAnsi" w:hAnsiTheme="minorHAnsi"/>
          <w:sz w:val="18"/>
          <w:szCs w:val="18"/>
        </w:rPr>
        <w:t xml:space="preserve"> Different DIR</w:t>
      </w:r>
      <w:r w:rsidRPr="00D46F6C">
        <w:rPr>
          <w:rFonts w:asciiTheme="minorHAnsi" w:hAnsiTheme="minorHAnsi"/>
          <w:sz w:val="18"/>
          <w:szCs w:val="18"/>
        </w:rPr>
        <w:t>s can be held to different standards based on their ability, experience, and involvement</w:t>
      </w:r>
      <w:r>
        <w:rPr>
          <w:rFonts w:asciiTheme="minorHAnsi" w:hAnsiTheme="minorHAnsi"/>
          <w:sz w:val="18"/>
          <w:szCs w:val="18"/>
        </w:rPr>
        <w:t>.</w:t>
      </w:r>
    </w:p>
    <w:p w:rsidR="00AC049C" w:rsidRDefault="00AC049C" w:rsidP="00FF0B61">
      <w:pPr>
        <w:pStyle w:val="Normal1"/>
        <w:widowControl w:val="0"/>
        <w:numPr>
          <w:ilvl w:val="2"/>
          <w:numId w:val="128"/>
        </w:numPr>
        <w:spacing w:line="240" w:lineRule="auto"/>
        <w:contextualSpacing/>
        <w:rPr>
          <w:rFonts w:asciiTheme="minorHAnsi" w:hAnsiTheme="minorHAnsi"/>
          <w:sz w:val="18"/>
          <w:szCs w:val="18"/>
        </w:rPr>
      </w:pPr>
      <w:r>
        <w:rPr>
          <w:rFonts w:asciiTheme="minorHAnsi" w:hAnsiTheme="minorHAnsi"/>
          <w:sz w:val="18"/>
          <w:szCs w:val="18"/>
        </w:rPr>
        <w:t xml:space="preserve">If no reason for suspicion can rely on outside advisors. </w:t>
      </w:r>
    </w:p>
    <w:p w:rsidR="00334DD8" w:rsidRDefault="00D46F6C" w:rsidP="00FF0B61">
      <w:pPr>
        <w:pStyle w:val="Normal1"/>
        <w:widowControl w:val="0"/>
        <w:numPr>
          <w:ilvl w:val="1"/>
          <w:numId w:val="128"/>
        </w:numPr>
        <w:spacing w:line="240" w:lineRule="auto"/>
        <w:contextualSpacing/>
        <w:rPr>
          <w:rFonts w:asciiTheme="minorHAnsi" w:hAnsiTheme="minorHAnsi"/>
          <w:sz w:val="18"/>
          <w:szCs w:val="18"/>
        </w:rPr>
      </w:pPr>
      <w:r>
        <w:rPr>
          <w:rFonts w:asciiTheme="minorHAnsi" w:hAnsiTheme="minorHAnsi"/>
          <w:b/>
          <w:sz w:val="18"/>
          <w:szCs w:val="18"/>
        </w:rPr>
        <w:t>UW’s:</w:t>
      </w:r>
      <w:r>
        <w:rPr>
          <w:rFonts w:asciiTheme="minorHAnsi" w:hAnsiTheme="minorHAnsi"/>
          <w:sz w:val="18"/>
          <w:szCs w:val="18"/>
        </w:rPr>
        <w:t xml:space="preserve"> Must avoid automatic reliance and challenge the disclosure the issuer proposes to make to the public. </w:t>
      </w:r>
    </w:p>
    <w:p w:rsidR="00A335EC" w:rsidRDefault="00A335EC" w:rsidP="00FF0B61">
      <w:pPr>
        <w:pStyle w:val="Heading3"/>
        <w:spacing w:line="240" w:lineRule="auto"/>
      </w:pPr>
      <w:bookmarkStart w:id="99" w:name="_Toc468980469"/>
      <w:r>
        <w:t>Damages</w:t>
      </w:r>
      <w:bookmarkEnd w:id="99"/>
    </w:p>
    <w:p w:rsidR="00A335EC" w:rsidRPr="00A335EC" w:rsidRDefault="00A335EC" w:rsidP="00FF0B61">
      <w:pPr>
        <w:pStyle w:val="NoSpacing"/>
        <w:rPr>
          <w:rFonts w:asciiTheme="minorHAnsi" w:hAnsiTheme="minorHAnsi" w:cs="Arial"/>
          <w:b/>
          <w:sz w:val="18"/>
          <w:szCs w:val="18"/>
        </w:rPr>
      </w:pPr>
      <w:r w:rsidRPr="00FC1C83">
        <w:rPr>
          <w:rFonts w:asciiTheme="minorHAnsi" w:hAnsiTheme="minorHAnsi" w:cs="Arial"/>
          <w:b/>
          <w:sz w:val="18"/>
          <w:szCs w:val="18"/>
        </w:rPr>
        <w:t>A P can seek two types of relief:</w:t>
      </w:r>
    </w:p>
    <w:p w:rsidR="00A335EC" w:rsidRPr="00FC1C83" w:rsidRDefault="00A335EC" w:rsidP="00FF0B61">
      <w:pPr>
        <w:pStyle w:val="NoSpacing"/>
        <w:numPr>
          <w:ilvl w:val="0"/>
          <w:numId w:val="141"/>
        </w:numPr>
        <w:rPr>
          <w:rFonts w:asciiTheme="minorHAnsi" w:hAnsiTheme="minorHAnsi" w:cs="Arial"/>
          <w:sz w:val="18"/>
          <w:szCs w:val="18"/>
        </w:rPr>
      </w:pPr>
      <w:r w:rsidRPr="00FC1C83">
        <w:rPr>
          <w:rFonts w:asciiTheme="minorHAnsi" w:hAnsiTheme="minorHAnsi" w:cs="Arial"/>
          <w:b/>
          <w:sz w:val="18"/>
          <w:szCs w:val="18"/>
        </w:rPr>
        <w:t xml:space="preserve">Damages: </w:t>
      </w:r>
      <w:r w:rsidRPr="00FC1C83">
        <w:rPr>
          <w:rFonts w:asciiTheme="minorHAnsi" w:hAnsiTheme="minorHAnsi" w:cs="Arial"/>
          <w:sz w:val="18"/>
          <w:szCs w:val="18"/>
        </w:rPr>
        <w:t xml:space="preserve">These are calculated based on the difference between the price paid for the securities and their value once the misrepresentation was disclosed, </w:t>
      </w:r>
      <w:r w:rsidRPr="00FC1C83">
        <w:rPr>
          <w:rFonts w:asciiTheme="minorHAnsi" w:hAnsiTheme="minorHAnsi" w:cs="Arial"/>
          <w:b/>
          <w:i/>
          <w:sz w:val="18"/>
          <w:szCs w:val="18"/>
        </w:rPr>
        <w:t xml:space="preserve">limited </w:t>
      </w:r>
      <w:r w:rsidR="002345FD" w:rsidRPr="00FC1C83">
        <w:rPr>
          <w:rFonts w:asciiTheme="minorHAnsi" w:hAnsiTheme="minorHAnsi" w:cs="Arial"/>
          <w:b/>
          <w:i/>
          <w:sz w:val="18"/>
          <w:szCs w:val="18"/>
        </w:rPr>
        <w:t>to the depreciation caused by depreciation</w:t>
      </w:r>
      <w:r w:rsidRPr="00FC1C83">
        <w:rPr>
          <w:rFonts w:asciiTheme="minorHAnsi" w:hAnsiTheme="minorHAnsi" w:cs="Arial"/>
          <w:sz w:val="18"/>
          <w:szCs w:val="18"/>
        </w:rPr>
        <w:t xml:space="preserve"> (</w:t>
      </w:r>
      <w:r w:rsidRPr="00FC1C83">
        <w:rPr>
          <w:rFonts w:asciiTheme="minorHAnsi" w:hAnsiTheme="minorHAnsi" w:cs="Arial"/>
          <w:b/>
          <w:color w:val="C45911" w:themeColor="accent2" w:themeShade="BF"/>
          <w:sz w:val="18"/>
          <w:szCs w:val="18"/>
        </w:rPr>
        <w:t>131(10)</w:t>
      </w:r>
      <w:r w:rsidR="002345FD" w:rsidRPr="00FC1C83">
        <w:rPr>
          <w:rFonts w:asciiTheme="minorHAnsi" w:hAnsiTheme="minorHAnsi" w:cs="Arial"/>
          <w:b/>
          <w:color w:val="C45911" w:themeColor="accent2" w:themeShade="BF"/>
          <w:sz w:val="18"/>
          <w:szCs w:val="18"/>
        </w:rPr>
        <w:t>, 132(11), 132.1(7)</w:t>
      </w:r>
      <w:r w:rsidR="002345FD" w:rsidRPr="00FC1C83">
        <w:rPr>
          <w:rFonts w:asciiTheme="minorHAnsi" w:hAnsiTheme="minorHAnsi" w:cs="Arial"/>
          <w:color w:val="C45911" w:themeColor="accent2" w:themeShade="BF"/>
          <w:sz w:val="18"/>
          <w:szCs w:val="18"/>
        </w:rPr>
        <w:t xml:space="preserve">). </w:t>
      </w:r>
      <w:r w:rsidRPr="00FC1C83">
        <w:rPr>
          <w:rFonts w:asciiTheme="minorHAnsi" w:hAnsiTheme="minorHAnsi" w:cs="Arial"/>
          <w:sz w:val="18"/>
          <w:szCs w:val="18"/>
        </w:rPr>
        <w:t xml:space="preserve">This is limited by </w:t>
      </w:r>
      <w:r w:rsidRPr="00FC1C83">
        <w:rPr>
          <w:rFonts w:asciiTheme="minorHAnsi" w:hAnsiTheme="minorHAnsi" w:cs="Arial"/>
          <w:b/>
          <w:color w:val="C45911" w:themeColor="accent2" w:themeShade="BF"/>
          <w:sz w:val="18"/>
          <w:szCs w:val="18"/>
        </w:rPr>
        <w:t>131(13)</w:t>
      </w:r>
      <w:r w:rsidRPr="00FC1C83">
        <w:rPr>
          <w:rFonts w:asciiTheme="minorHAnsi" w:hAnsiTheme="minorHAnsi" w:cs="Arial"/>
          <w:color w:val="C45911" w:themeColor="accent2" w:themeShade="BF"/>
          <w:sz w:val="18"/>
          <w:szCs w:val="18"/>
        </w:rPr>
        <w:t xml:space="preserve">, </w:t>
      </w:r>
      <w:r w:rsidRPr="00FC1C83">
        <w:rPr>
          <w:rFonts w:asciiTheme="minorHAnsi" w:hAnsiTheme="minorHAnsi" w:cs="Arial"/>
          <w:sz w:val="18"/>
          <w:szCs w:val="18"/>
        </w:rPr>
        <w:t xml:space="preserve">which states that a P can’t recover more than the price they paid for the securities. </w:t>
      </w:r>
    </w:p>
    <w:p w:rsidR="002345FD" w:rsidRPr="00FC1C83" w:rsidRDefault="002345FD" w:rsidP="00FF0B61">
      <w:pPr>
        <w:pStyle w:val="NoSpacing"/>
        <w:numPr>
          <w:ilvl w:val="1"/>
          <w:numId w:val="141"/>
        </w:numPr>
        <w:rPr>
          <w:rFonts w:asciiTheme="minorHAnsi" w:hAnsiTheme="minorHAnsi" w:cs="Arial"/>
          <w:sz w:val="18"/>
          <w:szCs w:val="18"/>
        </w:rPr>
      </w:pPr>
      <w:r w:rsidRPr="00FC1C83">
        <w:rPr>
          <w:rFonts w:asciiTheme="minorHAnsi" w:hAnsiTheme="minorHAnsi" w:cs="Arial"/>
          <w:sz w:val="18"/>
          <w:szCs w:val="18"/>
        </w:rPr>
        <w:t xml:space="preserve">Liability for misrepresentation is joint and several – any party is liable to pay all of the damages. </w:t>
      </w:r>
    </w:p>
    <w:p w:rsidR="00A335EC" w:rsidRPr="00A335EC" w:rsidRDefault="00A335EC" w:rsidP="00FF0B61">
      <w:pPr>
        <w:pStyle w:val="NoSpacing"/>
        <w:numPr>
          <w:ilvl w:val="0"/>
          <w:numId w:val="141"/>
        </w:numPr>
        <w:rPr>
          <w:rFonts w:asciiTheme="minorHAnsi" w:hAnsiTheme="minorHAnsi" w:cs="Arial"/>
          <w:sz w:val="18"/>
          <w:szCs w:val="18"/>
        </w:rPr>
      </w:pPr>
      <w:r w:rsidRPr="00FC1C83">
        <w:rPr>
          <w:rFonts w:asciiTheme="minorHAnsi" w:hAnsiTheme="minorHAnsi" w:cs="Arial"/>
          <w:b/>
          <w:sz w:val="18"/>
          <w:szCs w:val="18"/>
        </w:rPr>
        <w:lastRenderedPageBreak/>
        <w:t>Rescission (</w:t>
      </w:r>
      <w:r w:rsidRPr="00FC1C83">
        <w:rPr>
          <w:rFonts w:asciiTheme="minorHAnsi" w:hAnsiTheme="minorHAnsi" w:cs="Arial"/>
          <w:b/>
          <w:color w:val="C45911" w:themeColor="accent2" w:themeShade="BF"/>
          <w:sz w:val="18"/>
          <w:szCs w:val="18"/>
        </w:rPr>
        <w:t>131(3)</w:t>
      </w:r>
      <w:r w:rsidR="00FC10DC" w:rsidRPr="00FC1C83">
        <w:rPr>
          <w:rFonts w:asciiTheme="minorHAnsi" w:hAnsiTheme="minorHAnsi" w:cs="Arial"/>
          <w:b/>
          <w:color w:val="C45911" w:themeColor="accent2" w:themeShade="BF"/>
          <w:sz w:val="18"/>
          <w:szCs w:val="18"/>
        </w:rPr>
        <w:t>, 132(1)(a), 132.1(2)</w:t>
      </w:r>
      <w:r w:rsidRPr="00FC1C83">
        <w:rPr>
          <w:rFonts w:asciiTheme="minorHAnsi" w:hAnsiTheme="minorHAnsi" w:cs="Arial"/>
          <w:b/>
          <w:sz w:val="18"/>
          <w:szCs w:val="18"/>
        </w:rPr>
        <w:t>):</w:t>
      </w:r>
      <w:r w:rsidRPr="00FC1C83">
        <w:rPr>
          <w:rFonts w:asciiTheme="minorHAnsi" w:hAnsiTheme="minorHAnsi" w:cs="Arial"/>
          <w:sz w:val="18"/>
          <w:szCs w:val="18"/>
        </w:rPr>
        <w:t xml:space="preserve"> This is only available against the issuer, or the UW in the case of a bought-deal agreement. This involves</w:t>
      </w:r>
      <w:r w:rsidRPr="00A335EC">
        <w:rPr>
          <w:rFonts w:asciiTheme="minorHAnsi" w:hAnsiTheme="minorHAnsi" w:cs="Arial"/>
          <w:sz w:val="18"/>
          <w:szCs w:val="18"/>
        </w:rPr>
        <w:t xml:space="preserve"> the return of the shares to the issuer in re</w:t>
      </w:r>
      <w:r>
        <w:rPr>
          <w:rFonts w:asciiTheme="minorHAnsi" w:hAnsiTheme="minorHAnsi" w:cs="Arial"/>
          <w:sz w:val="18"/>
          <w:szCs w:val="18"/>
        </w:rPr>
        <w:t>turn for the money paid by the P</w:t>
      </w:r>
      <w:r w:rsidRPr="00A335EC">
        <w:rPr>
          <w:rFonts w:asciiTheme="minorHAnsi" w:hAnsiTheme="minorHAnsi" w:cs="Arial"/>
          <w:sz w:val="18"/>
          <w:szCs w:val="18"/>
        </w:rPr>
        <w:t xml:space="preserve"> and the right of action under (1) disappears.</w:t>
      </w:r>
    </w:p>
    <w:p w:rsidR="00A335EC" w:rsidRPr="00A335EC" w:rsidRDefault="00A335EC" w:rsidP="00FF0B61">
      <w:pPr>
        <w:pStyle w:val="NormalWeb"/>
        <w:numPr>
          <w:ilvl w:val="1"/>
          <w:numId w:val="141"/>
        </w:numPr>
        <w:spacing w:before="0" w:beforeAutospacing="0" w:after="0" w:afterAutospacing="0"/>
        <w:textAlignment w:val="baseline"/>
        <w:rPr>
          <w:rFonts w:asciiTheme="minorHAnsi" w:hAnsiTheme="minorHAnsi" w:cs="Arial"/>
          <w:color w:val="000000"/>
          <w:sz w:val="18"/>
          <w:szCs w:val="18"/>
        </w:rPr>
      </w:pPr>
      <w:r w:rsidRPr="00A335EC">
        <w:rPr>
          <w:rFonts w:asciiTheme="minorHAnsi" w:hAnsiTheme="minorHAnsi" w:cs="Arial"/>
          <w:color w:val="000000"/>
          <w:sz w:val="18"/>
          <w:szCs w:val="18"/>
        </w:rPr>
        <w:t xml:space="preserve">Rescission is available as a remedy if the purchaser still holds the securities, and only available against issuer and </w:t>
      </w:r>
      <w:r>
        <w:rPr>
          <w:rFonts w:asciiTheme="minorHAnsi" w:hAnsiTheme="minorHAnsi" w:cs="Arial"/>
          <w:color w:val="000000"/>
          <w:sz w:val="18"/>
          <w:szCs w:val="18"/>
        </w:rPr>
        <w:t>UW</w:t>
      </w:r>
      <w:r w:rsidRPr="00A335EC">
        <w:rPr>
          <w:rFonts w:asciiTheme="minorHAnsi" w:hAnsiTheme="minorHAnsi" w:cs="Arial"/>
          <w:color w:val="000000"/>
          <w:sz w:val="18"/>
          <w:szCs w:val="18"/>
        </w:rPr>
        <w:t xml:space="preserve"> (but if things are really bad, issuer is broke anyways)</w:t>
      </w:r>
    </w:p>
    <w:p w:rsidR="00A335EC" w:rsidRPr="00FC1C83" w:rsidRDefault="00A335EC" w:rsidP="00FF0B61">
      <w:pPr>
        <w:pStyle w:val="ListParagraph"/>
        <w:numPr>
          <w:ilvl w:val="1"/>
          <w:numId w:val="141"/>
        </w:numPr>
        <w:spacing w:after="0"/>
        <w:rPr>
          <w:rFonts w:eastAsia="Times New Roman"/>
          <w:szCs w:val="18"/>
        </w:rPr>
      </w:pPr>
      <w:r w:rsidRPr="00A335EC">
        <w:rPr>
          <w:rFonts w:eastAsia="Times New Roman" w:cs="Arial"/>
          <w:color w:val="000000"/>
          <w:szCs w:val="18"/>
        </w:rPr>
        <w:t>R</w:t>
      </w:r>
      <w:r>
        <w:rPr>
          <w:rFonts w:eastAsia="Times New Roman" w:cs="Arial"/>
          <w:color w:val="000000"/>
          <w:szCs w:val="18"/>
        </w:rPr>
        <w:t>escission voids the Ks</w:t>
      </w:r>
      <w:r w:rsidRPr="00A335EC">
        <w:rPr>
          <w:rFonts w:eastAsia="Times New Roman" w:cs="Arial"/>
          <w:color w:val="000000"/>
          <w:szCs w:val="18"/>
        </w:rPr>
        <w:t xml:space="preserve"> and puts parties back to square one (may mean returning the purchase price of securities)</w:t>
      </w:r>
    </w:p>
    <w:p w:rsidR="00FC1C83" w:rsidRDefault="00FC1C83" w:rsidP="00FF0B61">
      <w:pPr>
        <w:spacing w:after="0" w:line="240" w:lineRule="auto"/>
        <w:rPr>
          <w:rFonts w:eastAsia="Times New Roman"/>
          <w:szCs w:val="18"/>
        </w:rPr>
      </w:pPr>
    </w:p>
    <w:p w:rsidR="00FC1C83" w:rsidRDefault="00FC1C83" w:rsidP="00FF0B61">
      <w:pPr>
        <w:spacing w:after="0" w:line="240" w:lineRule="auto"/>
        <w:rPr>
          <w:rFonts w:eastAsia="Times New Roman"/>
          <w:szCs w:val="18"/>
        </w:rPr>
      </w:pPr>
      <w:r>
        <w:rPr>
          <w:rFonts w:eastAsia="Times New Roman"/>
          <w:b/>
          <w:i/>
          <w:color w:val="1006E0"/>
          <w:szCs w:val="18"/>
        </w:rPr>
        <w:t>Kerr v Danier Leather</w:t>
      </w:r>
      <w:r>
        <w:rPr>
          <w:rFonts w:eastAsia="Times New Roman"/>
          <w:b/>
          <w:color w:val="1006E0"/>
          <w:szCs w:val="18"/>
        </w:rPr>
        <w:t xml:space="preserve">: </w:t>
      </w:r>
      <w:r w:rsidRPr="00FC1C83">
        <w:rPr>
          <w:rFonts w:eastAsia="Times New Roman"/>
          <w:szCs w:val="18"/>
        </w:rPr>
        <w:t>An issuer is not required to disclose any material facts that arise later and call into question the reasonableness of the forecast, though it must disclose material changes.</w:t>
      </w:r>
    </w:p>
    <w:p w:rsidR="00BD0963" w:rsidRPr="00FC1C83" w:rsidRDefault="00BD0963" w:rsidP="00FF0B61">
      <w:pPr>
        <w:spacing w:after="0" w:line="240" w:lineRule="auto"/>
        <w:rPr>
          <w:rFonts w:eastAsia="Times New Roman"/>
          <w:b/>
          <w:color w:val="1006E0"/>
          <w:szCs w:val="18"/>
        </w:rPr>
      </w:pPr>
    </w:p>
    <w:p w:rsidR="001C1C76" w:rsidRPr="00045C33" w:rsidRDefault="00D45333" w:rsidP="00FF0B61">
      <w:pPr>
        <w:pStyle w:val="Heading2"/>
        <w:spacing w:line="240" w:lineRule="auto"/>
      </w:pPr>
      <w:bookmarkStart w:id="100" w:name="_Toc468980470"/>
      <w:r w:rsidRPr="00D5125F">
        <w:t>Secondary Market Liability</w:t>
      </w:r>
      <w:bookmarkEnd w:id="100"/>
      <w:r>
        <w:t xml:space="preserve"> </w:t>
      </w:r>
    </w:p>
    <w:p w:rsidR="0023746E" w:rsidRPr="007604BD" w:rsidRDefault="0023746E" w:rsidP="00FF0B61">
      <w:pPr>
        <w:spacing w:after="0" w:line="240" w:lineRule="auto"/>
        <w:rPr>
          <w:b/>
        </w:rPr>
      </w:pPr>
      <w:r w:rsidRPr="0023746E">
        <w:rPr>
          <w:b/>
        </w:rPr>
        <w:t>Two triggers for remedies:</w:t>
      </w:r>
      <w:r w:rsidR="007604BD">
        <w:rPr>
          <w:b/>
        </w:rPr>
        <w:t xml:space="preserve"> 1) </w:t>
      </w:r>
      <w:r w:rsidR="0029665E" w:rsidRPr="007604BD">
        <w:rPr>
          <w:b/>
        </w:rPr>
        <w:t>Public material misrepresentation</w:t>
      </w:r>
      <w:r w:rsidR="007604BD">
        <w:rPr>
          <w:b/>
        </w:rPr>
        <w:t xml:space="preserve">; 2) </w:t>
      </w:r>
      <w:r w:rsidRPr="007604BD">
        <w:rPr>
          <w:b/>
        </w:rPr>
        <w:t>Failure to comply with continuous disclosure requirements</w:t>
      </w:r>
      <w:r w:rsidR="003B033B">
        <w:rPr>
          <w:b/>
        </w:rPr>
        <w:t xml:space="preserve"> (i</w:t>
      </w:r>
      <w:r w:rsidR="005269F7">
        <w:rPr>
          <w:b/>
        </w:rPr>
        <w:t>.</w:t>
      </w:r>
      <w:r w:rsidR="003B033B">
        <w:rPr>
          <w:b/>
        </w:rPr>
        <w:t>e 85(b))</w:t>
      </w:r>
    </w:p>
    <w:p w:rsidR="000947C9" w:rsidRDefault="000947C9" w:rsidP="00FF0B61">
      <w:pPr>
        <w:pStyle w:val="ListParagraph"/>
        <w:numPr>
          <w:ilvl w:val="0"/>
          <w:numId w:val="153"/>
        </w:numPr>
        <w:spacing w:after="0"/>
        <w:ind w:left="284" w:hanging="284"/>
      </w:pPr>
      <w:r w:rsidRPr="00D3434E">
        <w:rPr>
          <w:b/>
        </w:rPr>
        <w:t xml:space="preserve">Need Leave from </w:t>
      </w:r>
      <w:r w:rsidR="00B74058">
        <w:rPr>
          <w:b/>
        </w:rPr>
        <w:t xml:space="preserve">Court </w:t>
      </w:r>
      <w:r w:rsidRPr="00D3434E">
        <w:rPr>
          <w:b/>
        </w:rPr>
        <w:t>to Proceed w/ Action under 140.3</w:t>
      </w:r>
      <w:r>
        <w:t xml:space="preserve"> </w:t>
      </w:r>
      <w:r w:rsidR="00EC402F" w:rsidRPr="00D3434E">
        <w:rPr>
          <w:b/>
        </w:rPr>
        <w:t>(</w:t>
      </w:r>
      <w:r w:rsidR="00EC402F" w:rsidRPr="00D3434E">
        <w:rPr>
          <w:b/>
          <w:color w:val="C45911" w:themeColor="accent2" w:themeShade="BF"/>
        </w:rPr>
        <w:t>BCSA 140.8</w:t>
      </w:r>
      <w:r w:rsidR="00EC402F" w:rsidRPr="00D3434E">
        <w:rPr>
          <w:b/>
        </w:rPr>
        <w:t>)</w:t>
      </w:r>
      <w:r w:rsidR="00EC402F">
        <w:rPr>
          <w:b/>
        </w:rPr>
        <w:t xml:space="preserve"> </w:t>
      </w:r>
      <w:r>
        <w:t>– The Court may grant leave where it is satisfied that</w:t>
      </w:r>
      <w:r w:rsidRPr="00D3434E">
        <w:rPr>
          <w:color w:val="C45911" w:themeColor="accent2" w:themeShade="BF"/>
        </w:rPr>
        <w:t xml:space="preserve">: </w:t>
      </w:r>
      <w:r w:rsidRPr="00D3434E">
        <w:rPr>
          <w:b/>
          <w:color w:val="C45911" w:themeColor="accent2" w:themeShade="BF"/>
        </w:rPr>
        <w:t xml:space="preserve">(a) </w:t>
      </w:r>
      <w:r>
        <w:t xml:space="preserve">the action is being brought in good faith, and </w:t>
      </w:r>
      <w:r w:rsidRPr="00D3434E">
        <w:rPr>
          <w:b/>
          <w:color w:val="C45911" w:themeColor="accent2" w:themeShade="BF"/>
        </w:rPr>
        <w:t xml:space="preserve">(b) </w:t>
      </w:r>
      <w:r>
        <w:t xml:space="preserve">there is a reasonable possibility that the action will be resolved at trial in favour of the P. </w:t>
      </w:r>
    </w:p>
    <w:p w:rsidR="00154399" w:rsidRDefault="00154399" w:rsidP="00FF0B61">
      <w:pPr>
        <w:pStyle w:val="ListParagraph"/>
        <w:numPr>
          <w:ilvl w:val="1"/>
          <w:numId w:val="153"/>
        </w:numPr>
        <w:ind w:left="851"/>
      </w:pPr>
      <w:r w:rsidRPr="00863C1E">
        <w:rPr>
          <w:b/>
        </w:rPr>
        <w:t>“Reasonable chance of success”</w:t>
      </w:r>
      <w:r>
        <w:rPr>
          <w:b/>
        </w:rPr>
        <w:t xml:space="preserve"> </w:t>
      </w:r>
      <w:r>
        <w:t>(</w:t>
      </w:r>
      <w:r w:rsidRPr="00B65177">
        <w:rPr>
          <w:b/>
          <w:i/>
          <w:color w:val="1006E0"/>
        </w:rPr>
        <w:t>Theratechnologies</w:t>
      </w:r>
      <w:r w:rsidRPr="00863C1E">
        <w:rPr>
          <w:b/>
          <w:i/>
          <w:color w:val="1006E0"/>
        </w:rPr>
        <w:t xml:space="preserve">, </w:t>
      </w:r>
      <w:r>
        <w:rPr>
          <w:b/>
          <w:color w:val="1006E0"/>
        </w:rPr>
        <w:t>SCC 2015</w:t>
      </w:r>
      <w:r>
        <w:t xml:space="preserve">: </w:t>
      </w:r>
      <w:r w:rsidRPr="00863C1E">
        <w:rPr>
          <w:b/>
        </w:rPr>
        <w:t>1)</w:t>
      </w:r>
      <w:r>
        <w:t xml:space="preserve"> P has to provide a </w:t>
      </w:r>
      <w:r w:rsidRPr="00B03791">
        <w:rPr>
          <w:u w:val="single"/>
        </w:rPr>
        <w:t>plausible analysis</w:t>
      </w:r>
      <w:r>
        <w:t xml:space="preserve"> of why they </w:t>
      </w:r>
      <w:r w:rsidRPr="00725E93">
        <w:t xml:space="preserve">have a claim; </w:t>
      </w:r>
      <w:r w:rsidRPr="00725E93">
        <w:rPr>
          <w:b/>
        </w:rPr>
        <w:t>2)</w:t>
      </w:r>
      <w:r w:rsidRPr="00725E93">
        <w:t xml:space="preserve"> Adduce </w:t>
      </w:r>
      <w:r w:rsidRPr="00725E93">
        <w:rPr>
          <w:u w:val="single"/>
        </w:rPr>
        <w:t>some credible evidence</w:t>
      </w:r>
      <w:r w:rsidRPr="00725E93">
        <w:t xml:space="preserve"> of the claim)</w:t>
      </w:r>
      <w:r w:rsidR="00844E2F">
        <w:t>.</w:t>
      </w:r>
    </w:p>
    <w:p w:rsidR="00D3434E" w:rsidRDefault="00D3434E" w:rsidP="00FF0B61">
      <w:pPr>
        <w:pStyle w:val="ListParagraph"/>
        <w:numPr>
          <w:ilvl w:val="0"/>
          <w:numId w:val="153"/>
        </w:numPr>
        <w:spacing w:after="0"/>
        <w:ind w:left="284" w:hanging="284"/>
      </w:pPr>
      <w:r>
        <w:rPr>
          <w:b/>
        </w:rPr>
        <w:t>Application (</w:t>
      </w:r>
      <w:r w:rsidRPr="00D3434E">
        <w:rPr>
          <w:b/>
          <w:color w:val="C45911" w:themeColor="accent2" w:themeShade="BF"/>
        </w:rPr>
        <w:t>140.2</w:t>
      </w:r>
      <w:r>
        <w:rPr>
          <w:b/>
        </w:rPr>
        <w:t xml:space="preserve">): </w:t>
      </w:r>
      <w:r>
        <w:t xml:space="preserve">This part only applies to secondary markets, not purchase of a security after a prospectus, etc. </w:t>
      </w:r>
    </w:p>
    <w:p w:rsidR="00F9080F" w:rsidRDefault="00F9080F" w:rsidP="00FF0B61">
      <w:pPr>
        <w:spacing w:after="0" w:line="240" w:lineRule="auto"/>
      </w:pPr>
    </w:p>
    <w:p w:rsidR="00015894" w:rsidRDefault="001474D3" w:rsidP="00FF0B61">
      <w:pPr>
        <w:pStyle w:val="Heading3"/>
        <w:spacing w:line="240" w:lineRule="auto"/>
      </w:pPr>
      <w:bookmarkStart w:id="101" w:name="_Toc468980471"/>
      <w:r>
        <w:t>Who Can Bring the Action?</w:t>
      </w:r>
      <w:r w:rsidR="00015894" w:rsidRPr="001474D3">
        <w:t xml:space="preserve"> (</w:t>
      </w:r>
      <w:r w:rsidR="00015894" w:rsidRPr="001474D3">
        <w:rPr>
          <w:color w:val="C45911" w:themeColor="accent2" w:themeShade="BF"/>
        </w:rPr>
        <w:t>140.3</w:t>
      </w:r>
      <w:r w:rsidR="00305EF3" w:rsidRPr="001474D3">
        <w:rPr>
          <w:color w:val="C45911" w:themeColor="accent2" w:themeShade="BF"/>
        </w:rPr>
        <w:t>(1-4)</w:t>
      </w:r>
      <w:r w:rsidR="00015894" w:rsidRPr="001474D3">
        <w:t>)</w:t>
      </w:r>
      <w:bookmarkEnd w:id="101"/>
      <w:r w:rsidR="002028DC">
        <w:t xml:space="preserve"> </w:t>
      </w:r>
    </w:p>
    <w:p w:rsidR="001474D3" w:rsidRDefault="001474D3" w:rsidP="00FF0B61">
      <w:pPr>
        <w:pStyle w:val="NoSpacing"/>
        <w:rPr>
          <w:rFonts w:asciiTheme="minorHAnsi" w:hAnsiTheme="minorHAnsi" w:cs="Arial"/>
          <w:b/>
          <w:sz w:val="18"/>
          <w:szCs w:val="18"/>
        </w:rPr>
      </w:pPr>
      <w:r w:rsidRPr="001474D3">
        <w:rPr>
          <w:rFonts w:asciiTheme="minorHAnsi" w:hAnsiTheme="minorHAnsi" w:cs="Arial"/>
          <w:b/>
          <w:sz w:val="18"/>
          <w:szCs w:val="18"/>
        </w:rPr>
        <w:t>[1]</w:t>
      </w:r>
      <w:r>
        <w:rPr>
          <w:rFonts w:asciiTheme="minorHAnsi" w:hAnsiTheme="minorHAnsi" w:cs="Arial"/>
          <w:sz w:val="18"/>
          <w:szCs w:val="18"/>
        </w:rPr>
        <w:t xml:space="preserve"> </w:t>
      </w:r>
      <w:r w:rsidR="00015894" w:rsidRPr="002028DC">
        <w:rPr>
          <w:rFonts w:asciiTheme="minorHAnsi" w:hAnsiTheme="minorHAnsi" w:cs="Arial"/>
          <w:sz w:val="18"/>
          <w:szCs w:val="18"/>
        </w:rPr>
        <w:t>A person who buys or sells a security b</w:t>
      </w:r>
      <w:r w:rsidR="002028DC" w:rsidRPr="002028DC">
        <w:rPr>
          <w:rFonts w:asciiTheme="minorHAnsi" w:hAnsiTheme="minorHAnsi" w:cs="Arial"/>
          <w:sz w:val="18"/>
          <w:szCs w:val="18"/>
        </w:rPr>
        <w:t>/w</w:t>
      </w:r>
      <w:r w:rsidR="00015894" w:rsidRPr="002028DC">
        <w:rPr>
          <w:rFonts w:asciiTheme="minorHAnsi" w:hAnsiTheme="minorHAnsi" w:cs="Arial"/>
          <w:sz w:val="18"/>
          <w:szCs w:val="18"/>
        </w:rPr>
        <w:t xml:space="preserve"> the </w:t>
      </w:r>
      <w:r w:rsidR="00015894" w:rsidRPr="002028DC">
        <w:rPr>
          <w:rFonts w:asciiTheme="minorHAnsi" w:hAnsiTheme="minorHAnsi" w:cs="Arial"/>
          <w:b/>
          <w:sz w:val="18"/>
          <w:szCs w:val="18"/>
        </w:rPr>
        <w:t>time of the misrepresentation was made</w:t>
      </w:r>
      <w:r w:rsidR="00015894" w:rsidRPr="002028DC">
        <w:rPr>
          <w:rFonts w:asciiTheme="minorHAnsi" w:hAnsiTheme="minorHAnsi" w:cs="Arial"/>
          <w:sz w:val="18"/>
          <w:szCs w:val="18"/>
        </w:rPr>
        <w:t xml:space="preserve"> and the </w:t>
      </w:r>
      <w:r w:rsidR="00015894" w:rsidRPr="002028DC">
        <w:rPr>
          <w:rFonts w:asciiTheme="minorHAnsi" w:hAnsiTheme="minorHAnsi" w:cs="Arial"/>
          <w:b/>
          <w:sz w:val="18"/>
          <w:szCs w:val="18"/>
        </w:rPr>
        <w:t>time when the misrepresentation was publicly corrected</w:t>
      </w:r>
      <w:r>
        <w:rPr>
          <w:rFonts w:asciiTheme="minorHAnsi" w:hAnsiTheme="minorHAnsi" w:cs="Arial"/>
          <w:b/>
          <w:sz w:val="18"/>
          <w:szCs w:val="18"/>
        </w:rPr>
        <w:t xml:space="preserve"> (</w:t>
      </w:r>
      <w:r w:rsidRPr="001474D3">
        <w:rPr>
          <w:rFonts w:asciiTheme="minorHAnsi" w:hAnsiTheme="minorHAnsi" w:cs="Arial"/>
          <w:b/>
          <w:color w:val="C45911" w:themeColor="accent2" w:themeShade="BF"/>
          <w:sz w:val="18"/>
          <w:szCs w:val="18"/>
        </w:rPr>
        <w:t>140.3(1-3)</w:t>
      </w:r>
      <w:r>
        <w:rPr>
          <w:rFonts w:asciiTheme="minorHAnsi" w:hAnsiTheme="minorHAnsi" w:cs="Arial"/>
          <w:sz w:val="18"/>
          <w:szCs w:val="18"/>
        </w:rPr>
        <w:t xml:space="preserve">); </w:t>
      </w:r>
      <w:r w:rsidR="002028DC" w:rsidRPr="002A1000">
        <w:rPr>
          <w:rFonts w:asciiTheme="minorHAnsi" w:hAnsiTheme="minorHAnsi" w:cs="Arial"/>
          <w:b/>
          <w:sz w:val="18"/>
          <w:szCs w:val="18"/>
          <w:u w:val="single"/>
        </w:rPr>
        <w:t>OR</w:t>
      </w:r>
      <w:r w:rsidR="002028DC" w:rsidRPr="002028DC">
        <w:rPr>
          <w:rFonts w:asciiTheme="minorHAnsi" w:hAnsiTheme="minorHAnsi" w:cs="Arial"/>
          <w:b/>
          <w:sz w:val="18"/>
          <w:szCs w:val="18"/>
        </w:rPr>
        <w:t xml:space="preserve"> </w:t>
      </w:r>
    </w:p>
    <w:p w:rsidR="00015894" w:rsidRDefault="001474D3" w:rsidP="00FF0B61">
      <w:pPr>
        <w:pStyle w:val="NoSpacing"/>
        <w:rPr>
          <w:rFonts w:asciiTheme="minorHAnsi" w:hAnsiTheme="minorHAnsi" w:cs="Arial"/>
          <w:b/>
          <w:sz w:val="18"/>
          <w:szCs w:val="18"/>
        </w:rPr>
      </w:pPr>
      <w:r>
        <w:rPr>
          <w:rFonts w:asciiTheme="minorHAnsi" w:hAnsiTheme="minorHAnsi" w:cs="Arial"/>
          <w:b/>
          <w:sz w:val="18"/>
          <w:szCs w:val="18"/>
        </w:rPr>
        <w:t xml:space="preserve">[2] </w:t>
      </w:r>
      <w:r>
        <w:rPr>
          <w:rFonts w:asciiTheme="minorHAnsi" w:hAnsiTheme="minorHAnsi" w:cs="Arial"/>
          <w:sz w:val="18"/>
          <w:szCs w:val="18"/>
        </w:rPr>
        <w:t>A</w:t>
      </w:r>
      <w:r w:rsidR="002028DC" w:rsidRPr="002028DC">
        <w:rPr>
          <w:rFonts w:asciiTheme="minorHAnsi" w:hAnsiTheme="minorHAnsi" w:cs="Arial"/>
          <w:sz w:val="18"/>
          <w:szCs w:val="18"/>
        </w:rPr>
        <w:t xml:space="preserve"> person acquires or disposes of the issuer's security b/w the </w:t>
      </w:r>
      <w:r w:rsidR="002028DC" w:rsidRPr="002028DC">
        <w:rPr>
          <w:rFonts w:asciiTheme="minorHAnsi" w:hAnsiTheme="minorHAnsi" w:cs="Arial"/>
          <w:b/>
          <w:sz w:val="18"/>
          <w:szCs w:val="18"/>
        </w:rPr>
        <w:t xml:space="preserve">time when the material change was required to be disclosed </w:t>
      </w:r>
      <w:r w:rsidR="002028DC" w:rsidRPr="002028DC">
        <w:rPr>
          <w:rFonts w:asciiTheme="minorHAnsi" w:hAnsiTheme="minorHAnsi" w:cs="Arial"/>
          <w:sz w:val="18"/>
          <w:szCs w:val="18"/>
        </w:rPr>
        <w:t xml:space="preserve">in the manner required and </w:t>
      </w:r>
      <w:r w:rsidR="002028DC" w:rsidRPr="002028DC">
        <w:rPr>
          <w:rFonts w:asciiTheme="minorHAnsi" w:hAnsiTheme="minorHAnsi" w:cs="Arial"/>
          <w:b/>
          <w:sz w:val="18"/>
          <w:szCs w:val="18"/>
        </w:rPr>
        <w:t>the subsequent discl</w:t>
      </w:r>
      <w:r>
        <w:rPr>
          <w:rFonts w:asciiTheme="minorHAnsi" w:hAnsiTheme="minorHAnsi" w:cs="Arial"/>
          <w:b/>
          <w:sz w:val="18"/>
          <w:szCs w:val="18"/>
        </w:rPr>
        <w:t>osure of the material change (</w:t>
      </w:r>
      <w:r w:rsidRPr="001474D3">
        <w:rPr>
          <w:rFonts w:asciiTheme="minorHAnsi" w:hAnsiTheme="minorHAnsi" w:cs="Arial"/>
          <w:b/>
          <w:color w:val="C45911" w:themeColor="accent2" w:themeShade="BF"/>
          <w:sz w:val="18"/>
          <w:szCs w:val="18"/>
        </w:rPr>
        <w:t>140.3(4)</w:t>
      </w:r>
      <w:r>
        <w:rPr>
          <w:rFonts w:asciiTheme="minorHAnsi" w:hAnsiTheme="minorHAnsi" w:cs="Arial"/>
          <w:b/>
          <w:sz w:val="18"/>
          <w:szCs w:val="18"/>
        </w:rPr>
        <w:t>)</w:t>
      </w:r>
    </w:p>
    <w:p w:rsidR="00F9080F" w:rsidRPr="00137FC8" w:rsidRDefault="00F9080F" w:rsidP="00FF0B61">
      <w:pPr>
        <w:pStyle w:val="NoSpacing"/>
        <w:ind w:left="720"/>
        <w:rPr>
          <w:rFonts w:asciiTheme="minorHAnsi" w:hAnsiTheme="minorHAnsi" w:cs="Arial"/>
          <w:sz w:val="18"/>
          <w:szCs w:val="18"/>
        </w:rPr>
      </w:pPr>
    </w:p>
    <w:p w:rsidR="00137FC8" w:rsidRDefault="00137FC8" w:rsidP="00FF0B61">
      <w:pPr>
        <w:pStyle w:val="Heading3"/>
        <w:spacing w:line="240" w:lineRule="auto"/>
      </w:pPr>
      <w:bookmarkStart w:id="102" w:name="_Toc468980472"/>
      <w:r>
        <w:t>Definitions</w:t>
      </w:r>
      <w:bookmarkEnd w:id="102"/>
    </w:p>
    <w:p w:rsidR="00137FC8" w:rsidRPr="00015894" w:rsidRDefault="00137FC8" w:rsidP="00FF0B61">
      <w:pPr>
        <w:pStyle w:val="ListParagraph"/>
        <w:numPr>
          <w:ilvl w:val="0"/>
          <w:numId w:val="145"/>
        </w:numPr>
        <w:spacing w:after="0"/>
        <w:textAlignment w:val="center"/>
        <w:rPr>
          <w:rFonts w:eastAsia="Times New Roman" w:cs="Times New Roman"/>
          <w:lang w:eastAsia="en-CA"/>
        </w:rPr>
      </w:pPr>
      <w:r>
        <w:rPr>
          <w:rFonts w:eastAsia="Times New Roman" w:cs="Times New Roman"/>
          <w:b/>
          <w:lang w:eastAsia="en-CA"/>
        </w:rPr>
        <w:t>“Document” (</w:t>
      </w:r>
      <w:r w:rsidRPr="00015894">
        <w:rPr>
          <w:rFonts w:eastAsia="Times New Roman" w:cs="Times New Roman"/>
          <w:b/>
          <w:color w:val="C45911" w:themeColor="accent2" w:themeShade="BF"/>
          <w:lang w:eastAsia="en-CA"/>
        </w:rPr>
        <w:t>140.1</w:t>
      </w:r>
      <w:r>
        <w:rPr>
          <w:rFonts w:eastAsia="Times New Roman" w:cs="Times New Roman"/>
          <w:b/>
          <w:lang w:eastAsia="en-CA"/>
        </w:rPr>
        <w:t xml:space="preserve">): </w:t>
      </w:r>
      <w:r>
        <w:rPr>
          <w:rFonts w:eastAsia="Times New Roman" w:cs="Times New Roman"/>
          <w:lang w:eastAsia="en-CA"/>
        </w:rPr>
        <w:t xml:space="preserve">Any written communication that </w:t>
      </w:r>
      <w:r w:rsidRPr="00436520">
        <w:rPr>
          <w:rFonts w:eastAsia="Times New Roman" w:cs="Times New Roman"/>
          <w:b/>
          <w:lang w:eastAsia="en-CA"/>
        </w:rPr>
        <w:t>a)</w:t>
      </w:r>
      <w:r w:rsidRPr="00015894">
        <w:rPr>
          <w:rFonts w:eastAsia="Times New Roman" w:cs="Times New Roman"/>
          <w:lang w:eastAsia="en-CA"/>
        </w:rPr>
        <w:t xml:space="preserve"> is required to be filed with the commission</w:t>
      </w:r>
      <w:r>
        <w:rPr>
          <w:rFonts w:eastAsia="Times New Roman" w:cs="Times New Roman"/>
          <w:lang w:eastAsia="en-CA"/>
        </w:rPr>
        <w:t xml:space="preserve">, </w:t>
      </w:r>
      <w:r w:rsidRPr="00436520">
        <w:rPr>
          <w:rFonts w:eastAsia="Times New Roman" w:cs="Times New Roman"/>
          <w:b/>
          <w:lang w:eastAsia="en-CA"/>
        </w:rPr>
        <w:t>b)</w:t>
      </w:r>
      <w:r w:rsidRPr="00015894">
        <w:rPr>
          <w:rFonts w:eastAsia="Times New Roman" w:cs="Times New Roman"/>
          <w:lang w:eastAsia="en-CA"/>
        </w:rPr>
        <w:t xml:space="preserve"> that is not required to be filed with the commission and</w:t>
      </w:r>
    </w:p>
    <w:p w:rsidR="00137FC8" w:rsidRPr="00015894" w:rsidRDefault="00137FC8" w:rsidP="00FF0B61">
      <w:pPr>
        <w:pStyle w:val="ListParagraph"/>
        <w:numPr>
          <w:ilvl w:val="1"/>
          <w:numId w:val="145"/>
        </w:numPr>
        <w:spacing w:after="0"/>
        <w:textAlignment w:val="center"/>
        <w:rPr>
          <w:rFonts w:eastAsia="Times New Roman" w:cs="Times New Roman"/>
          <w:lang w:eastAsia="en-CA"/>
        </w:rPr>
      </w:pPr>
      <w:r w:rsidRPr="00015894">
        <w:rPr>
          <w:rFonts w:eastAsia="Times New Roman" w:cs="Times New Roman"/>
          <w:lang w:eastAsia="en-CA"/>
        </w:rPr>
        <w:t>i) is filed with the commission</w:t>
      </w:r>
    </w:p>
    <w:p w:rsidR="00137FC8" w:rsidRPr="00015894" w:rsidRDefault="00137FC8" w:rsidP="00FF0B61">
      <w:pPr>
        <w:pStyle w:val="ListParagraph"/>
        <w:numPr>
          <w:ilvl w:val="1"/>
          <w:numId w:val="145"/>
        </w:numPr>
        <w:spacing w:after="0"/>
        <w:textAlignment w:val="center"/>
        <w:rPr>
          <w:rFonts w:eastAsia="Times New Roman" w:cs="Times New Roman"/>
          <w:lang w:eastAsia="en-CA"/>
        </w:rPr>
      </w:pPr>
      <w:r w:rsidRPr="00015894">
        <w:rPr>
          <w:rFonts w:eastAsia="Times New Roman" w:cs="Times New Roman"/>
          <w:lang w:eastAsia="en-CA"/>
        </w:rPr>
        <w:t>ii) That is filed or required to be filed with a government, exchange, or quotation and trade reporting system</w:t>
      </w:r>
    </w:p>
    <w:p w:rsidR="00137FC8" w:rsidRDefault="00137FC8" w:rsidP="00FF0B61">
      <w:pPr>
        <w:pStyle w:val="ListParagraph"/>
        <w:numPr>
          <w:ilvl w:val="1"/>
          <w:numId w:val="145"/>
        </w:numPr>
        <w:spacing w:after="0"/>
        <w:textAlignment w:val="center"/>
        <w:rPr>
          <w:rFonts w:eastAsia="Times New Roman" w:cs="Times New Roman"/>
          <w:lang w:eastAsia="en-CA"/>
        </w:rPr>
      </w:pPr>
      <w:r w:rsidRPr="00015894">
        <w:rPr>
          <w:rFonts w:eastAsia="Times New Roman" w:cs="Times New Roman"/>
          <w:lang w:eastAsia="en-CA"/>
        </w:rPr>
        <w:t>iii) Any communication the content of which would reasonably be expected to affect the market price or value of the security</w:t>
      </w:r>
    </w:p>
    <w:p w:rsidR="00474A74" w:rsidRPr="00474A74" w:rsidRDefault="00474A74" w:rsidP="00FF0B61">
      <w:pPr>
        <w:pStyle w:val="ListParagraph"/>
        <w:numPr>
          <w:ilvl w:val="0"/>
          <w:numId w:val="145"/>
        </w:numPr>
        <w:spacing w:after="0"/>
        <w:rPr>
          <w:rFonts w:eastAsia="Times New Roman" w:cs="Times New Roman"/>
          <w:lang w:eastAsia="en-CA"/>
        </w:rPr>
      </w:pPr>
      <w:r>
        <w:rPr>
          <w:rFonts w:eastAsia="Times New Roman" w:cs="Times New Roman"/>
          <w:b/>
          <w:lang w:eastAsia="en-CA"/>
        </w:rPr>
        <w:t>"I</w:t>
      </w:r>
      <w:r w:rsidRPr="00474A74">
        <w:rPr>
          <w:rFonts w:eastAsia="Times New Roman" w:cs="Times New Roman"/>
          <w:b/>
          <w:lang w:eastAsia="en-CA"/>
        </w:rPr>
        <w:t>nfluential person"</w:t>
      </w:r>
      <w:r>
        <w:rPr>
          <w:rFonts w:eastAsia="Times New Roman" w:cs="Times New Roman"/>
          <w:lang w:eastAsia="en-CA"/>
        </w:rPr>
        <w:t xml:space="preserve"> (</w:t>
      </w:r>
      <w:r w:rsidRPr="00474A74">
        <w:rPr>
          <w:rFonts w:eastAsia="Times New Roman" w:cs="Times New Roman"/>
          <w:b/>
          <w:color w:val="C45911" w:themeColor="accent2" w:themeShade="BF"/>
          <w:lang w:eastAsia="en-CA"/>
        </w:rPr>
        <w:t>140.1</w:t>
      </w:r>
      <w:r>
        <w:rPr>
          <w:rFonts w:eastAsia="Times New Roman" w:cs="Times New Roman"/>
          <w:b/>
          <w:lang w:eastAsia="en-CA"/>
        </w:rPr>
        <w:t xml:space="preserve">): </w:t>
      </w:r>
      <w:r w:rsidRPr="00474A74">
        <w:rPr>
          <w:rFonts w:eastAsia="Times New Roman" w:cs="Times New Roman"/>
          <w:lang w:eastAsia="en-CA"/>
        </w:rPr>
        <w:t xml:space="preserve">means, in respect of a responsible issuer, </w:t>
      </w:r>
      <w:r w:rsidRPr="00474A74">
        <w:rPr>
          <w:rFonts w:eastAsia="Times New Roman" w:cs="Times New Roman"/>
          <w:b/>
          <w:lang w:eastAsia="en-CA"/>
        </w:rPr>
        <w:t>(a)</w:t>
      </w:r>
      <w:r w:rsidRPr="00474A74">
        <w:rPr>
          <w:rFonts w:eastAsia="Times New Roman" w:cs="Times New Roman"/>
          <w:lang w:eastAsia="en-CA"/>
        </w:rPr>
        <w:t xml:space="preserve"> a control person, </w:t>
      </w:r>
      <w:r w:rsidRPr="00474A74">
        <w:rPr>
          <w:rFonts w:eastAsia="Times New Roman" w:cs="Times New Roman"/>
          <w:b/>
          <w:lang w:eastAsia="en-CA"/>
        </w:rPr>
        <w:t>(b)</w:t>
      </w:r>
      <w:r w:rsidRPr="00474A74">
        <w:rPr>
          <w:rFonts w:eastAsia="Times New Roman" w:cs="Times New Roman"/>
          <w:lang w:eastAsia="en-CA"/>
        </w:rPr>
        <w:t xml:space="preserve"> a promoter, </w:t>
      </w:r>
      <w:r w:rsidRPr="00474A74">
        <w:rPr>
          <w:rFonts w:eastAsia="Times New Roman" w:cs="Times New Roman"/>
          <w:b/>
          <w:lang w:eastAsia="en-CA"/>
        </w:rPr>
        <w:t>(c)</w:t>
      </w:r>
      <w:r w:rsidRPr="00474A74">
        <w:rPr>
          <w:rFonts w:eastAsia="Times New Roman" w:cs="Times New Roman"/>
          <w:lang w:eastAsia="en-CA"/>
        </w:rPr>
        <w:t xml:space="preserve"> an insider (who is not a </w:t>
      </w:r>
      <w:r w:rsidR="00DB3B2E">
        <w:rPr>
          <w:rFonts w:eastAsia="Times New Roman" w:cs="Times New Roman"/>
          <w:lang w:eastAsia="en-CA"/>
        </w:rPr>
        <w:t xml:space="preserve">DIR or OFR </w:t>
      </w:r>
      <w:r>
        <w:rPr>
          <w:rFonts w:eastAsia="Times New Roman" w:cs="Times New Roman"/>
          <w:lang w:eastAsia="en-CA"/>
        </w:rPr>
        <w:t>of the responsible issuer.</w:t>
      </w:r>
    </w:p>
    <w:p w:rsidR="00474A74" w:rsidRPr="00474A74" w:rsidRDefault="00474A74" w:rsidP="00FF0B61">
      <w:pPr>
        <w:pStyle w:val="ListParagraph"/>
        <w:numPr>
          <w:ilvl w:val="0"/>
          <w:numId w:val="145"/>
        </w:numPr>
        <w:spacing w:after="0"/>
        <w:textAlignment w:val="center"/>
        <w:rPr>
          <w:rFonts w:eastAsia="Times New Roman" w:cs="Times New Roman"/>
          <w:lang w:eastAsia="en-CA"/>
        </w:rPr>
      </w:pPr>
      <w:r>
        <w:rPr>
          <w:rFonts w:eastAsia="Times New Roman" w:cs="Times New Roman"/>
          <w:b/>
          <w:lang w:eastAsia="en-CA"/>
        </w:rPr>
        <w:t>“Release” (</w:t>
      </w:r>
      <w:r w:rsidRPr="00015894">
        <w:rPr>
          <w:rFonts w:eastAsia="Times New Roman" w:cs="Times New Roman"/>
          <w:b/>
          <w:color w:val="C45911" w:themeColor="accent2" w:themeShade="BF"/>
          <w:lang w:eastAsia="en-CA"/>
        </w:rPr>
        <w:t>140.1</w:t>
      </w:r>
      <w:r w:rsidRPr="00015894">
        <w:rPr>
          <w:rFonts w:eastAsia="Times New Roman" w:cs="Times New Roman"/>
          <w:b/>
          <w:lang w:eastAsia="en-CA"/>
        </w:rPr>
        <w:t xml:space="preserve">): </w:t>
      </w:r>
      <w:r w:rsidRPr="00015894">
        <w:rPr>
          <w:rFonts w:eastAsia="Times New Roman" w:cs="Times New Roman"/>
          <w:lang w:eastAsia="en-CA"/>
        </w:rPr>
        <w:t>to file with the commission, SRO, or exchange, or to otherwise make available to the public</w:t>
      </w:r>
    </w:p>
    <w:p w:rsidR="00137FC8" w:rsidRPr="00137FC8" w:rsidRDefault="00137FC8" w:rsidP="00FF0B61">
      <w:pPr>
        <w:pStyle w:val="ListParagraph"/>
        <w:numPr>
          <w:ilvl w:val="0"/>
          <w:numId w:val="145"/>
        </w:numPr>
        <w:spacing w:after="0"/>
        <w:textAlignment w:val="center"/>
        <w:rPr>
          <w:rFonts w:eastAsia="Times New Roman" w:cs="Times New Roman"/>
          <w:b/>
          <w:lang w:eastAsia="en-CA"/>
        </w:rPr>
      </w:pPr>
      <w:r>
        <w:rPr>
          <w:rFonts w:eastAsia="Times New Roman" w:cs="Times New Roman"/>
          <w:b/>
          <w:lang w:eastAsia="en-CA"/>
        </w:rPr>
        <w:t>“Responsible Issuer” (</w:t>
      </w:r>
      <w:r w:rsidRPr="00015894">
        <w:rPr>
          <w:rFonts w:eastAsia="Times New Roman" w:cs="Times New Roman"/>
          <w:b/>
          <w:color w:val="C45911" w:themeColor="accent2" w:themeShade="BF"/>
          <w:lang w:eastAsia="en-CA"/>
        </w:rPr>
        <w:t>140.1</w:t>
      </w:r>
      <w:r>
        <w:rPr>
          <w:rFonts w:eastAsia="Times New Roman" w:cs="Times New Roman"/>
          <w:b/>
          <w:lang w:eastAsia="en-CA"/>
        </w:rPr>
        <w:t xml:space="preserve">): </w:t>
      </w:r>
      <w:r w:rsidRPr="00436520">
        <w:rPr>
          <w:rFonts w:eastAsia="Times New Roman" w:cs="Times New Roman"/>
          <w:b/>
          <w:lang w:eastAsia="en-CA"/>
        </w:rPr>
        <w:t>a)</w:t>
      </w:r>
      <w:r w:rsidRPr="00015894">
        <w:rPr>
          <w:rFonts w:eastAsia="Times New Roman" w:cs="Times New Roman"/>
          <w:lang w:eastAsia="en-CA"/>
        </w:rPr>
        <w:t xml:space="preserve"> Repor</w:t>
      </w:r>
      <w:r>
        <w:rPr>
          <w:rFonts w:eastAsia="Times New Roman" w:cs="Times New Roman"/>
          <w:lang w:eastAsia="en-CA"/>
        </w:rPr>
        <w:t>ting Issuer (see s. 1 def</w:t>
      </w:r>
      <w:r w:rsidRPr="00015894">
        <w:rPr>
          <w:rFonts w:eastAsia="Times New Roman" w:cs="Times New Roman"/>
          <w:lang w:eastAsia="en-CA"/>
        </w:rPr>
        <w:t xml:space="preserve">), </w:t>
      </w:r>
      <w:r w:rsidRPr="00436520">
        <w:rPr>
          <w:rFonts w:eastAsia="Times New Roman" w:cs="Times New Roman"/>
          <w:b/>
          <w:lang w:eastAsia="en-CA"/>
        </w:rPr>
        <w:t>b)</w:t>
      </w:r>
      <w:r w:rsidRPr="00015894">
        <w:rPr>
          <w:rFonts w:eastAsia="Times New Roman" w:cs="Times New Roman"/>
          <w:lang w:eastAsia="en-CA"/>
        </w:rPr>
        <w:t xml:space="preserve"> Or any other issuer with a real and substantial connection to BC with publicly traded securities</w:t>
      </w:r>
    </w:p>
    <w:p w:rsidR="00137FC8" w:rsidRDefault="00137FC8" w:rsidP="00FF0B61">
      <w:pPr>
        <w:pStyle w:val="ListParagraph"/>
        <w:numPr>
          <w:ilvl w:val="0"/>
          <w:numId w:val="145"/>
        </w:numPr>
        <w:spacing w:after="0"/>
        <w:textAlignment w:val="center"/>
        <w:rPr>
          <w:rFonts w:eastAsia="Times New Roman" w:cs="Times New Roman"/>
          <w:lang w:eastAsia="en-CA"/>
        </w:rPr>
      </w:pPr>
      <w:r w:rsidRPr="00137FC8">
        <w:rPr>
          <w:rFonts w:eastAsia="Times New Roman" w:cs="Times New Roman"/>
          <w:lang w:eastAsia="en-CA"/>
        </w:rPr>
        <w:t>“</w:t>
      </w:r>
      <w:r>
        <w:rPr>
          <w:rFonts w:eastAsia="Times New Roman" w:cs="Times New Roman"/>
          <w:b/>
          <w:lang w:eastAsia="en-CA"/>
        </w:rPr>
        <w:t>P</w:t>
      </w:r>
      <w:r w:rsidRPr="00137FC8">
        <w:rPr>
          <w:rFonts w:eastAsia="Times New Roman" w:cs="Times New Roman"/>
          <w:b/>
          <w:lang w:eastAsia="en-CA"/>
        </w:rPr>
        <w:t>ublic oral statement”</w:t>
      </w:r>
      <w:r>
        <w:rPr>
          <w:rFonts w:eastAsia="Times New Roman" w:cs="Times New Roman"/>
          <w:lang w:eastAsia="en-CA"/>
        </w:rPr>
        <w:t xml:space="preserve"> (</w:t>
      </w:r>
      <w:r w:rsidRPr="00137FC8">
        <w:rPr>
          <w:rFonts w:eastAsia="Times New Roman" w:cs="Times New Roman"/>
          <w:b/>
          <w:color w:val="C45911" w:themeColor="accent2" w:themeShade="BF"/>
          <w:lang w:eastAsia="en-CA"/>
        </w:rPr>
        <w:t>140.1</w:t>
      </w:r>
      <w:r>
        <w:rPr>
          <w:rFonts w:eastAsia="Times New Roman" w:cs="Times New Roman"/>
          <w:lang w:eastAsia="en-CA"/>
        </w:rPr>
        <w:t xml:space="preserve">): </w:t>
      </w:r>
      <w:r w:rsidRPr="00137FC8">
        <w:rPr>
          <w:rFonts w:eastAsia="Times New Roman" w:cs="Times New Roman"/>
          <w:lang w:eastAsia="en-CA"/>
        </w:rPr>
        <w:t xml:space="preserve">Oral statement made in circumstances in which a reasonable person would believe the information contained in the statement will become </w:t>
      </w:r>
      <w:r>
        <w:rPr>
          <w:rFonts w:eastAsia="Times New Roman" w:cs="Times New Roman"/>
          <w:lang w:eastAsia="en-CA"/>
        </w:rPr>
        <w:t>generally disclosed.</w:t>
      </w:r>
    </w:p>
    <w:p w:rsidR="00B67FE2" w:rsidRDefault="00B67FE2" w:rsidP="00FF0B61">
      <w:pPr>
        <w:spacing w:after="0" w:line="240" w:lineRule="auto"/>
        <w:rPr>
          <w:b/>
        </w:rPr>
      </w:pPr>
    </w:p>
    <w:p w:rsidR="00B67FE2" w:rsidRPr="00DB6468" w:rsidRDefault="00B67FE2" w:rsidP="00FF0B61">
      <w:pPr>
        <w:spacing w:after="0" w:line="240" w:lineRule="auto"/>
      </w:pPr>
      <w:r w:rsidRPr="00DB6468">
        <w:rPr>
          <w:b/>
        </w:rPr>
        <w:t>“Misrepresentation”</w:t>
      </w:r>
      <w:r w:rsidRPr="000D232A">
        <w:t xml:space="preserve"> (</w:t>
      </w:r>
      <w:r w:rsidRPr="00DB6468">
        <w:rPr>
          <w:b/>
          <w:color w:val="C45911" w:themeColor="accent2" w:themeShade="BF"/>
        </w:rPr>
        <w:t>BCSA 1(1)</w:t>
      </w:r>
      <w:r w:rsidRPr="00DB6468">
        <w:rPr>
          <w:b/>
        </w:rPr>
        <w:t>)</w:t>
      </w:r>
      <w:r>
        <w:rPr>
          <w:b/>
        </w:rPr>
        <w:t xml:space="preserve">, </w:t>
      </w:r>
      <w:r>
        <w:t>means:</w:t>
      </w:r>
    </w:p>
    <w:p w:rsidR="00B67FE2" w:rsidRPr="00AD3A71" w:rsidRDefault="00B67FE2" w:rsidP="00FF0B61">
      <w:pPr>
        <w:pStyle w:val="ListParagraph"/>
        <w:numPr>
          <w:ilvl w:val="0"/>
          <w:numId w:val="127"/>
        </w:numPr>
        <w:rPr>
          <w:b/>
        </w:rPr>
      </w:pPr>
      <w:r>
        <w:rPr>
          <w:b/>
        </w:rPr>
        <w:t xml:space="preserve">(a) </w:t>
      </w:r>
      <w:r w:rsidRPr="00AD3A71">
        <w:rPr>
          <w:b/>
          <w:i/>
        </w:rPr>
        <w:t>Untrue statement</w:t>
      </w:r>
      <w:r>
        <w:t xml:space="preserve"> of </w:t>
      </w:r>
      <w:r>
        <w:rPr>
          <w:b/>
          <w:u w:val="single"/>
        </w:rPr>
        <w:t xml:space="preserve">material fact (material changes can be material facts); </w:t>
      </w:r>
      <w:r>
        <w:t>OR</w:t>
      </w:r>
    </w:p>
    <w:p w:rsidR="00B67FE2" w:rsidRPr="00B67FE2" w:rsidRDefault="00B67FE2" w:rsidP="00FF0B61">
      <w:pPr>
        <w:pStyle w:val="ListParagraph"/>
        <w:numPr>
          <w:ilvl w:val="0"/>
          <w:numId w:val="127"/>
        </w:numPr>
        <w:rPr>
          <w:b/>
        </w:rPr>
      </w:pPr>
      <w:r>
        <w:rPr>
          <w:b/>
        </w:rPr>
        <w:t xml:space="preserve">(b) </w:t>
      </w:r>
      <w:r>
        <w:t xml:space="preserve">An </w:t>
      </w:r>
      <w:r w:rsidRPr="00AD3A71">
        <w:rPr>
          <w:b/>
          <w:i/>
        </w:rPr>
        <w:t xml:space="preserve">omissions </w:t>
      </w:r>
      <w:r w:rsidRPr="00E46ED1">
        <w:rPr>
          <w:u w:val="single"/>
        </w:rPr>
        <w:t>to state a material fact</w:t>
      </w:r>
      <w:r>
        <w:t xml:space="preserve"> that is: </w:t>
      </w:r>
      <w:r w:rsidRPr="00AD3A71">
        <w:rPr>
          <w:b/>
        </w:rPr>
        <w:t>(i)</w:t>
      </w:r>
      <w:r>
        <w:t xml:space="preserve"> required to be stated, </w:t>
      </w:r>
      <w:r w:rsidRPr="00AD3A71">
        <w:rPr>
          <w:b/>
        </w:rPr>
        <w:t>or (ii)</w:t>
      </w:r>
      <w:r>
        <w:t xml:space="preserve"> necessary to prevent a statement that is made from being false or misleading in the circumstances which it was made. </w:t>
      </w:r>
    </w:p>
    <w:p w:rsidR="00D5125F" w:rsidRDefault="00D5125F" w:rsidP="00FF0B61">
      <w:pPr>
        <w:pStyle w:val="ListParagraph"/>
        <w:spacing w:after="0"/>
        <w:textAlignment w:val="center"/>
        <w:rPr>
          <w:rFonts w:eastAsia="Times New Roman" w:cs="Times New Roman"/>
          <w:lang w:eastAsia="en-CA"/>
        </w:rPr>
      </w:pPr>
    </w:p>
    <w:p w:rsidR="00923B2F" w:rsidRDefault="00923B2F" w:rsidP="00FF0B61">
      <w:pPr>
        <w:pStyle w:val="Heading3"/>
        <w:spacing w:line="240" w:lineRule="auto"/>
      </w:pPr>
      <w:bookmarkStart w:id="103" w:name="_Toc468980473"/>
      <w:r w:rsidRPr="00436520">
        <w:t>Liability</w:t>
      </w:r>
      <w:r w:rsidR="0040016C" w:rsidRPr="00436520">
        <w:t xml:space="preserve"> (</w:t>
      </w:r>
      <w:r w:rsidR="0040016C" w:rsidRPr="00436520">
        <w:rPr>
          <w:rFonts w:cs="Arial"/>
          <w:color w:val="C45911" w:themeColor="accent2" w:themeShade="BF"/>
          <w:szCs w:val="21"/>
        </w:rPr>
        <w:t>BCSA</w:t>
      </w:r>
      <w:r w:rsidR="0040016C" w:rsidRPr="00436520">
        <w:rPr>
          <w:rFonts w:cs="Arial"/>
          <w:b w:val="0"/>
          <w:color w:val="C45911" w:themeColor="accent2" w:themeShade="BF"/>
          <w:szCs w:val="21"/>
        </w:rPr>
        <w:t xml:space="preserve"> </w:t>
      </w:r>
      <w:r w:rsidR="0040016C" w:rsidRPr="00436520">
        <w:rPr>
          <w:rFonts w:cs="Arial"/>
          <w:color w:val="C45911" w:themeColor="accent2" w:themeShade="BF"/>
          <w:szCs w:val="21"/>
        </w:rPr>
        <w:t>140.3)</w:t>
      </w:r>
      <w:bookmarkEnd w:id="103"/>
    </w:p>
    <w:p w:rsidR="002F6F62" w:rsidRDefault="00627AAC" w:rsidP="00FF0B61">
      <w:pPr>
        <w:spacing w:after="0" w:line="240" w:lineRule="auto"/>
        <w:textAlignment w:val="center"/>
        <w:rPr>
          <w:rFonts w:eastAsia="Times New Roman" w:cs="Times New Roman"/>
          <w:lang w:eastAsia="en-CA"/>
        </w:rPr>
      </w:pPr>
      <w:r w:rsidRPr="00F4172F">
        <w:rPr>
          <w:b/>
          <w:u w:val="single"/>
        </w:rPr>
        <w:t>[1] Issuer Documentary Misrepresentation (</w:t>
      </w:r>
      <w:r w:rsidRPr="00F4172F">
        <w:rPr>
          <w:b/>
          <w:color w:val="C45911" w:themeColor="accent2" w:themeShade="BF"/>
          <w:u w:val="single"/>
        </w:rPr>
        <w:t>140.3(1)</w:t>
      </w:r>
      <w:r w:rsidRPr="00F4172F">
        <w:rPr>
          <w:b/>
          <w:u w:val="single"/>
        </w:rPr>
        <w:t>):</w:t>
      </w:r>
      <w:r w:rsidRPr="002F6F62">
        <w:rPr>
          <w:b/>
        </w:rPr>
        <w:t xml:space="preserve"> </w:t>
      </w:r>
      <w:r w:rsidR="002F6F62" w:rsidRPr="002F6F62">
        <w:rPr>
          <w:rFonts w:eastAsia="Times New Roman" w:cs="Times New Roman"/>
          <w:lang w:eastAsia="en-CA"/>
        </w:rPr>
        <w:t>Liability arises when:</w:t>
      </w:r>
      <w:r w:rsidR="002F6F62">
        <w:rPr>
          <w:rFonts w:eastAsia="Times New Roman" w:cs="Times New Roman"/>
          <w:lang w:eastAsia="en-CA"/>
        </w:rPr>
        <w:t xml:space="preserve"> </w:t>
      </w:r>
      <w:r w:rsidR="002F6F62" w:rsidRPr="002F6F62">
        <w:rPr>
          <w:rFonts w:eastAsia="Times New Roman" w:cs="Times New Roman"/>
          <w:b/>
          <w:lang w:eastAsia="en-CA"/>
        </w:rPr>
        <w:t>1)</w:t>
      </w:r>
      <w:r w:rsidR="002F6F62" w:rsidRPr="002F6F62">
        <w:rPr>
          <w:rFonts w:eastAsia="Times New Roman" w:cs="Times New Roman"/>
          <w:lang w:eastAsia="en-CA"/>
        </w:rPr>
        <w:t xml:space="preserve"> a </w:t>
      </w:r>
      <w:r w:rsidR="002F6F62" w:rsidRPr="002F6F62">
        <w:rPr>
          <w:rFonts w:eastAsia="Times New Roman" w:cs="Times New Roman"/>
          <w:b/>
          <w:lang w:eastAsia="en-CA"/>
        </w:rPr>
        <w:t>“responsible issuer”</w:t>
      </w:r>
      <w:r w:rsidR="002F6F62" w:rsidRPr="002F6F62">
        <w:rPr>
          <w:rFonts w:eastAsia="Times New Roman" w:cs="Times New Roman"/>
          <w:lang w:eastAsia="en-CA"/>
        </w:rPr>
        <w:t xml:space="preserve"> or a person with </w:t>
      </w:r>
      <w:r w:rsidR="002F6F62" w:rsidRPr="002F6F62">
        <w:rPr>
          <w:rFonts w:eastAsia="Times New Roman" w:cs="Times New Roman"/>
          <w:b/>
          <w:i/>
          <w:lang w:eastAsia="en-CA"/>
        </w:rPr>
        <w:t>actual, implied, or apparent authority</w:t>
      </w:r>
      <w:r w:rsidR="002F6F62" w:rsidRPr="002F6F62">
        <w:rPr>
          <w:rFonts w:eastAsia="Times New Roman" w:cs="Times New Roman"/>
          <w:b/>
          <w:lang w:eastAsia="en-CA"/>
        </w:rPr>
        <w:t xml:space="preserve"> </w:t>
      </w:r>
      <w:r w:rsidR="002F6F62" w:rsidRPr="002F6F62">
        <w:rPr>
          <w:rFonts w:eastAsia="Times New Roman" w:cs="Times New Roman"/>
          <w:lang w:eastAsia="en-CA"/>
        </w:rPr>
        <w:t>to act on the responsible issuer’s behalf</w:t>
      </w:r>
      <w:r w:rsidR="002F6F62">
        <w:rPr>
          <w:rFonts w:eastAsia="Times New Roman" w:cs="Times New Roman"/>
          <w:lang w:eastAsia="en-CA"/>
        </w:rPr>
        <w:t xml:space="preserve"> </w:t>
      </w:r>
      <w:r w:rsidR="002F6F62" w:rsidRPr="002F6F62">
        <w:rPr>
          <w:rFonts w:eastAsia="Times New Roman" w:cs="Times New Roman"/>
          <w:b/>
          <w:lang w:eastAsia="en-CA"/>
        </w:rPr>
        <w:t>2)</w:t>
      </w:r>
      <w:r w:rsidR="002F6F62" w:rsidRPr="002F6F62">
        <w:rPr>
          <w:rFonts w:eastAsia="Times New Roman" w:cs="Times New Roman"/>
          <w:lang w:eastAsia="en-CA"/>
        </w:rPr>
        <w:t xml:space="preserve"> </w:t>
      </w:r>
      <w:r w:rsidR="002F6F62" w:rsidRPr="002F6F62">
        <w:rPr>
          <w:rFonts w:eastAsia="Times New Roman" w:cs="Times New Roman"/>
          <w:b/>
          <w:lang w:eastAsia="en-CA"/>
        </w:rPr>
        <w:t>“Releases” a “document”</w:t>
      </w:r>
      <w:r w:rsidR="002F6F62" w:rsidRPr="002F6F62">
        <w:rPr>
          <w:rFonts w:eastAsia="Times New Roman" w:cs="Times New Roman"/>
          <w:lang w:eastAsia="en-CA"/>
        </w:rPr>
        <w:t xml:space="preserve"> containing a </w:t>
      </w:r>
      <w:r w:rsidR="002F6F62" w:rsidRPr="00E46ED1">
        <w:rPr>
          <w:rFonts w:eastAsia="Times New Roman" w:cs="Times New Roman"/>
          <w:u w:val="single"/>
          <w:lang w:eastAsia="en-CA"/>
        </w:rPr>
        <w:t>misrepresentation</w:t>
      </w:r>
      <w:r w:rsidR="00015894" w:rsidRPr="00E46ED1">
        <w:rPr>
          <w:rFonts w:eastAsia="Times New Roman" w:cs="Times New Roman"/>
          <w:u w:val="single"/>
          <w:lang w:eastAsia="en-CA"/>
        </w:rPr>
        <w:t>.</w:t>
      </w:r>
    </w:p>
    <w:p w:rsidR="00B54A55" w:rsidRDefault="00B54A55" w:rsidP="00FF0B61">
      <w:pPr>
        <w:spacing w:after="0" w:line="240" w:lineRule="auto"/>
        <w:textAlignment w:val="center"/>
        <w:rPr>
          <w:rFonts w:eastAsia="Times New Roman" w:cs="Times New Roman"/>
          <w:b/>
          <w:u w:val="single"/>
          <w:lang w:eastAsia="en-CA"/>
        </w:rPr>
      </w:pPr>
    </w:p>
    <w:p w:rsidR="002A1000" w:rsidRPr="00B54A55" w:rsidRDefault="002A1000" w:rsidP="00FF0B61">
      <w:pPr>
        <w:spacing w:after="0" w:line="240" w:lineRule="auto"/>
        <w:textAlignment w:val="center"/>
        <w:rPr>
          <w:rFonts w:eastAsia="Times New Roman" w:cs="Times New Roman"/>
          <w:lang w:eastAsia="en-CA"/>
        </w:rPr>
      </w:pPr>
      <w:r w:rsidRPr="00B54A55">
        <w:rPr>
          <w:rFonts w:eastAsia="Times New Roman" w:cs="Times New Roman"/>
          <w:b/>
          <w:lang w:eastAsia="en-CA"/>
        </w:rPr>
        <w:t xml:space="preserve">Who is Liable: </w:t>
      </w:r>
    </w:p>
    <w:p w:rsidR="002A1000" w:rsidRDefault="002A1000" w:rsidP="00FF0B61">
      <w:pPr>
        <w:pStyle w:val="ListParagraph"/>
        <w:numPr>
          <w:ilvl w:val="0"/>
          <w:numId w:val="149"/>
        </w:numPr>
        <w:textAlignment w:val="center"/>
        <w:rPr>
          <w:rFonts w:eastAsia="Times New Roman" w:cs="Times New Roman"/>
          <w:lang w:eastAsia="en-CA"/>
        </w:rPr>
      </w:pPr>
      <w:r w:rsidRPr="002A1000">
        <w:rPr>
          <w:rFonts w:eastAsia="Times New Roman" w:cs="Times New Roman"/>
          <w:b/>
          <w:lang w:eastAsia="en-CA"/>
        </w:rPr>
        <w:t>a)</w:t>
      </w:r>
      <w:r w:rsidRPr="002A1000">
        <w:rPr>
          <w:rFonts w:eastAsia="Times New Roman" w:cs="Times New Roman"/>
          <w:lang w:eastAsia="en-CA"/>
        </w:rPr>
        <w:t xml:space="preserve"> The </w:t>
      </w:r>
      <w:r w:rsidRPr="00437833">
        <w:rPr>
          <w:rFonts w:eastAsia="Times New Roman" w:cs="Times New Roman"/>
          <w:b/>
          <w:i/>
          <w:lang w:eastAsia="en-CA"/>
        </w:rPr>
        <w:t>Responsible Issuer;</w:t>
      </w:r>
      <w:r w:rsidRPr="002A1000">
        <w:rPr>
          <w:rFonts w:eastAsia="Times New Roman" w:cs="Times New Roman"/>
          <w:lang w:eastAsia="en-CA"/>
        </w:rPr>
        <w:t xml:space="preserve"> </w:t>
      </w:r>
    </w:p>
    <w:p w:rsidR="002A1000" w:rsidRDefault="002A1000" w:rsidP="00FF0B61">
      <w:pPr>
        <w:pStyle w:val="ListParagraph"/>
        <w:numPr>
          <w:ilvl w:val="0"/>
          <w:numId w:val="149"/>
        </w:numPr>
        <w:textAlignment w:val="center"/>
        <w:rPr>
          <w:rFonts w:eastAsia="Times New Roman" w:cs="Times New Roman"/>
          <w:lang w:eastAsia="en-CA"/>
        </w:rPr>
      </w:pPr>
      <w:r w:rsidRPr="002A1000">
        <w:rPr>
          <w:rFonts w:eastAsia="Times New Roman" w:cs="Times New Roman"/>
          <w:b/>
          <w:lang w:eastAsia="en-CA"/>
        </w:rPr>
        <w:t>b)</w:t>
      </w:r>
      <w:r w:rsidRPr="002A1000">
        <w:rPr>
          <w:rFonts w:eastAsia="Times New Roman" w:cs="Times New Roman"/>
          <w:lang w:eastAsia="en-CA"/>
        </w:rPr>
        <w:t xml:space="preserve"> Each </w:t>
      </w:r>
      <w:r w:rsidRPr="00437833">
        <w:rPr>
          <w:rFonts w:eastAsia="Times New Roman" w:cs="Times New Roman"/>
          <w:b/>
          <w:i/>
          <w:lang w:eastAsia="en-CA"/>
        </w:rPr>
        <w:t>DIR of the R</w:t>
      </w:r>
      <w:r w:rsidR="00DB689E" w:rsidRPr="00437833">
        <w:rPr>
          <w:rFonts w:eastAsia="Times New Roman" w:cs="Times New Roman"/>
          <w:b/>
          <w:i/>
          <w:lang w:eastAsia="en-CA"/>
        </w:rPr>
        <w:t>esponsible Issuer</w:t>
      </w:r>
      <w:r w:rsidR="00DB689E">
        <w:rPr>
          <w:rFonts w:eastAsia="Times New Roman" w:cs="Times New Roman"/>
          <w:lang w:eastAsia="en-CA"/>
        </w:rPr>
        <w:t xml:space="preserve"> at the time the doc was</w:t>
      </w:r>
      <w:r w:rsidRPr="002A1000">
        <w:rPr>
          <w:rFonts w:eastAsia="Times New Roman" w:cs="Times New Roman"/>
          <w:lang w:eastAsia="en-CA"/>
        </w:rPr>
        <w:t xml:space="preserve"> release</w:t>
      </w:r>
      <w:r w:rsidR="00DB689E">
        <w:rPr>
          <w:rFonts w:eastAsia="Times New Roman" w:cs="Times New Roman"/>
          <w:lang w:eastAsia="en-CA"/>
        </w:rPr>
        <w:t>d</w:t>
      </w:r>
      <w:r w:rsidRPr="002A1000">
        <w:rPr>
          <w:rFonts w:eastAsia="Times New Roman" w:cs="Times New Roman"/>
          <w:lang w:eastAsia="en-CA"/>
        </w:rPr>
        <w:t xml:space="preserve">; </w:t>
      </w:r>
    </w:p>
    <w:p w:rsidR="002A1000" w:rsidRDefault="002A1000" w:rsidP="00FF0B61">
      <w:pPr>
        <w:pStyle w:val="ListParagraph"/>
        <w:numPr>
          <w:ilvl w:val="0"/>
          <w:numId w:val="149"/>
        </w:numPr>
        <w:textAlignment w:val="center"/>
        <w:rPr>
          <w:rFonts w:eastAsia="Times New Roman" w:cs="Times New Roman"/>
          <w:lang w:eastAsia="en-CA"/>
        </w:rPr>
      </w:pPr>
      <w:r w:rsidRPr="002A1000">
        <w:rPr>
          <w:rFonts w:eastAsia="Times New Roman" w:cs="Times New Roman"/>
          <w:b/>
          <w:lang w:eastAsia="en-CA"/>
        </w:rPr>
        <w:t>c)</w:t>
      </w:r>
      <w:r w:rsidRPr="002A1000">
        <w:rPr>
          <w:rFonts w:eastAsia="Times New Roman" w:cs="Times New Roman"/>
          <w:lang w:eastAsia="en-CA"/>
        </w:rPr>
        <w:t xml:space="preserve"> Each </w:t>
      </w:r>
      <w:r w:rsidRPr="00437833">
        <w:rPr>
          <w:rFonts w:eastAsia="Times New Roman" w:cs="Times New Roman"/>
          <w:b/>
          <w:i/>
          <w:lang w:eastAsia="en-CA"/>
        </w:rPr>
        <w:t>OFR of the Responsible issuer</w:t>
      </w:r>
      <w:r w:rsidRPr="002A1000">
        <w:rPr>
          <w:rFonts w:eastAsia="Times New Roman" w:cs="Times New Roman"/>
          <w:lang w:eastAsia="en-CA"/>
        </w:rPr>
        <w:t xml:space="preserve"> who “authorized, permitted or acquiesced” in the release; </w:t>
      </w:r>
    </w:p>
    <w:p w:rsidR="002A1000" w:rsidRDefault="002A1000" w:rsidP="00FF0B61">
      <w:pPr>
        <w:pStyle w:val="ListParagraph"/>
        <w:numPr>
          <w:ilvl w:val="0"/>
          <w:numId w:val="149"/>
        </w:numPr>
        <w:textAlignment w:val="center"/>
        <w:rPr>
          <w:rFonts w:eastAsia="Times New Roman" w:cs="Times New Roman"/>
          <w:lang w:eastAsia="en-CA"/>
        </w:rPr>
      </w:pPr>
      <w:r w:rsidRPr="002A1000">
        <w:rPr>
          <w:rFonts w:eastAsia="Times New Roman" w:cs="Times New Roman"/>
          <w:b/>
          <w:lang w:eastAsia="en-CA"/>
        </w:rPr>
        <w:t>d)</w:t>
      </w:r>
      <w:r w:rsidRPr="002A1000">
        <w:rPr>
          <w:rFonts w:eastAsia="Times New Roman" w:cs="Times New Roman"/>
          <w:lang w:eastAsia="en-CA"/>
        </w:rPr>
        <w:t xml:space="preserve"> </w:t>
      </w:r>
      <w:r w:rsidR="00DB689E" w:rsidRPr="00437833">
        <w:rPr>
          <w:rFonts w:eastAsia="Times New Roman" w:cs="Times New Roman"/>
          <w:b/>
          <w:i/>
          <w:lang w:eastAsia="en-CA"/>
        </w:rPr>
        <w:t>E</w:t>
      </w:r>
      <w:r w:rsidRPr="00437833">
        <w:rPr>
          <w:rFonts w:eastAsia="Times New Roman" w:cs="Times New Roman"/>
          <w:b/>
          <w:i/>
          <w:lang w:eastAsia="en-CA"/>
        </w:rPr>
        <w:t>ach “influential person</w:t>
      </w:r>
      <w:r w:rsidRPr="002A1000">
        <w:rPr>
          <w:rFonts w:eastAsia="Times New Roman" w:cs="Times New Roman"/>
          <w:lang w:eastAsia="en-CA"/>
        </w:rPr>
        <w:t>” (and its DIRs and OFR’s) who "knowingly influenced" the responsible issuer (or the person or company with authority) to release the document (or knowingly influence</w:t>
      </w:r>
      <w:r w:rsidR="00DB689E">
        <w:rPr>
          <w:rFonts w:eastAsia="Times New Roman" w:cs="Times New Roman"/>
          <w:lang w:eastAsia="en-CA"/>
        </w:rPr>
        <w:t xml:space="preserve">d a DIR or OFR </w:t>
      </w:r>
      <w:r w:rsidRPr="002A1000">
        <w:rPr>
          <w:rFonts w:eastAsia="Times New Roman" w:cs="Times New Roman"/>
          <w:lang w:eastAsia="en-CA"/>
        </w:rPr>
        <w:t xml:space="preserve">of the responsible issuer to </w:t>
      </w:r>
      <w:r w:rsidR="005F4AC6">
        <w:rPr>
          <w:rFonts w:eastAsia="Times New Roman" w:cs="Times New Roman"/>
          <w:lang w:eastAsia="en-CA"/>
        </w:rPr>
        <w:t xml:space="preserve">release the document). </w:t>
      </w:r>
      <w:r w:rsidRPr="002A1000">
        <w:rPr>
          <w:rFonts w:eastAsia="Times New Roman" w:cs="Times New Roman"/>
          <w:lang w:eastAsia="en-CA"/>
        </w:rPr>
        <w:t xml:space="preserve"> </w:t>
      </w:r>
    </w:p>
    <w:p w:rsidR="002A1000" w:rsidRPr="002A1000" w:rsidRDefault="002A1000" w:rsidP="00FF0B61">
      <w:pPr>
        <w:pStyle w:val="ListParagraph"/>
        <w:numPr>
          <w:ilvl w:val="0"/>
          <w:numId w:val="149"/>
        </w:numPr>
        <w:textAlignment w:val="center"/>
        <w:rPr>
          <w:rFonts w:eastAsia="Times New Roman" w:cs="Times New Roman"/>
          <w:lang w:eastAsia="en-CA"/>
        </w:rPr>
      </w:pPr>
      <w:r w:rsidRPr="002A1000">
        <w:rPr>
          <w:rFonts w:eastAsia="Times New Roman" w:cs="Times New Roman"/>
          <w:b/>
          <w:lang w:eastAsia="en-CA"/>
        </w:rPr>
        <w:t>e)</w:t>
      </w:r>
      <w:r w:rsidRPr="002A1000">
        <w:rPr>
          <w:rFonts w:eastAsia="Times New Roman" w:cs="Times New Roman"/>
          <w:lang w:eastAsia="en-CA"/>
        </w:rPr>
        <w:t xml:space="preserve"> and each "expert", where misrepresentations from the expert's report, statement or opinion are used in the document with t</w:t>
      </w:r>
      <w:r w:rsidR="00883EFC">
        <w:rPr>
          <w:rFonts w:eastAsia="Times New Roman" w:cs="Times New Roman"/>
          <w:lang w:eastAsia="en-CA"/>
        </w:rPr>
        <w:t xml:space="preserve">he expert's consent in writing. </w:t>
      </w:r>
      <w:r w:rsidRPr="002A1000">
        <w:rPr>
          <w:rFonts w:eastAsia="Times New Roman" w:cs="Times New Roman"/>
          <w:lang w:eastAsia="en-CA"/>
        </w:rPr>
        <w:tab/>
      </w:r>
    </w:p>
    <w:p w:rsidR="00627AAC" w:rsidRDefault="00627AAC" w:rsidP="00FF0B61">
      <w:pPr>
        <w:spacing w:after="0" w:line="240" w:lineRule="auto"/>
        <w:rPr>
          <w:rFonts w:eastAsia="Times New Roman" w:cs="Times New Roman"/>
          <w:lang w:eastAsia="en-CA"/>
        </w:rPr>
      </w:pPr>
      <w:r w:rsidRPr="00F4172F">
        <w:rPr>
          <w:b/>
          <w:u w:val="single"/>
        </w:rPr>
        <w:t>[2] Issuer Public Oral Statement (</w:t>
      </w:r>
      <w:r w:rsidRPr="00F4172F">
        <w:rPr>
          <w:b/>
          <w:color w:val="C45911" w:themeColor="accent2" w:themeShade="BF"/>
          <w:u w:val="single"/>
        </w:rPr>
        <w:t>140.3(2)</w:t>
      </w:r>
      <w:r w:rsidRPr="00F4172F">
        <w:rPr>
          <w:b/>
          <w:u w:val="single"/>
        </w:rPr>
        <w:t>):</w:t>
      </w:r>
      <w:r w:rsidRPr="00137FC8">
        <w:rPr>
          <w:b/>
        </w:rPr>
        <w:t xml:space="preserve"> </w:t>
      </w:r>
      <w:r w:rsidRPr="003916E6">
        <w:rPr>
          <w:rFonts w:eastAsia="Times New Roman" w:cs="Times New Roman"/>
          <w:b/>
          <w:lang w:eastAsia="en-CA"/>
        </w:rPr>
        <w:t>1)</w:t>
      </w:r>
      <w:r w:rsidRPr="00137FC8">
        <w:rPr>
          <w:rFonts w:eastAsia="Times New Roman" w:cs="Times New Roman"/>
          <w:lang w:eastAsia="en-CA"/>
        </w:rPr>
        <w:t xml:space="preserve"> A person with </w:t>
      </w:r>
      <w:r w:rsidRPr="00137FC8">
        <w:rPr>
          <w:rFonts w:eastAsia="Times New Roman" w:cs="Times New Roman"/>
          <w:b/>
          <w:i/>
          <w:lang w:eastAsia="en-CA"/>
        </w:rPr>
        <w:t xml:space="preserve">actual, implied, or apparent </w:t>
      </w:r>
      <w:r w:rsidRPr="00287D2E">
        <w:rPr>
          <w:rFonts w:eastAsia="Times New Roman" w:cs="Times New Roman"/>
          <w:b/>
          <w:i/>
          <w:lang w:eastAsia="en-CA"/>
        </w:rPr>
        <w:t>authority</w:t>
      </w:r>
      <w:r w:rsidRPr="00287D2E">
        <w:rPr>
          <w:rFonts w:eastAsia="Times New Roman" w:cs="Times New Roman"/>
          <w:b/>
          <w:lang w:eastAsia="en-CA"/>
        </w:rPr>
        <w:t xml:space="preserve"> </w:t>
      </w:r>
      <w:r w:rsidRPr="00287D2E">
        <w:rPr>
          <w:rFonts w:eastAsia="Times New Roman" w:cs="Times New Roman"/>
          <w:lang w:eastAsia="en-CA"/>
        </w:rPr>
        <w:t>to</w:t>
      </w:r>
      <w:r w:rsidRPr="00137FC8">
        <w:rPr>
          <w:rFonts w:eastAsia="Times New Roman" w:cs="Times New Roman"/>
          <w:lang w:eastAsia="en-CA"/>
        </w:rPr>
        <w:t xml:space="preserve"> </w:t>
      </w:r>
      <w:r w:rsidRPr="00137FC8">
        <w:rPr>
          <w:rFonts w:eastAsia="Times New Roman" w:cs="Times New Roman"/>
          <w:u w:val="single"/>
          <w:lang w:eastAsia="en-CA"/>
        </w:rPr>
        <w:t>speak</w:t>
      </w:r>
      <w:r w:rsidRPr="00137FC8">
        <w:rPr>
          <w:rFonts w:eastAsia="Times New Roman" w:cs="Times New Roman"/>
          <w:lang w:eastAsia="en-CA"/>
        </w:rPr>
        <w:t xml:space="preserve"> on the responsible issuer’s behalf</w:t>
      </w:r>
      <w:r w:rsidRPr="00137FC8">
        <w:rPr>
          <w:b/>
        </w:rPr>
        <w:t xml:space="preserve"> </w:t>
      </w:r>
      <w:r w:rsidRPr="003916E6">
        <w:rPr>
          <w:rFonts w:eastAsia="Times New Roman" w:cs="Times New Roman"/>
          <w:b/>
          <w:lang w:eastAsia="en-CA"/>
        </w:rPr>
        <w:t>2)</w:t>
      </w:r>
      <w:r w:rsidRPr="00137FC8">
        <w:rPr>
          <w:rFonts w:eastAsia="Times New Roman" w:cs="Times New Roman"/>
          <w:lang w:eastAsia="en-CA"/>
        </w:rPr>
        <w:t xml:space="preserve"> Makes </w:t>
      </w:r>
      <w:r w:rsidRPr="00137FC8">
        <w:rPr>
          <w:rFonts w:eastAsia="Times New Roman" w:cs="Times New Roman"/>
          <w:b/>
          <w:lang w:eastAsia="en-CA"/>
        </w:rPr>
        <w:t>a “public oral statement”</w:t>
      </w:r>
      <w:r w:rsidRPr="00137FC8">
        <w:rPr>
          <w:rFonts w:eastAsia="Times New Roman" w:cs="Times New Roman"/>
          <w:lang w:eastAsia="en-CA"/>
        </w:rPr>
        <w:t xml:space="preserve"> that </w:t>
      </w:r>
      <w:r w:rsidRPr="00137FC8">
        <w:rPr>
          <w:rFonts w:eastAsia="Times New Roman" w:cs="Times New Roman"/>
          <w:b/>
          <w:u w:val="single"/>
          <w:lang w:eastAsia="en-CA"/>
        </w:rPr>
        <w:t>relates to the business o</w:t>
      </w:r>
      <w:r w:rsidR="00530AFB">
        <w:rPr>
          <w:rFonts w:eastAsia="Times New Roman" w:cs="Times New Roman"/>
          <w:b/>
          <w:u w:val="single"/>
          <w:lang w:eastAsia="en-CA"/>
        </w:rPr>
        <w:t>r</w:t>
      </w:r>
      <w:r w:rsidRPr="00137FC8">
        <w:rPr>
          <w:rFonts w:eastAsia="Times New Roman" w:cs="Times New Roman"/>
          <w:b/>
          <w:u w:val="single"/>
          <w:lang w:eastAsia="en-CA"/>
        </w:rPr>
        <w:t xml:space="preserve"> affairs</w:t>
      </w:r>
      <w:r w:rsidRPr="00137FC8">
        <w:rPr>
          <w:rFonts w:eastAsia="Times New Roman" w:cs="Times New Roman"/>
          <w:lang w:eastAsia="en-CA"/>
        </w:rPr>
        <w:t xml:space="preserve"> </w:t>
      </w:r>
      <w:r w:rsidR="00530AFB">
        <w:rPr>
          <w:rFonts w:eastAsia="Times New Roman" w:cs="Times New Roman"/>
          <w:lang w:eastAsia="en-CA"/>
        </w:rPr>
        <w:t>of responsible issuer and that contains</w:t>
      </w:r>
      <w:r w:rsidRPr="00137FC8">
        <w:rPr>
          <w:rFonts w:eastAsia="Times New Roman" w:cs="Times New Roman"/>
          <w:lang w:eastAsia="en-CA"/>
        </w:rPr>
        <w:t xml:space="preserve"> a misrepresentation</w:t>
      </w:r>
      <w:r w:rsidR="009E6F40">
        <w:rPr>
          <w:rFonts w:eastAsia="Times New Roman" w:cs="Times New Roman"/>
          <w:lang w:eastAsia="en-CA"/>
        </w:rPr>
        <w:t>.</w:t>
      </w:r>
    </w:p>
    <w:p w:rsidR="002061AA" w:rsidRPr="00B54A55" w:rsidRDefault="000B6053" w:rsidP="00FF0B61">
      <w:pPr>
        <w:spacing w:after="0" w:line="240" w:lineRule="auto"/>
        <w:rPr>
          <w:rFonts w:eastAsia="Times New Roman" w:cs="Times New Roman"/>
          <w:b/>
          <w:lang w:eastAsia="en-CA"/>
        </w:rPr>
      </w:pPr>
      <w:r w:rsidRPr="00B54A55">
        <w:rPr>
          <w:rFonts w:eastAsia="Times New Roman" w:cs="Times New Roman"/>
          <w:b/>
          <w:lang w:eastAsia="en-CA"/>
        </w:rPr>
        <w:t>Who is Liable:</w:t>
      </w:r>
    </w:p>
    <w:p w:rsidR="002061AA" w:rsidRPr="002061AA" w:rsidRDefault="002061AA" w:rsidP="00FF0B61">
      <w:pPr>
        <w:pStyle w:val="ListParagraph"/>
        <w:numPr>
          <w:ilvl w:val="0"/>
          <w:numId w:val="150"/>
        </w:numPr>
        <w:rPr>
          <w:b/>
        </w:rPr>
      </w:pPr>
      <w:r>
        <w:rPr>
          <w:b/>
        </w:rPr>
        <w:t xml:space="preserve">(a) </w:t>
      </w:r>
      <w:r w:rsidRPr="002061AA">
        <w:t xml:space="preserve">The </w:t>
      </w:r>
      <w:r w:rsidRPr="00375A4B">
        <w:rPr>
          <w:b/>
          <w:i/>
        </w:rPr>
        <w:t>responsible issuer,</w:t>
      </w:r>
    </w:p>
    <w:p w:rsidR="002061AA" w:rsidRPr="002061AA" w:rsidRDefault="002061AA" w:rsidP="00FF0B61">
      <w:pPr>
        <w:pStyle w:val="ListParagraph"/>
        <w:numPr>
          <w:ilvl w:val="0"/>
          <w:numId w:val="150"/>
        </w:numPr>
        <w:rPr>
          <w:b/>
        </w:rPr>
      </w:pPr>
      <w:r w:rsidRPr="002061AA">
        <w:rPr>
          <w:b/>
        </w:rPr>
        <w:t>(b</w:t>
      </w:r>
      <w:r>
        <w:t>) T</w:t>
      </w:r>
      <w:r w:rsidRPr="002061AA">
        <w:t xml:space="preserve">he person </w:t>
      </w:r>
      <w:r w:rsidRPr="002061AA">
        <w:rPr>
          <w:u w:val="single"/>
        </w:rPr>
        <w:t>who made the public oral statement</w:t>
      </w:r>
      <w:r w:rsidRPr="002061AA">
        <w:t>,</w:t>
      </w:r>
    </w:p>
    <w:p w:rsidR="002061AA" w:rsidRPr="002061AA" w:rsidRDefault="002061AA" w:rsidP="00FF0B61">
      <w:pPr>
        <w:pStyle w:val="ListParagraph"/>
        <w:numPr>
          <w:ilvl w:val="0"/>
          <w:numId w:val="150"/>
        </w:numPr>
        <w:rPr>
          <w:b/>
        </w:rPr>
      </w:pPr>
      <w:r w:rsidRPr="002061AA">
        <w:rPr>
          <w:b/>
        </w:rPr>
        <w:t xml:space="preserve">(c) </w:t>
      </w:r>
      <w:r>
        <w:t xml:space="preserve">Each </w:t>
      </w:r>
      <w:r w:rsidRPr="00375A4B">
        <w:rPr>
          <w:b/>
          <w:i/>
        </w:rPr>
        <w:t>DIR and OFR of the responsible issuer</w:t>
      </w:r>
      <w:r w:rsidRPr="002061AA">
        <w:t xml:space="preserve"> who </w:t>
      </w:r>
      <w:r w:rsidRPr="00375A4B">
        <w:rPr>
          <w:u w:val="single"/>
        </w:rPr>
        <w:t>authorized, permitted or acquiesced</w:t>
      </w:r>
      <w:r w:rsidRPr="002061AA">
        <w:t xml:space="preserve"> in the making of the public oral statement,</w:t>
      </w:r>
    </w:p>
    <w:p w:rsidR="002061AA" w:rsidRPr="002061AA" w:rsidRDefault="002061AA" w:rsidP="00FF0B61">
      <w:pPr>
        <w:pStyle w:val="ListParagraph"/>
        <w:numPr>
          <w:ilvl w:val="0"/>
          <w:numId w:val="150"/>
        </w:numPr>
      </w:pPr>
      <w:r w:rsidRPr="002061AA">
        <w:rPr>
          <w:b/>
        </w:rPr>
        <w:t xml:space="preserve">(d) </w:t>
      </w:r>
      <w:r w:rsidRPr="002061AA">
        <w:t xml:space="preserve">each influential person, and each </w:t>
      </w:r>
      <w:r>
        <w:t>DIR and OFR</w:t>
      </w:r>
      <w:r w:rsidRPr="002061AA">
        <w:t xml:space="preserve"> of the influential person, who knowingly influenced</w:t>
      </w:r>
      <w:r w:rsidR="00375A4B">
        <w:t xml:space="preserve"> (vague)</w:t>
      </w:r>
    </w:p>
    <w:p w:rsidR="002061AA" w:rsidRPr="002061AA" w:rsidRDefault="002061AA" w:rsidP="00FF0B61">
      <w:pPr>
        <w:pStyle w:val="ListParagraph"/>
        <w:numPr>
          <w:ilvl w:val="1"/>
          <w:numId w:val="150"/>
        </w:numPr>
      </w:pPr>
      <w:r w:rsidRPr="002061AA">
        <w:rPr>
          <w:b/>
        </w:rPr>
        <w:lastRenderedPageBreak/>
        <w:t>(i</w:t>
      </w:r>
      <w:r w:rsidRPr="002061AA">
        <w:t>) the person who made the public oral statement to make the public oral statement, or</w:t>
      </w:r>
    </w:p>
    <w:p w:rsidR="002061AA" w:rsidRPr="00A533EA" w:rsidRDefault="002061AA" w:rsidP="00FF0B61">
      <w:pPr>
        <w:pStyle w:val="ListParagraph"/>
        <w:numPr>
          <w:ilvl w:val="1"/>
          <w:numId w:val="150"/>
        </w:numPr>
        <w:rPr>
          <w:b/>
        </w:rPr>
      </w:pPr>
      <w:r w:rsidRPr="002061AA">
        <w:rPr>
          <w:b/>
        </w:rPr>
        <w:t xml:space="preserve">(ii) </w:t>
      </w:r>
      <w:r w:rsidRPr="002061AA">
        <w:t xml:space="preserve">a </w:t>
      </w:r>
      <w:r w:rsidR="00324B90">
        <w:t xml:space="preserve">DIR or OFR </w:t>
      </w:r>
      <w:r w:rsidRPr="002061AA">
        <w:t>of the responsible issuer to authorize, permit or acquiesce in the making o</w:t>
      </w:r>
      <w:r w:rsidR="00774F24">
        <w:t xml:space="preserve">f the public oral statement, </w:t>
      </w:r>
    </w:p>
    <w:p w:rsidR="00A533EA" w:rsidRPr="00A533EA" w:rsidRDefault="00A533EA" w:rsidP="00FF0B61">
      <w:pPr>
        <w:pStyle w:val="ListParagraph"/>
        <w:numPr>
          <w:ilvl w:val="0"/>
          <w:numId w:val="150"/>
        </w:numPr>
        <w:rPr>
          <w:b/>
        </w:rPr>
      </w:pPr>
      <w:r w:rsidRPr="00A533EA">
        <w:rPr>
          <w:b/>
        </w:rPr>
        <w:t>(e) each expert where</w:t>
      </w:r>
    </w:p>
    <w:p w:rsidR="00A533EA" w:rsidRPr="00A533EA" w:rsidRDefault="00A533EA" w:rsidP="00FF0B61">
      <w:pPr>
        <w:pStyle w:val="ListParagraph"/>
        <w:numPr>
          <w:ilvl w:val="1"/>
          <w:numId w:val="150"/>
        </w:numPr>
      </w:pPr>
      <w:r w:rsidRPr="00A533EA">
        <w:rPr>
          <w:b/>
        </w:rPr>
        <w:t xml:space="preserve">(i) </w:t>
      </w:r>
      <w:r w:rsidRPr="00A533EA">
        <w:t>the misrepresentation is also contained in a report, statement or opinion made by the expert,</w:t>
      </w:r>
    </w:p>
    <w:p w:rsidR="00A533EA" w:rsidRPr="00A533EA" w:rsidRDefault="00A533EA" w:rsidP="00FF0B61">
      <w:pPr>
        <w:pStyle w:val="ListParagraph"/>
        <w:numPr>
          <w:ilvl w:val="1"/>
          <w:numId w:val="150"/>
        </w:numPr>
      </w:pPr>
      <w:r w:rsidRPr="00A533EA">
        <w:rPr>
          <w:b/>
        </w:rPr>
        <w:t>(ii)</w:t>
      </w:r>
      <w:r w:rsidRPr="00A533EA">
        <w:t xml:space="preserve"> the person making the public oral statement includes, summarizes or quotes from the report, statement or opinion of the expert, and</w:t>
      </w:r>
    </w:p>
    <w:p w:rsidR="00A533EA" w:rsidRPr="00A533EA" w:rsidRDefault="00A533EA" w:rsidP="00FF0B61">
      <w:pPr>
        <w:pStyle w:val="ListParagraph"/>
        <w:numPr>
          <w:ilvl w:val="1"/>
          <w:numId w:val="150"/>
        </w:numPr>
      </w:pPr>
      <w:r w:rsidRPr="00A533EA">
        <w:rPr>
          <w:b/>
        </w:rPr>
        <w:t>(iii)</w:t>
      </w:r>
      <w:r w:rsidRPr="00A533EA">
        <w:t xml:space="preserve"> if the public oral statement was made by a person other than the expert, the expert consented in writing to the use of the report, statement or opinion in the public oral statement.</w:t>
      </w:r>
    </w:p>
    <w:p w:rsidR="00627AAC" w:rsidRDefault="00627AAC" w:rsidP="00FF0B61">
      <w:pPr>
        <w:spacing w:after="0" w:line="240" w:lineRule="auto"/>
        <w:rPr>
          <w:rFonts w:eastAsia="Times New Roman" w:cs="Times New Roman"/>
          <w:lang w:eastAsia="en-CA"/>
        </w:rPr>
      </w:pPr>
      <w:r w:rsidRPr="00F4172F">
        <w:rPr>
          <w:b/>
          <w:u w:val="single"/>
        </w:rPr>
        <w:t>[3] Influential Person Document/Oral Misrep (</w:t>
      </w:r>
      <w:r w:rsidRPr="00F4172F">
        <w:rPr>
          <w:b/>
          <w:color w:val="C45911" w:themeColor="accent2" w:themeShade="BF"/>
          <w:u w:val="single"/>
        </w:rPr>
        <w:t>140.3(3)</w:t>
      </w:r>
      <w:r w:rsidRPr="00F4172F">
        <w:rPr>
          <w:b/>
          <w:u w:val="single"/>
        </w:rPr>
        <w:t>):</w:t>
      </w:r>
      <w:r w:rsidRPr="00F9080F">
        <w:rPr>
          <w:b/>
        </w:rPr>
        <w:t xml:space="preserve"> </w:t>
      </w:r>
      <w:r w:rsidRPr="00F9080F">
        <w:rPr>
          <w:rFonts w:eastAsia="Times New Roman" w:cs="Times New Roman"/>
          <w:lang w:eastAsia="en-CA"/>
        </w:rPr>
        <w:t xml:space="preserve">Liability arises when: </w:t>
      </w:r>
      <w:r w:rsidRPr="00F9080F">
        <w:rPr>
          <w:rFonts w:eastAsia="Times New Roman" w:cs="Times New Roman"/>
          <w:b/>
          <w:lang w:eastAsia="en-CA"/>
        </w:rPr>
        <w:t>1)</w:t>
      </w:r>
      <w:r w:rsidRPr="00F9080F">
        <w:rPr>
          <w:rFonts w:eastAsia="Times New Roman" w:cs="Times New Roman"/>
          <w:lang w:eastAsia="en-CA"/>
        </w:rPr>
        <w:t xml:space="preserve"> </w:t>
      </w:r>
      <w:r w:rsidRPr="00F9080F">
        <w:rPr>
          <w:rFonts w:eastAsia="Times New Roman" w:cs="Times New Roman"/>
          <w:b/>
          <w:lang w:eastAsia="en-CA"/>
        </w:rPr>
        <w:t>An influential person</w:t>
      </w:r>
      <w:r w:rsidRPr="00F9080F">
        <w:rPr>
          <w:rFonts w:eastAsia="Times New Roman" w:cs="Times New Roman"/>
          <w:lang w:eastAsia="en-CA"/>
        </w:rPr>
        <w:t xml:space="preserve">, or </w:t>
      </w:r>
      <w:r w:rsidRPr="00F9080F">
        <w:rPr>
          <w:rFonts w:eastAsia="Times New Roman" w:cs="Times New Roman"/>
          <w:b/>
          <w:lang w:eastAsia="en-CA"/>
        </w:rPr>
        <w:t>person with actual, implied or apparent authority</w:t>
      </w:r>
      <w:r w:rsidRPr="00F9080F">
        <w:rPr>
          <w:rFonts w:eastAsia="Times New Roman" w:cs="Times New Roman"/>
          <w:lang w:eastAsia="en-CA"/>
        </w:rPr>
        <w:t xml:space="preserve"> to act or speak on behalf of the influential person</w:t>
      </w:r>
      <w:r w:rsidR="00F9080F">
        <w:rPr>
          <w:rFonts w:eastAsia="Times New Roman" w:cs="Times New Roman"/>
          <w:b/>
          <w:lang w:eastAsia="en-CA"/>
        </w:rPr>
        <w:t>; 2)</w:t>
      </w:r>
      <w:r w:rsidRPr="00F9080F">
        <w:rPr>
          <w:rFonts w:eastAsia="Times New Roman" w:cs="Times New Roman"/>
          <w:lang w:eastAsia="en-CA"/>
        </w:rPr>
        <w:t xml:space="preserve"> </w:t>
      </w:r>
      <w:r w:rsidRPr="00F9080F">
        <w:rPr>
          <w:rFonts w:eastAsia="Times New Roman" w:cs="Times New Roman"/>
          <w:b/>
          <w:lang w:eastAsia="en-CA"/>
        </w:rPr>
        <w:t>Releases a document</w:t>
      </w:r>
      <w:r w:rsidRPr="00F9080F">
        <w:rPr>
          <w:rFonts w:eastAsia="Times New Roman" w:cs="Times New Roman"/>
          <w:lang w:eastAsia="en-CA"/>
        </w:rPr>
        <w:t xml:space="preserve"> that relates to a responsible issuer and contains a misrepresentation</w:t>
      </w:r>
      <w:r w:rsidR="00474A74">
        <w:rPr>
          <w:rFonts w:eastAsia="Times New Roman" w:cs="Times New Roman"/>
          <w:lang w:eastAsia="en-CA"/>
        </w:rPr>
        <w:t xml:space="preserve"> </w:t>
      </w:r>
      <w:r w:rsidR="00F9080F" w:rsidRPr="00474A74">
        <w:rPr>
          <w:rFonts w:eastAsia="Times New Roman" w:cs="Times New Roman"/>
          <w:b/>
          <w:u w:val="single"/>
          <w:lang w:eastAsia="en-CA"/>
        </w:rPr>
        <w:t>OR</w:t>
      </w:r>
      <w:r w:rsidR="00F9080F">
        <w:rPr>
          <w:rFonts w:eastAsia="Times New Roman" w:cs="Times New Roman"/>
          <w:b/>
          <w:lang w:eastAsia="en-CA"/>
        </w:rPr>
        <w:t xml:space="preserve"> </w:t>
      </w:r>
      <w:r w:rsidRPr="00F9080F">
        <w:rPr>
          <w:rFonts w:eastAsia="Times New Roman" w:cs="Times New Roman"/>
          <w:b/>
          <w:lang w:eastAsia="en-CA"/>
        </w:rPr>
        <w:t>Makes a public oral statement</w:t>
      </w:r>
      <w:r w:rsidRPr="00F9080F">
        <w:rPr>
          <w:rFonts w:eastAsia="Times New Roman" w:cs="Times New Roman"/>
          <w:lang w:eastAsia="en-CA"/>
        </w:rPr>
        <w:t xml:space="preserve"> that relates to a responsible issuer and contains a misrepresentation</w:t>
      </w:r>
      <w:r w:rsidR="00474A74">
        <w:rPr>
          <w:rFonts w:eastAsia="Times New Roman" w:cs="Times New Roman"/>
          <w:lang w:eastAsia="en-CA"/>
        </w:rPr>
        <w:t>.</w:t>
      </w:r>
    </w:p>
    <w:p w:rsidR="00B54A55" w:rsidRDefault="00B54A55" w:rsidP="00FF0B61">
      <w:pPr>
        <w:spacing w:after="0" w:line="240" w:lineRule="auto"/>
        <w:rPr>
          <w:rFonts w:eastAsia="Times New Roman" w:cs="Times New Roman"/>
          <w:b/>
          <w:u w:val="single"/>
          <w:lang w:eastAsia="en-CA"/>
        </w:rPr>
      </w:pPr>
    </w:p>
    <w:p w:rsidR="00FB4CC7" w:rsidRPr="00B54A55" w:rsidRDefault="00FB4CC7" w:rsidP="00FF0B61">
      <w:pPr>
        <w:spacing w:after="0" w:line="240" w:lineRule="auto"/>
        <w:rPr>
          <w:rFonts w:eastAsia="Times New Roman" w:cs="Times New Roman"/>
          <w:lang w:eastAsia="en-CA"/>
        </w:rPr>
      </w:pPr>
      <w:r w:rsidRPr="00B54A55">
        <w:rPr>
          <w:rFonts w:eastAsia="Times New Roman" w:cs="Times New Roman"/>
          <w:b/>
          <w:lang w:eastAsia="en-CA"/>
        </w:rPr>
        <w:t>Who is Liable:</w:t>
      </w:r>
      <w:r w:rsidR="00036F91" w:rsidRPr="00B54A55">
        <w:rPr>
          <w:rFonts w:eastAsia="Times New Roman" w:cs="Times New Roman"/>
          <w:lang w:eastAsia="en-CA"/>
        </w:rPr>
        <w:t xml:space="preserve"> </w:t>
      </w:r>
    </w:p>
    <w:p w:rsidR="00FB4CC7" w:rsidRPr="00FB4CC7" w:rsidRDefault="00FB4CC7" w:rsidP="00FF0B61">
      <w:pPr>
        <w:pStyle w:val="ListParagraph"/>
        <w:numPr>
          <w:ilvl w:val="0"/>
          <w:numId w:val="151"/>
        </w:numPr>
        <w:spacing w:after="0"/>
        <w:rPr>
          <w:rFonts w:eastAsia="Times New Roman" w:cs="Times New Roman"/>
          <w:lang w:eastAsia="en-CA"/>
        </w:rPr>
      </w:pPr>
      <w:r w:rsidRPr="00FB4CC7">
        <w:rPr>
          <w:rFonts w:eastAsia="Times New Roman" w:cs="Times New Roman"/>
          <w:b/>
          <w:lang w:eastAsia="en-CA"/>
        </w:rPr>
        <w:t>(a)</w:t>
      </w:r>
      <w:r>
        <w:rPr>
          <w:rFonts w:eastAsia="Times New Roman" w:cs="Times New Roman"/>
          <w:lang w:eastAsia="en-CA"/>
        </w:rPr>
        <w:t xml:space="preserve"> the </w:t>
      </w:r>
      <w:r w:rsidRPr="00F4172F">
        <w:rPr>
          <w:rFonts w:eastAsia="Times New Roman" w:cs="Times New Roman"/>
          <w:b/>
          <w:i/>
          <w:lang w:eastAsia="en-CA"/>
        </w:rPr>
        <w:t>responsible issuer</w:t>
      </w:r>
      <w:r w:rsidR="00F4172F">
        <w:rPr>
          <w:rFonts w:eastAsia="Times New Roman" w:cs="Times New Roman"/>
          <w:lang w:eastAsia="en-CA"/>
        </w:rPr>
        <w:t xml:space="preserve"> </w:t>
      </w:r>
      <w:r w:rsidR="00F4172F">
        <w:rPr>
          <w:rFonts w:eastAsia="Times New Roman" w:cs="Times New Roman"/>
          <w:b/>
          <w:lang w:eastAsia="en-CA"/>
        </w:rPr>
        <w:t>IF</w:t>
      </w:r>
      <w:r>
        <w:rPr>
          <w:rFonts w:eastAsia="Times New Roman" w:cs="Times New Roman"/>
          <w:lang w:eastAsia="en-CA"/>
        </w:rPr>
        <w:t xml:space="preserve"> a DIR or OFR of the responsible issuer,</w:t>
      </w:r>
      <w:r w:rsidRPr="00FB4CC7">
        <w:rPr>
          <w:rFonts w:eastAsia="Times New Roman" w:cs="Times New Roman"/>
          <w:lang w:eastAsia="en-CA"/>
        </w:rPr>
        <w:t xml:space="preserve"> </w:t>
      </w:r>
      <w:r>
        <w:rPr>
          <w:rFonts w:eastAsia="Times New Roman" w:cs="Times New Roman"/>
          <w:lang w:eastAsia="en-CA"/>
        </w:rPr>
        <w:t>“</w:t>
      </w:r>
      <w:r w:rsidRPr="00FB4CC7">
        <w:rPr>
          <w:rFonts w:eastAsia="Times New Roman" w:cs="Times New Roman"/>
          <w:lang w:eastAsia="en-CA"/>
        </w:rPr>
        <w:t>authorized, permitted or acquiesced</w:t>
      </w:r>
      <w:r>
        <w:rPr>
          <w:rFonts w:eastAsia="Times New Roman" w:cs="Times New Roman"/>
          <w:lang w:eastAsia="en-CA"/>
        </w:rPr>
        <w:t>”</w:t>
      </w:r>
      <w:r w:rsidRPr="00FB4CC7">
        <w:rPr>
          <w:rFonts w:eastAsia="Times New Roman" w:cs="Times New Roman"/>
          <w:lang w:eastAsia="en-CA"/>
        </w:rPr>
        <w:t xml:space="preserve"> in the release of the document or the making of the public oral statement,</w:t>
      </w:r>
    </w:p>
    <w:p w:rsidR="00FB4CC7" w:rsidRPr="00FB4CC7" w:rsidRDefault="00FB4CC7" w:rsidP="00FF0B61">
      <w:pPr>
        <w:pStyle w:val="ListParagraph"/>
        <w:numPr>
          <w:ilvl w:val="0"/>
          <w:numId w:val="151"/>
        </w:numPr>
        <w:spacing w:after="0"/>
        <w:rPr>
          <w:rFonts w:eastAsia="Times New Roman" w:cs="Times New Roman"/>
          <w:lang w:eastAsia="en-CA"/>
        </w:rPr>
      </w:pPr>
      <w:r w:rsidRPr="00FB4CC7">
        <w:rPr>
          <w:rFonts w:eastAsia="Times New Roman" w:cs="Times New Roman"/>
          <w:b/>
          <w:lang w:eastAsia="en-CA"/>
        </w:rPr>
        <w:t>(b)</w:t>
      </w:r>
      <w:r w:rsidRPr="00FB4CC7">
        <w:rPr>
          <w:rFonts w:eastAsia="Times New Roman" w:cs="Times New Roman"/>
          <w:lang w:eastAsia="en-CA"/>
        </w:rPr>
        <w:t xml:space="preserve"> the </w:t>
      </w:r>
      <w:r w:rsidRPr="00F4172F">
        <w:rPr>
          <w:rFonts w:eastAsia="Times New Roman" w:cs="Times New Roman"/>
          <w:b/>
          <w:i/>
          <w:lang w:eastAsia="en-CA"/>
        </w:rPr>
        <w:t>person who made the public oral statement</w:t>
      </w:r>
      <w:r w:rsidR="006B7860">
        <w:rPr>
          <w:rFonts w:eastAsia="Times New Roman" w:cs="Times New Roman"/>
          <w:lang w:eastAsia="en-CA"/>
        </w:rPr>
        <w:t xml:space="preserve"> </w:t>
      </w:r>
      <w:r w:rsidR="006B7860" w:rsidRPr="006B7860">
        <w:rPr>
          <w:rFonts w:eastAsia="Times New Roman" w:cs="Times New Roman"/>
          <w:b/>
          <w:lang w:eastAsia="en-CA"/>
        </w:rPr>
        <w:t>(talker);</w:t>
      </w:r>
    </w:p>
    <w:p w:rsidR="00FB4CC7" w:rsidRPr="00FB4CC7" w:rsidRDefault="00FB4CC7" w:rsidP="00FF0B61">
      <w:pPr>
        <w:pStyle w:val="ListParagraph"/>
        <w:numPr>
          <w:ilvl w:val="0"/>
          <w:numId w:val="151"/>
        </w:numPr>
        <w:spacing w:after="0"/>
        <w:rPr>
          <w:rFonts w:eastAsia="Times New Roman" w:cs="Times New Roman"/>
          <w:lang w:eastAsia="en-CA"/>
        </w:rPr>
      </w:pPr>
      <w:r w:rsidRPr="00FB4CC7">
        <w:rPr>
          <w:rFonts w:eastAsia="Times New Roman" w:cs="Times New Roman"/>
          <w:b/>
          <w:lang w:eastAsia="en-CA"/>
        </w:rPr>
        <w:t>(c)</w:t>
      </w:r>
      <w:r w:rsidRPr="00FB4CC7">
        <w:rPr>
          <w:rFonts w:eastAsia="Times New Roman" w:cs="Times New Roman"/>
          <w:lang w:eastAsia="en-CA"/>
        </w:rPr>
        <w:t xml:space="preserve"> each </w:t>
      </w:r>
      <w:r w:rsidRPr="00F4172F">
        <w:rPr>
          <w:rFonts w:eastAsia="Times New Roman" w:cs="Times New Roman"/>
          <w:u w:val="single"/>
          <w:lang w:eastAsia="en-CA"/>
        </w:rPr>
        <w:t>DIR and OFR of the responsible issuer</w:t>
      </w:r>
      <w:r w:rsidRPr="00FB4CC7">
        <w:rPr>
          <w:rFonts w:eastAsia="Times New Roman" w:cs="Times New Roman"/>
          <w:lang w:eastAsia="en-CA"/>
        </w:rPr>
        <w:t xml:space="preserve"> who authorized, permitted or acquiesced in the release of the document or the making of the public oral statement,</w:t>
      </w:r>
    </w:p>
    <w:p w:rsidR="00FB4CC7" w:rsidRPr="00FB4CC7" w:rsidRDefault="00FB4CC7" w:rsidP="00FF0B61">
      <w:pPr>
        <w:pStyle w:val="ListParagraph"/>
        <w:numPr>
          <w:ilvl w:val="0"/>
          <w:numId w:val="151"/>
        </w:numPr>
        <w:spacing w:after="0"/>
        <w:rPr>
          <w:rFonts w:eastAsia="Times New Roman" w:cs="Times New Roman"/>
          <w:lang w:eastAsia="en-CA"/>
        </w:rPr>
      </w:pPr>
      <w:r w:rsidRPr="00FB4CC7">
        <w:rPr>
          <w:rFonts w:eastAsia="Times New Roman" w:cs="Times New Roman"/>
          <w:b/>
          <w:lang w:eastAsia="en-CA"/>
        </w:rPr>
        <w:t>(d)</w:t>
      </w:r>
      <w:r w:rsidRPr="00FB4CC7">
        <w:rPr>
          <w:rFonts w:eastAsia="Times New Roman" w:cs="Times New Roman"/>
          <w:lang w:eastAsia="en-CA"/>
        </w:rPr>
        <w:t xml:space="preserve"> </w:t>
      </w:r>
      <w:r w:rsidRPr="00F4172F">
        <w:rPr>
          <w:rFonts w:eastAsia="Times New Roman" w:cs="Times New Roman"/>
          <w:b/>
          <w:i/>
          <w:lang w:eastAsia="en-CA"/>
        </w:rPr>
        <w:t>the influential person,</w:t>
      </w:r>
    </w:p>
    <w:p w:rsidR="00FB4CC7" w:rsidRPr="00FB4CC7" w:rsidRDefault="00FB4CC7" w:rsidP="00FF0B61">
      <w:pPr>
        <w:pStyle w:val="ListParagraph"/>
        <w:numPr>
          <w:ilvl w:val="0"/>
          <w:numId w:val="151"/>
        </w:numPr>
        <w:spacing w:after="0"/>
        <w:rPr>
          <w:rFonts w:eastAsia="Times New Roman" w:cs="Times New Roman"/>
          <w:lang w:eastAsia="en-CA"/>
        </w:rPr>
      </w:pPr>
      <w:r w:rsidRPr="00FB4CC7">
        <w:rPr>
          <w:rFonts w:eastAsia="Times New Roman" w:cs="Times New Roman"/>
          <w:b/>
          <w:lang w:eastAsia="en-CA"/>
        </w:rPr>
        <w:t>(e)</w:t>
      </w:r>
      <w:r w:rsidRPr="00FB4CC7">
        <w:rPr>
          <w:rFonts w:eastAsia="Times New Roman" w:cs="Times New Roman"/>
          <w:lang w:eastAsia="en-CA"/>
        </w:rPr>
        <w:t xml:space="preserve"> </w:t>
      </w:r>
      <w:r w:rsidRPr="00441059">
        <w:rPr>
          <w:rFonts w:eastAsia="Times New Roman" w:cs="Times New Roman"/>
          <w:b/>
          <w:i/>
          <w:lang w:eastAsia="en-CA"/>
        </w:rPr>
        <w:t>each DIR and OFR of the influential person</w:t>
      </w:r>
      <w:r w:rsidRPr="00FB4CC7">
        <w:rPr>
          <w:rFonts w:eastAsia="Times New Roman" w:cs="Times New Roman"/>
          <w:lang w:eastAsia="en-CA"/>
        </w:rPr>
        <w:t xml:space="preserve"> </w:t>
      </w:r>
      <w:r w:rsidRPr="00441059">
        <w:rPr>
          <w:rFonts w:eastAsia="Times New Roman" w:cs="Times New Roman"/>
          <w:u w:val="single"/>
          <w:lang w:eastAsia="en-CA"/>
        </w:rPr>
        <w:t>who authorized, permitted or acquiesced</w:t>
      </w:r>
      <w:r w:rsidRPr="00FB4CC7">
        <w:rPr>
          <w:rFonts w:eastAsia="Times New Roman" w:cs="Times New Roman"/>
          <w:lang w:eastAsia="en-CA"/>
        </w:rPr>
        <w:t xml:space="preserve"> in the release of the document or the making of the public oral statement, and</w:t>
      </w:r>
    </w:p>
    <w:p w:rsidR="00FB4CC7" w:rsidRPr="00FB4CC7" w:rsidRDefault="00FB4CC7" w:rsidP="00FF0B61">
      <w:pPr>
        <w:pStyle w:val="ListParagraph"/>
        <w:numPr>
          <w:ilvl w:val="0"/>
          <w:numId w:val="151"/>
        </w:numPr>
        <w:spacing w:after="0"/>
        <w:rPr>
          <w:rFonts w:eastAsia="Times New Roman" w:cs="Times New Roman"/>
          <w:lang w:eastAsia="en-CA"/>
        </w:rPr>
      </w:pPr>
      <w:r w:rsidRPr="00FB4CC7">
        <w:rPr>
          <w:rFonts w:eastAsia="Times New Roman" w:cs="Times New Roman"/>
          <w:b/>
          <w:lang w:eastAsia="en-CA"/>
        </w:rPr>
        <w:t>(f)</w:t>
      </w:r>
      <w:r w:rsidRPr="00FB4CC7">
        <w:rPr>
          <w:rFonts w:eastAsia="Times New Roman" w:cs="Times New Roman"/>
          <w:lang w:eastAsia="en-CA"/>
        </w:rPr>
        <w:t xml:space="preserve"> </w:t>
      </w:r>
      <w:r w:rsidRPr="00441059">
        <w:rPr>
          <w:rFonts w:eastAsia="Times New Roman" w:cs="Times New Roman"/>
          <w:b/>
          <w:lang w:eastAsia="en-CA"/>
        </w:rPr>
        <w:t>each expert where</w:t>
      </w:r>
    </w:p>
    <w:p w:rsidR="00FB4CC7" w:rsidRPr="00FB4CC7" w:rsidRDefault="00FB4CC7" w:rsidP="00FF0B61">
      <w:pPr>
        <w:pStyle w:val="ListParagraph"/>
        <w:numPr>
          <w:ilvl w:val="1"/>
          <w:numId w:val="151"/>
        </w:numPr>
        <w:spacing w:after="0"/>
        <w:rPr>
          <w:rFonts w:eastAsia="Times New Roman" w:cs="Times New Roman"/>
          <w:lang w:eastAsia="en-CA"/>
        </w:rPr>
      </w:pPr>
      <w:r w:rsidRPr="00FB4CC7">
        <w:rPr>
          <w:rFonts w:eastAsia="Times New Roman" w:cs="Times New Roman"/>
          <w:lang w:eastAsia="en-CA"/>
        </w:rPr>
        <w:t>(i) the misrepresentation is also contained in a report, statement or opinion made by the expert,</w:t>
      </w:r>
    </w:p>
    <w:p w:rsidR="00FB4CC7" w:rsidRPr="00FB4CC7" w:rsidRDefault="00FB4CC7" w:rsidP="00FF0B61">
      <w:pPr>
        <w:pStyle w:val="ListParagraph"/>
        <w:numPr>
          <w:ilvl w:val="1"/>
          <w:numId w:val="151"/>
        </w:numPr>
        <w:spacing w:after="0"/>
        <w:rPr>
          <w:rFonts w:eastAsia="Times New Roman" w:cs="Times New Roman"/>
          <w:lang w:eastAsia="en-CA"/>
        </w:rPr>
      </w:pPr>
      <w:r w:rsidRPr="00FB4CC7">
        <w:rPr>
          <w:rFonts w:eastAsia="Times New Roman" w:cs="Times New Roman"/>
          <w:lang w:eastAsia="en-CA"/>
        </w:rPr>
        <w:t>(ii) the document or public oral statement includes, summarizes or quotes from the report, statement or opinion of the expert, and</w:t>
      </w:r>
    </w:p>
    <w:p w:rsidR="00FB4CC7" w:rsidRDefault="00FB4CC7" w:rsidP="00FF0B61">
      <w:pPr>
        <w:pStyle w:val="ListParagraph"/>
        <w:numPr>
          <w:ilvl w:val="1"/>
          <w:numId w:val="151"/>
        </w:numPr>
        <w:spacing w:after="0"/>
        <w:rPr>
          <w:rFonts w:eastAsia="Times New Roman" w:cs="Times New Roman"/>
          <w:lang w:eastAsia="en-CA"/>
        </w:rPr>
      </w:pPr>
      <w:r w:rsidRPr="00FB4CC7">
        <w:rPr>
          <w:rFonts w:eastAsia="Times New Roman" w:cs="Times New Roman"/>
          <w:lang w:eastAsia="en-CA"/>
        </w:rPr>
        <w:t>(iii) if the document was released or the public oral statement was made by a person other than the expert, the expert consented in writing to the use of the report, statement or opinion in the document or public oral statement.</w:t>
      </w:r>
    </w:p>
    <w:p w:rsidR="00124E47" w:rsidRDefault="00124E47" w:rsidP="00FF0B61">
      <w:pPr>
        <w:pStyle w:val="ListParagraph"/>
        <w:spacing w:after="0"/>
        <w:ind w:left="1440"/>
        <w:rPr>
          <w:rFonts w:eastAsia="Times New Roman" w:cs="Times New Roman"/>
          <w:lang w:eastAsia="en-CA"/>
        </w:rPr>
      </w:pPr>
    </w:p>
    <w:tbl>
      <w:tblPr>
        <w:tblStyle w:val="TableGrid"/>
        <w:tblW w:w="0" w:type="auto"/>
        <w:tblLook w:val="04A0" w:firstRow="1" w:lastRow="0" w:firstColumn="1" w:lastColumn="0" w:noHBand="0" w:noVBand="1"/>
      </w:tblPr>
      <w:tblGrid>
        <w:gridCol w:w="10302"/>
      </w:tblGrid>
      <w:tr w:rsidR="00124E47" w:rsidTr="00124E47">
        <w:tc>
          <w:tcPr>
            <w:tcW w:w="10302" w:type="dxa"/>
            <w:shd w:val="clear" w:color="auto" w:fill="F2F2F2" w:themeFill="background1" w:themeFillShade="F2"/>
          </w:tcPr>
          <w:p w:rsidR="00124E47" w:rsidRPr="00124E47" w:rsidRDefault="00124E47" w:rsidP="00FF0B61">
            <w:r w:rsidRPr="00124E47">
              <w:rPr>
                <w:b/>
                <w:color w:val="C45911" w:themeColor="accent2" w:themeShade="BF"/>
              </w:rPr>
              <w:t xml:space="preserve">140.3(7) </w:t>
            </w:r>
            <w:r w:rsidRPr="00124E47">
              <w:rPr>
                <w:b/>
              </w:rPr>
              <w:t xml:space="preserve">– </w:t>
            </w:r>
            <w:r>
              <w:t>In an action under</w:t>
            </w:r>
            <w:r w:rsidRPr="002B5B25">
              <w:t xml:space="preserve"> (2) or (3), </w:t>
            </w:r>
            <w:r w:rsidRPr="00124E47">
              <w:rPr>
                <w:b/>
              </w:rPr>
              <w:t>if the person who made the public oral statement had apparent authority</w:t>
            </w:r>
            <w:r w:rsidRPr="002B5B25">
              <w:t xml:space="preserve">, </w:t>
            </w:r>
            <w:r w:rsidRPr="00124E47">
              <w:rPr>
                <w:b/>
              </w:rPr>
              <w:t>but not implied or actual authority, to speak on behalf of the issuer</w:t>
            </w:r>
            <w:r w:rsidRPr="002B5B25">
              <w:t>, no other person is liable with respect to any of the responsible issuer's securities that were acquired or disposed of before that other person became, or should reasonably have become, aware of the misrepresentation.</w:t>
            </w:r>
          </w:p>
        </w:tc>
      </w:tr>
    </w:tbl>
    <w:p w:rsidR="00124E47" w:rsidRDefault="00124E47" w:rsidP="00FF0B61">
      <w:pPr>
        <w:spacing w:after="0" w:line="240" w:lineRule="auto"/>
        <w:rPr>
          <w:rFonts w:eastAsia="Times New Roman" w:cs="Times New Roman"/>
          <w:lang w:eastAsia="en-CA"/>
        </w:rPr>
      </w:pPr>
    </w:p>
    <w:p w:rsidR="00F62420" w:rsidRPr="000B6053" w:rsidRDefault="00627AAC" w:rsidP="00FF0B61">
      <w:pPr>
        <w:spacing w:after="0" w:line="240" w:lineRule="auto"/>
      </w:pPr>
      <w:r w:rsidRPr="00F4172F">
        <w:rPr>
          <w:b/>
          <w:u w:val="single"/>
        </w:rPr>
        <w:t xml:space="preserve">[4] </w:t>
      </w:r>
      <w:r w:rsidR="00E87E52" w:rsidRPr="00F4172F">
        <w:rPr>
          <w:b/>
          <w:u w:val="single"/>
        </w:rPr>
        <w:t xml:space="preserve">Responsible Issuer Fails to Make Timely Disclosure </w:t>
      </w:r>
      <w:r w:rsidRPr="00F4172F">
        <w:rPr>
          <w:b/>
          <w:u w:val="single"/>
        </w:rPr>
        <w:t>(</w:t>
      </w:r>
      <w:r w:rsidRPr="00F4172F">
        <w:rPr>
          <w:b/>
          <w:color w:val="C45911" w:themeColor="accent2" w:themeShade="BF"/>
          <w:u w:val="single"/>
        </w:rPr>
        <w:t>140.3(4)</w:t>
      </w:r>
      <w:r w:rsidRPr="00F4172F">
        <w:rPr>
          <w:b/>
          <w:u w:val="single"/>
        </w:rPr>
        <w:t>):</w:t>
      </w:r>
      <w:r w:rsidRPr="009D39F2">
        <w:rPr>
          <w:b/>
        </w:rPr>
        <w:t xml:space="preserve"> </w:t>
      </w:r>
      <w:r w:rsidRPr="009D39F2">
        <w:t>Provides right of action where responsible issuer fails to make timely disclosure of</w:t>
      </w:r>
      <w:r w:rsidRPr="00CD35F6">
        <w:rPr>
          <w:b/>
          <w:i/>
        </w:rPr>
        <w:t xml:space="preserve"> a material change </w:t>
      </w:r>
      <w:r w:rsidRPr="009D39F2">
        <w:t>and a person has purchased the issuer’s security between the time of the required disclosure of the change and its actual disclosure</w:t>
      </w:r>
      <w:r w:rsidR="000B6053">
        <w:t xml:space="preserve"> (</w:t>
      </w:r>
      <w:r w:rsidR="000B6053" w:rsidRPr="000B6053">
        <w:rPr>
          <w:b/>
        </w:rPr>
        <w:t>NB:</w:t>
      </w:r>
      <w:r w:rsidR="000B6053">
        <w:t xml:space="preserve"> </w:t>
      </w:r>
      <w:r w:rsidR="000F6803" w:rsidRPr="000B6053">
        <w:rPr>
          <w:b/>
        </w:rPr>
        <w:t xml:space="preserve">Timely disclosure is needed under </w:t>
      </w:r>
      <w:r w:rsidR="000F6803" w:rsidRPr="000B6053">
        <w:rPr>
          <w:b/>
          <w:color w:val="C45911" w:themeColor="accent2" w:themeShade="BF"/>
        </w:rPr>
        <w:t>BCSA 85(b)</w:t>
      </w:r>
      <w:r w:rsidR="000B6053">
        <w:rPr>
          <w:b/>
          <w:color w:val="C45911" w:themeColor="accent2" w:themeShade="BF"/>
        </w:rPr>
        <w:t>)</w:t>
      </w:r>
    </w:p>
    <w:p w:rsidR="00B54A55" w:rsidRDefault="00B54A55" w:rsidP="00FF0B61">
      <w:pPr>
        <w:spacing w:after="0" w:line="240" w:lineRule="auto"/>
        <w:rPr>
          <w:b/>
          <w:u w:val="single"/>
        </w:rPr>
      </w:pPr>
    </w:p>
    <w:p w:rsidR="00A63422" w:rsidRPr="00B54A55" w:rsidRDefault="000B6053" w:rsidP="00FF0B61">
      <w:pPr>
        <w:spacing w:after="0" w:line="240" w:lineRule="auto"/>
        <w:rPr>
          <w:b/>
        </w:rPr>
      </w:pPr>
      <w:r w:rsidRPr="00B54A55">
        <w:rPr>
          <w:b/>
        </w:rPr>
        <w:t>Who is Liable:</w:t>
      </w:r>
    </w:p>
    <w:p w:rsidR="000B6053" w:rsidRPr="000B6053" w:rsidRDefault="000B6053" w:rsidP="00FF0B61">
      <w:pPr>
        <w:pStyle w:val="ListParagraph"/>
        <w:numPr>
          <w:ilvl w:val="0"/>
          <w:numId w:val="152"/>
        </w:numPr>
        <w:spacing w:after="0"/>
      </w:pPr>
      <w:r w:rsidRPr="000B6053">
        <w:rPr>
          <w:b/>
        </w:rPr>
        <w:t>(a)</w:t>
      </w:r>
      <w:r w:rsidRPr="000B6053">
        <w:t xml:space="preserve"> </w:t>
      </w:r>
      <w:r w:rsidRPr="00124E47">
        <w:rPr>
          <w:b/>
        </w:rPr>
        <w:t>the responsible issuer,</w:t>
      </w:r>
    </w:p>
    <w:p w:rsidR="000B6053" w:rsidRPr="000B6053" w:rsidRDefault="000B6053" w:rsidP="00FF0B61">
      <w:pPr>
        <w:pStyle w:val="ListParagraph"/>
        <w:numPr>
          <w:ilvl w:val="0"/>
          <w:numId w:val="152"/>
        </w:numPr>
        <w:spacing w:after="0"/>
      </w:pPr>
      <w:r w:rsidRPr="000B6053">
        <w:rPr>
          <w:b/>
        </w:rPr>
        <w:t>(b)</w:t>
      </w:r>
      <w:r>
        <w:t xml:space="preserve"> </w:t>
      </w:r>
      <w:r w:rsidRPr="00124E47">
        <w:rPr>
          <w:b/>
        </w:rPr>
        <w:t xml:space="preserve">each DIR </w:t>
      </w:r>
      <w:r w:rsidR="000954D4">
        <w:t xml:space="preserve">(Someone on Board of DIRs) </w:t>
      </w:r>
      <w:r w:rsidRPr="00124E47">
        <w:rPr>
          <w:b/>
        </w:rPr>
        <w:t>and OFR</w:t>
      </w:r>
      <w:r w:rsidRPr="000B6053">
        <w:t xml:space="preserve"> </w:t>
      </w:r>
      <w:r w:rsidR="00FF4512">
        <w:t xml:space="preserve">(e.g. CEO, COO, etc) </w:t>
      </w:r>
      <w:r w:rsidRPr="000B6053">
        <w:t xml:space="preserve">of the responsible issuer who </w:t>
      </w:r>
      <w:r w:rsidRPr="00124E47">
        <w:rPr>
          <w:u w:val="single"/>
        </w:rPr>
        <w:t>authorized, permitted or acquiesced</w:t>
      </w:r>
      <w:r w:rsidRPr="000B6053">
        <w:t xml:space="preserve"> in the failure to make timely disclosure, </w:t>
      </w:r>
    </w:p>
    <w:p w:rsidR="000B6053" w:rsidRPr="000B6053" w:rsidRDefault="000B6053" w:rsidP="00FF0B61">
      <w:pPr>
        <w:pStyle w:val="ListParagraph"/>
        <w:numPr>
          <w:ilvl w:val="0"/>
          <w:numId w:val="152"/>
        </w:numPr>
        <w:spacing w:after="0"/>
      </w:pPr>
      <w:r w:rsidRPr="000B6053">
        <w:rPr>
          <w:b/>
        </w:rPr>
        <w:t>(c)</w:t>
      </w:r>
      <w:r w:rsidRPr="000B6053">
        <w:t xml:space="preserve"> each influential person, and each </w:t>
      </w:r>
      <w:r>
        <w:t xml:space="preserve">DIR </w:t>
      </w:r>
      <w:r w:rsidRPr="000B6053">
        <w:t xml:space="preserve">and </w:t>
      </w:r>
      <w:r>
        <w:t>OFR</w:t>
      </w:r>
      <w:r w:rsidRPr="000B6053">
        <w:t xml:space="preserve"> of an influential person, who knowingly influenced</w:t>
      </w:r>
    </w:p>
    <w:p w:rsidR="000B6053" w:rsidRPr="000B6053" w:rsidRDefault="000B6053" w:rsidP="00FF0B61">
      <w:pPr>
        <w:pStyle w:val="ListParagraph"/>
        <w:numPr>
          <w:ilvl w:val="1"/>
          <w:numId w:val="152"/>
        </w:numPr>
        <w:spacing w:after="0"/>
        <w:ind w:left="1276"/>
      </w:pPr>
      <w:r w:rsidRPr="000B6053">
        <w:t>(i) the responsible issuer or any person acting on behalf of the responsible issuer in the failure to make timely disclosure, or</w:t>
      </w:r>
    </w:p>
    <w:p w:rsidR="000B6053" w:rsidRPr="000B6053" w:rsidRDefault="000B6053" w:rsidP="00FF0B61">
      <w:pPr>
        <w:pStyle w:val="ListParagraph"/>
        <w:numPr>
          <w:ilvl w:val="1"/>
          <w:numId w:val="152"/>
        </w:numPr>
        <w:spacing w:after="0"/>
        <w:ind w:left="1276"/>
      </w:pPr>
      <w:r w:rsidRPr="000B6053">
        <w:t xml:space="preserve">(ii) a </w:t>
      </w:r>
      <w:r w:rsidR="008767B5">
        <w:t xml:space="preserve">DIR or OFR </w:t>
      </w:r>
      <w:r w:rsidRPr="000B6053">
        <w:t>of the responsible issuer to authorize, permit or acquiesce in the failure to make timely disclosure.</w:t>
      </w:r>
    </w:p>
    <w:p w:rsidR="000B6053" w:rsidRPr="000B6053" w:rsidRDefault="000B6053" w:rsidP="00FF0B61">
      <w:pPr>
        <w:spacing w:after="0" w:line="240" w:lineRule="auto"/>
        <w:rPr>
          <w:b/>
          <w:u w:val="single"/>
        </w:rPr>
      </w:pPr>
    </w:p>
    <w:p w:rsidR="00020FDC" w:rsidRDefault="00020FDC" w:rsidP="00FF0B61">
      <w:pPr>
        <w:pStyle w:val="Heading3"/>
        <w:spacing w:line="240" w:lineRule="auto"/>
      </w:pPr>
      <w:bookmarkStart w:id="104" w:name="_Toc468980474"/>
      <w:r>
        <w:t>Burden of Proof</w:t>
      </w:r>
      <w:r w:rsidR="000F299F">
        <w:t xml:space="preserve">: </w:t>
      </w:r>
      <w:r w:rsidR="00C801EF">
        <w:t>Which can act as “defenses”</w:t>
      </w:r>
      <w:bookmarkEnd w:id="104"/>
    </w:p>
    <w:tbl>
      <w:tblPr>
        <w:tblStyle w:val="TableGrid"/>
        <w:tblW w:w="0" w:type="auto"/>
        <w:tblLook w:val="04A0" w:firstRow="1" w:lastRow="0" w:firstColumn="1" w:lastColumn="0" w:noHBand="0" w:noVBand="1"/>
      </w:tblPr>
      <w:tblGrid>
        <w:gridCol w:w="5324"/>
        <w:gridCol w:w="5318"/>
      </w:tblGrid>
      <w:tr w:rsidR="00020FDC" w:rsidRPr="006804FE" w:rsidTr="00A01010">
        <w:tc>
          <w:tcPr>
            <w:tcW w:w="5463" w:type="dxa"/>
            <w:shd w:val="clear" w:color="auto" w:fill="DEEAF6" w:themeFill="accent1" w:themeFillTint="33"/>
          </w:tcPr>
          <w:p w:rsidR="00020FDC" w:rsidRPr="00243153" w:rsidRDefault="00020FDC" w:rsidP="00FF0B61">
            <w:pPr>
              <w:pStyle w:val="NoSpacing"/>
              <w:jc w:val="center"/>
              <w:rPr>
                <w:rFonts w:asciiTheme="minorHAnsi" w:hAnsiTheme="minorHAnsi" w:cs="Arial"/>
                <w:b/>
                <w:sz w:val="18"/>
                <w:szCs w:val="21"/>
              </w:rPr>
            </w:pPr>
            <w:r w:rsidRPr="00243153">
              <w:rPr>
                <w:rFonts w:asciiTheme="minorHAnsi" w:hAnsiTheme="minorHAnsi" w:cs="Arial"/>
                <w:b/>
                <w:sz w:val="18"/>
                <w:szCs w:val="21"/>
              </w:rPr>
              <w:t>Core Documents</w:t>
            </w:r>
          </w:p>
        </w:tc>
        <w:tc>
          <w:tcPr>
            <w:tcW w:w="5463" w:type="dxa"/>
            <w:shd w:val="clear" w:color="auto" w:fill="DEEAF6" w:themeFill="accent1" w:themeFillTint="33"/>
          </w:tcPr>
          <w:p w:rsidR="00020FDC" w:rsidRPr="00243153" w:rsidRDefault="00D20ECD" w:rsidP="00FF0B61">
            <w:pPr>
              <w:pStyle w:val="NoSpacing"/>
              <w:jc w:val="center"/>
              <w:rPr>
                <w:rFonts w:asciiTheme="minorHAnsi" w:hAnsiTheme="minorHAnsi" w:cs="Arial"/>
                <w:b/>
                <w:sz w:val="18"/>
                <w:szCs w:val="21"/>
              </w:rPr>
            </w:pPr>
            <w:r>
              <w:rPr>
                <w:rFonts w:asciiTheme="minorHAnsi" w:hAnsiTheme="minorHAnsi" w:cs="Arial"/>
                <w:b/>
                <w:sz w:val="18"/>
                <w:szCs w:val="21"/>
              </w:rPr>
              <w:t>Non-Core Documents +</w:t>
            </w:r>
            <w:r w:rsidR="00020FDC" w:rsidRPr="00243153">
              <w:rPr>
                <w:rFonts w:asciiTheme="minorHAnsi" w:hAnsiTheme="minorHAnsi" w:cs="Arial"/>
                <w:b/>
                <w:sz w:val="18"/>
                <w:szCs w:val="21"/>
              </w:rPr>
              <w:t xml:space="preserve"> Public Oral Statements</w:t>
            </w:r>
          </w:p>
        </w:tc>
      </w:tr>
      <w:tr w:rsidR="00020FDC" w:rsidRPr="006804FE" w:rsidTr="00D16F28">
        <w:tc>
          <w:tcPr>
            <w:tcW w:w="5463" w:type="dxa"/>
          </w:tcPr>
          <w:p w:rsidR="00020FDC" w:rsidRDefault="00020FDC" w:rsidP="00FF0B61">
            <w:pPr>
              <w:pStyle w:val="NoSpacing"/>
              <w:rPr>
                <w:rFonts w:asciiTheme="minorHAnsi" w:hAnsiTheme="minorHAnsi" w:cs="Arial"/>
                <w:sz w:val="18"/>
                <w:szCs w:val="21"/>
              </w:rPr>
            </w:pPr>
            <w:r w:rsidRPr="00243153">
              <w:rPr>
                <w:rFonts w:asciiTheme="minorHAnsi" w:hAnsiTheme="minorHAnsi" w:cs="Arial"/>
                <w:b/>
                <w:sz w:val="18"/>
                <w:szCs w:val="21"/>
              </w:rPr>
              <w:t>Core documents include</w:t>
            </w:r>
            <w:r w:rsidR="00474A74" w:rsidRPr="00243153">
              <w:rPr>
                <w:rFonts w:asciiTheme="minorHAnsi" w:hAnsiTheme="minorHAnsi" w:cs="Arial"/>
                <w:b/>
                <w:sz w:val="18"/>
                <w:szCs w:val="21"/>
              </w:rPr>
              <w:t xml:space="preserve"> (</w:t>
            </w:r>
            <w:r w:rsidR="00474A74" w:rsidRPr="00243153">
              <w:rPr>
                <w:rFonts w:asciiTheme="minorHAnsi" w:hAnsiTheme="minorHAnsi" w:cs="Arial"/>
                <w:b/>
                <w:color w:val="C45911" w:themeColor="accent2" w:themeShade="BF"/>
                <w:sz w:val="18"/>
                <w:szCs w:val="21"/>
              </w:rPr>
              <w:t>140.1</w:t>
            </w:r>
            <w:r w:rsidR="00474A74" w:rsidRPr="00243153">
              <w:rPr>
                <w:rFonts w:asciiTheme="minorHAnsi" w:hAnsiTheme="minorHAnsi" w:cs="Arial"/>
                <w:b/>
                <w:sz w:val="18"/>
                <w:szCs w:val="21"/>
              </w:rPr>
              <w:t>)</w:t>
            </w:r>
            <w:r w:rsidRPr="00243153">
              <w:rPr>
                <w:rFonts w:asciiTheme="minorHAnsi" w:hAnsiTheme="minorHAnsi" w:cs="Arial"/>
                <w:b/>
                <w:sz w:val="18"/>
                <w:szCs w:val="21"/>
              </w:rPr>
              <w:t>:</w:t>
            </w:r>
            <w:r w:rsidRPr="00020FDC">
              <w:rPr>
                <w:rFonts w:asciiTheme="minorHAnsi" w:hAnsiTheme="minorHAnsi" w:cs="Arial"/>
                <w:sz w:val="18"/>
                <w:szCs w:val="21"/>
              </w:rPr>
              <w:t xml:space="preserve"> </w:t>
            </w:r>
          </w:p>
          <w:p w:rsidR="00BD551E" w:rsidRDefault="00BD551E" w:rsidP="00FF0B61">
            <w:pPr>
              <w:pStyle w:val="NoSpacing"/>
              <w:numPr>
                <w:ilvl w:val="0"/>
                <w:numId w:val="159"/>
              </w:numPr>
              <w:rPr>
                <w:rFonts w:asciiTheme="minorHAnsi" w:hAnsiTheme="minorHAnsi" w:cs="Arial"/>
                <w:sz w:val="18"/>
                <w:szCs w:val="21"/>
              </w:rPr>
            </w:pPr>
            <w:r w:rsidRPr="00BD551E">
              <w:rPr>
                <w:rFonts w:asciiTheme="minorHAnsi" w:hAnsiTheme="minorHAnsi" w:cs="Arial"/>
                <w:b/>
                <w:sz w:val="18"/>
                <w:szCs w:val="21"/>
              </w:rPr>
              <w:t>Suing DIR or Influential Person</w:t>
            </w:r>
            <w:r>
              <w:rPr>
                <w:rFonts w:asciiTheme="minorHAnsi" w:hAnsiTheme="minorHAnsi" w:cs="Arial"/>
                <w:sz w:val="18"/>
                <w:szCs w:val="21"/>
              </w:rPr>
              <w:t>: Core Docs = Prospectus, OM, TOB, Issuer Bid, Periodic Disclosure Docs</w:t>
            </w:r>
          </w:p>
          <w:p w:rsidR="00BD551E" w:rsidRPr="00020FDC" w:rsidRDefault="00BD551E" w:rsidP="00FF0B61">
            <w:pPr>
              <w:pStyle w:val="NoSpacing"/>
              <w:numPr>
                <w:ilvl w:val="0"/>
                <w:numId w:val="159"/>
              </w:numPr>
              <w:rPr>
                <w:rFonts w:asciiTheme="minorHAnsi" w:hAnsiTheme="minorHAnsi" w:cs="Arial"/>
                <w:sz w:val="18"/>
                <w:szCs w:val="21"/>
              </w:rPr>
            </w:pPr>
            <w:r w:rsidRPr="00BD551E">
              <w:rPr>
                <w:rFonts w:asciiTheme="minorHAnsi" w:hAnsiTheme="minorHAnsi" w:cs="Arial"/>
                <w:b/>
                <w:sz w:val="18"/>
                <w:szCs w:val="21"/>
              </w:rPr>
              <w:t>Suing Issuer or OFR:</w:t>
            </w:r>
            <w:r>
              <w:rPr>
                <w:rFonts w:asciiTheme="minorHAnsi" w:hAnsiTheme="minorHAnsi" w:cs="Arial"/>
                <w:sz w:val="18"/>
                <w:szCs w:val="21"/>
              </w:rPr>
              <w:t xml:space="preserve"> Core Docs = all above + docs required under 85(b), press releases, and material change reports. </w:t>
            </w:r>
          </w:p>
          <w:p w:rsidR="00020FDC" w:rsidRPr="00020FDC" w:rsidRDefault="00020FDC" w:rsidP="00FF0B61">
            <w:pPr>
              <w:pStyle w:val="NoSpacing"/>
              <w:rPr>
                <w:rFonts w:asciiTheme="minorHAnsi" w:hAnsiTheme="minorHAnsi" w:cs="Arial"/>
                <w:color w:val="FF0000"/>
                <w:sz w:val="18"/>
                <w:szCs w:val="21"/>
              </w:rPr>
            </w:pPr>
            <w:r w:rsidRPr="00243153">
              <w:rPr>
                <w:rFonts w:asciiTheme="minorHAnsi" w:hAnsiTheme="minorHAnsi" w:cs="Arial"/>
                <w:b/>
                <w:sz w:val="18"/>
                <w:szCs w:val="21"/>
              </w:rPr>
              <w:t>The burden of proof:</w:t>
            </w:r>
            <w:r w:rsidRPr="00020FDC">
              <w:rPr>
                <w:rFonts w:asciiTheme="minorHAnsi" w:hAnsiTheme="minorHAnsi" w:cs="Arial"/>
                <w:sz w:val="18"/>
                <w:szCs w:val="21"/>
              </w:rPr>
              <w:t xml:space="preserve"> is simply the existence of a misrepresentation – P doesn’t need to prove that D k</w:t>
            </w:r>
            <w:r w:rsidR="00B346AE">
              <w:rPr>
                <w:rFonts w:asciiTheme="minorHAnsi" w:hAnsiTheme="minorHAnsi" w:cs="Arial"/>
                <w:sz w:val="18"/>
                <w:szCs w:val="21"/>
              </w:rPr>
              <w:t>new or should’ve known about it (</w:t>
            </w:r>
            <w:r w:rsidR="003A3D69">
              <w:rPr>
                <w:rFonts w:asciiTheme="minorHAnsi" w:hAnsiTheme="minorHAnsi" w:cs="Arial"/>
                <w:b/>
                <w:color w:val="C45911" w:themeColor="accent2" w:themeShade="BF"/>
                <w:sz w:val="18"/>
                <w:szCs w:val="21"/>
              </w:rPr>
              <w:t>140.3(1)</w:t>
            </w:r>
            <w:r w:rsidR="00B346AE">
              <w:rPr>
                <w:rFonts w:asciiTheme="minorHAnsi" w:hAnsiTheme="minorHAnsi" w:cs="Arial"/>
                <w:sz w:val="18"/>
                <w:szCs w:val="21"/>
              </w:rPr>
              <w:t>)</w:t>
            </w:r>
          </w:p>
        </w:tc>
        <w:tc>
          <w:tcPr>
            <w:tcW w:w="5463" w:type="dxa"/>
          </w:tcPr>
          <w:p w:rsidR="00020FDC" w:rsidRPr="00020FDC" w:rsidRDefault="00020FDC" w:rsidP="00FF0B61">
            <w:pPr>
              <w:pStyle w:val="NoSpacing"/>
              <w:rPr>
                <w:rFonts w:asciiTheme="minorHAnsi" w:hAnsiTheme="minorHAnsi" w:cs="Arial"/>
                <w:sz w:val="18"/>
                <w:szCs w:val="21"/>
              </w:rPr>
            </w:pPr>
            <w:r w:rsidRPr="00243153">
              <w:rPr>
                <w:rFonts w:asciiTheme="minorHAnsi" w:hAnsiTheme="minorHAnsi" w:cs="Arial"/>
                <w:b/>
                <w:sz w:val="18"/>
                <w:szCs w:val="21"/>
              </w:rPr>
              <w:t>Non-core documents</w:t>
            </w:r>
            <w:r w:rsidRPr="00020FDC">
              <w:rPr>
                <w:rFonts w:asciiTheme="minorHAnsi" w:hAnsiTheme="minorHAnsi" w:cs="Arial"/>
                <w:sz w:val="18"/>
                <w:szCs w:val="21"/>
              </w:rPr>
              <w:t xml:space="preserve"> </w:t>
            </w:r>
            <w:r w:rsidR="00474A74">
              <w:rPr>
                <w:rFonts w:asciiTheme="minorHAnsi" w:hAnsiTheme="minorHAnsi" w:cs="Arial"/>
                <w:b/>
                <w:sz w:val="18"/>
                <w:szCs w:val="21"/>
              </w:rPr>
              <w:t>(</w:t>
            </w:r>
            <w:r w:rsidR="00474A74" w:rsidRPr="00474A74">
              <w:rPr>
                <w:rFonts w:asciiTheme="minorHAnsi" w:hAnsiTheme="minorHAnsi" w:cs="Arial"/>
                <w:b/>
                <w:color w:val="C45911" w:themeColor="accent2" w:themeShade="BF"/>
                <w:sz w:val="18"/>
                <w:szCs w:val="21"/>
              </w:rPr>
              <w:t>140.1</w:t>
            </w:r>
            <w:r w:rsidR="00474A74">
              <w:rPr>
                <w:rFonts w:asciiTheme="minorHAnsi" w:hAnsiTheme="minorHAnsi" w:cs="Arial"/>
                <w:b/>
                <w:sz w:val="18"/>
                <w:szCs w:val="21"/>
              </w:rPr>
              <w:t xml:space="preserve">) </w:t>
            </w:r>
            <w:r w:rsidRPr="00020FDC">
              <w:rPr>
                <w:rFonts w:asciiTheme="minorHAnsi" w:hAnsiTheme="minorHAnsi" w:cs="Arial"/>
                <w:sz w:val="18"/>
                <w:szCs w:val="21"/>
              </w:rPr>
              <w:t>include new releases, investor presentations, etc.</w:t>
            </w:r>
          </w:p>
          <w:p w:rsidR="00020FDC" w:rsidRPr="00020FDC" w:rsidRDefault="00020FDC" w:rsidP="00FF0B61">
            <w:pPr>
              <w:pStyle w:val="NoSpacing"/>
              <w:rPr>
                <w:rFonts w:asciiTheme="minorHAnsi" w:hAnsiTheme="minorHAnsi" w:cs="Arial"/>
                <w:color w:val="FF0000"/>
                <w:sz w:val="18"/>
                <w:szCs w:val="21"/>
              </w:rPr>
            </w:pPr>
            <w:r w:rsidRPr="00020FDC">
              <w:rPr>
                <w:rFonts w:asciiTheme="minorHAnsi" w:hAnsiTheme="minorHAnsi" w:cs="Arial"/>
                <w:b/>
                <w:sz w:val="18"/>
                <w:szCs w:val="21"/>
              </w:rPr>
              <w:t>The burden of proof</w:t>
            </w:r>
            <w:r>
              <w:rPr>
                <w:rFonts w:asciiTheme="minorHAnsi" w:hAnsiTheme="minorHAnsi" w:cs="Arial"/>
                <w:b/>
                <w:sz w:val="18"/>
                <w:szCs w:val="21"/>
              </w:rPr>
              <w:t>:</w:t>
            </w:r>
            <w:r w:rsidRPr="00020FDC">
              <w:rPr>
                <w:rFonts w:asciiTheme="minorHAnsi" w:hAnsiTheme="minorHAnsi" w:cs="Arial"/>
                <w:sz w:val="18"/>
                <w:szCs w:val="21"/>
              </w:rPr>
              <w:t xml:space="preserve"> </w:t>
            </w:r>
            <w:r w:rsidR="0042458B">
              <w:rPr>
                <w:rFonts w:asciiTheme="minorHAnsi" w:hAnsiTheme="minorHAnsi" w:cs="Arial"/>
                <w:sz w:val="18"/>
                <w:szCs w:val="21"/>
              </w:rPr>
              <w:t>P must prove that the D (</w:t>
            </w:r>
            <w:r w:rsidR="0042458B" w:rsidRPr="003A3D69">
              <w:rPr>
                <w:rFonts w:asciiTheme="minorHAnsi" w:hAnsiTheme="minorHAnsi" w:cs="Arial"/>
                <w:b/>
                <w:sz w:val="18"/>
                <w:szCs w:val="21"/>
              </w:rPr>
              <w:t>except a D expert</w:t>
            </w:r>
            <w:r w:rsidR="0042458B">
              <w:rPr>
                <w:rFonts w:asciiTheme="minorHAnsi" w:hAnsiTheme="minorHAnsi" w:cs="Arial"/>
                <w:sz w:val="18"/>
                <w:szCs w:val="21"/>
              </w:rPr>
              <w:t xml:space="preserve">) </w:t>
            </w:r>
            <w:r w:rsidR="009E6F40">
              <w:rPr>
                <w:rFonts w:asciiTheme="minorHAnsi" w:hAnsiTheme="minorHAnsi" w:cs="Arial"/>
                <w:sz w:val="18"/>
                <w:szCs w:val="21"/>
              </w:rPr>
              <w:t xml:space="preserve">1) </w:t>
            </w:r>
            <w:r w:rsidR="0042458B">
              <w:rPr>
                <w:rFonts w:asciiTheme="minorHAnsi" w:hAnsiTheme="minorHAnsi" w:cs="Arial"/>
                <w:sz w:val="18"/>
                <w:szCs w:val="21"/>
              </w:rPr>
              <w:t xml:space="preserve">knew of the misrepresentation; </w:t>
            </w:r>
            <w:r w:rsidR="009E6F40">
              <w:rPr>
                <w:rFonts w:asciiTheme="minorHAnsi" w:hAnsiTheme="minorHAnsi" w:cs="Arial"/>
                <w:sz w:val="18"/>
                <w:szCs w:val="21"/>
              </w:rPr>
              <w:t xml:space="preserve">2) </w:t>
            </w:r>
            <w:r w:rsidR="0042458B">
              <w:rPr>
                <w:rFonts w:asciiTheme="minorHAnsi" w:hAnsiTheme="minorHAnsi" w:cs="Arial"/>
                <w:sz w:val="18"/>
                <w:szCs w:val="21"/>
              </w:rPr>
              <w:t>deliberately avoiding discovering that there was a misrepresentation; or</w:t>
            </w:r>
            <w:r w:rsidR="009E6F40">
              <w:rPr>
                <w:rFonts w:asciiTheme="minorHAnsi" w:hAnsiTheme="minorHAnsi" w:cs="Arial"/>
                <w:sz w:val="18"/>
                <w:szCs w:val="21"/>
              </w:rPr>
              <w:t xml:space="preserve"> 3)</w:t>
            </w:r>
            <w:r w:rsidR="0042458B">
              <w:rPr>
                <w:rFonts w:asciiTheme="minorHAnsi" w:hAnsiTheme="minorHAnsi" w:cs="Arial"/>
                <w:sz w:val="18"/>
                <w:szCs w:val="21"/>
              </w:rPr>
              <w:t xml:space="preserve"> </w:t>
            </w:r>
            <w:r w:rsidR="00D20ECD">
              <w:rPr>
                <w:rFonts w:asciiTheme="minorHAnsi" w:hAnsiTheme="minorHAnsi" w:cs="Arial"/>
                <w:sz w:val="18"/>
                <w:szCs w:val="21"/>
              </w:rPr>
              <w:t>was guilty of gross misconduct (</w:t>
            </w:r>
            <w:r w:rsidR="00D20ECD" w:rsidRPr="00D20ECD">
              <w:rPr>
                <w:rFonts w:asciiTheme="minorHAnsi" w:hAnsiTheme="minorHAnsi" w:cs="Arial"/>
                <w:b/>
                <w:color w:val="C45911" w:themeColor="accent2" w:themeShade="BF"/>
                <w:sz w:val="18"/>
                <w:szCs w:val="21"/>
              </w:rPr>
              <w:t>140.4(1)</w:t>
            </w:r>
            <w:r w:rsidR="00D20ECD">
              <w:rPr>
                <w:rFonts w:asciiTheme="minorHAnsi" w:hAnsiTheme="minorHAnsi" w:cs="Arial"/>
                <w:sz w:val="18"/>
                <w:szCs w:val="21"/>
              </w:rPr>
              <w:t>)</w:t>
            </w:r>
          </w:p>
        </w:tc>
      </w:tr>
    </w:tbl>
    <w:p w:rsidR="00020FDC" w:rsidRDefault="00020FDC" w:rsidP="00FF0B61">
      <w:pPr>
        <w:spacing w:after="0" w:line="240" w:lineRule="auto"/>
      </w:pPr>
    </w:p>
    <w:p w:rsidR="00D12298" w:rsidRDefault="00D12298" w:rsidP="00FF0B61">
      <w:pPr>
        <w:spacing w:after="0" w:line="240" w:lineRule="auto"/>
        <w:rPr>
          <w:b/>
        </w:rPr>
      </w:pPr>
      <w:r>
        <w:rPr>
          <w:b/>
        </w:rPr>
        <w:t>*</w:t>
      </w:r>
      <w:r w:rsidRPr="00A12150">
        <w:rPr>
          <w:b/>
        </w:rPr>
        <w:t xml:space="preserve">Failure to Make Timely Disclosure: </w:t>
      </w:r>
      <w:r w:rsidRPr="00A12150">
        <w:rPr>
          <w:u w:val="single"/>
        </w:rPr>
        <w:t>Onus is on the P</w:t>
      </w:r>
      <w:r w:rsidRPr="00A12150">
        <w:t xml:space="preserve"> to prove that the D (</w:t>
      </w:r>
      <w:r w:rsidRPr="00A12150">
        <w:rPr>
          <w:b/>
        </w:rPr>
        <w:t>except a responsible issuer or an OFR of a responsible issue</w:t>
      </w:r>
      <w:r w:rsidRPr="00A12150">
        <w:t xml:space="preserve">): </w:t>
      </w:r>
      <w:r w:rsidRPr="00A12150">
        <w:rPr>
          <w:b/>
        </w:rPr>
        <w:t xml:space="preserve">1) </w:t>
      </w:r>
      <w:r w:rsidRPr="00A12150">
        <w:t xml:space="preserve">knew of the change and that it was material; </w:t>
      </w:r>
      <w:r w:rsidRPr="00A12150">
        <w:rPr>
          <w:b/>
        </w:rPr>
        <w:t xml:space="preserve">2) </w:t>
      </w:r>
      <w:r w:rsidRPr="00A12150">
        <w:t xml:space="preserve">deliberately avoided discerning that there was a change or that it was material; or </w:t>
      </w:r>
      <w:r w:rsidRPr="00A12150">
        <w:rPr>
          <w:b/>
        </w:rPr>
        <w:t xml:space="preserve">3) </w:t>
      </w:r>
      <w:r w:rsidRPr="00A12150">
        <w:t>was guilty of gross misconduct (</w:t>
      </w:r>
      <w:r w:rsidRPr="00A12150">
        <w:rPr>
          <w:b/>
          <w:color w:val="C45911" w:themeColor="accent2" w:themeShade="BF"/>
        </w:rPr>
        <w:t>BCSA 140.4(3),(4)</w:t>
      </w:r>
      <w:r w:rsidRPr="00A12150">
        <w:rPr>
          <w:b/>
        </w:rPr>
        <w:t>)</w:t>
      </w:r>
    </w:p>
    <w:p w:rsidR="00D12298" w:rsidRPr="00012815" w:rsidRDefault="00D12298" w:rsidP="00FF0B61">
      <w:pPr>
        <w:pStyle w:val="ListParagraph"/>
        <w:numPr>
          <w:ilvl w:val="0"/>
          <w:numId w:val="144"/>
        </w:numPr>
        <w:rPr>
          <w:b/>
        </w:rPr>
      </w:pPr>
      <w:r w:rsidRPr="00FC48BE">
        <w:rPr>
          <w:b/>
          <w:color w:val="C45911" w:themeColor="accent2" w:themeShade="BF"/>
        </w:rPr>
        <w:t xml:space="preserve">(4) </w:t>
      </w:r>
      <w:r w:rsidRPr="00FC48BE">
        <w:rPr>
          <w:b/>
        </w:rPr>
        <w:t xml:space="preserve">– </w:t>
      </w:r>
      <w:r w:rsidRPr="00FC48BE">
        <w:t>Can’t use the “defense” if it’s</w:t>
      </w:r>
      <w:r>
        <w:t xml:space="preserve"> an action against a</w:t>
      </w:r>
      <w:r w:rsidRPr="00FC48BE">
        <w:t xml:space="preserve"> responsible issuer </w:t>
      </w:r>
      <w:r w:rsidRPr="00AD4D05">
        <w:rPr>
          <w:b/>
          <w:u w:val="single"/>
        </w:rPr>
        <w:t>OR</w:t>
      </w:r>
      <w:r w:rsidRPr="00FC48BE">
        <w:t xml:space="preserve"> OFR of a responsible issuer</w:t>
      </w:r>
      <w:r>
        <w:t xml:space="preserve"> (</w:t>
      </w:r>
      <w:r w:rsidRPr="0087515E">
        <w:rPr>
          <w:b/>
        </w:rPr>
        <w:t>e.g.</w:t>
      </w:r>
      <w:r>
        <w:t xml:space="preserve"> CEO</w:t>
      </w:r>
      <w:r w:rsidR="002A0342">
        <w:t>, COO, etc</w:t>
      </w:r>
      <w:r>
        <w:t>)</w:t>
      </w:r>
      <w:r w:rsidRPr="00FC48BE">
        <w:t xml:space="preserve">. </w:t>
      </w:r>
    </w:p>
    <w:p w:rsidR="00012815" w:rsidRPr="00FC48BE" w:rsidRDefault="00012815" w:rsidP="00012815">
      <w:pPr>
        <w:pStyle w:val="ListParagraph"/>
        <w:rPr>
          <w:b/>
        </w:rPr>
      </w:pPr>
    </w:p>
    <w:p w:rsidR="00020FDC" w:rsidRPr="00020FDC" w:rsidRDefault="00C801EF" w:rsidP="00FF0B61">
      <w:pPr>
        <w:pStyle w:val="Heading3"/>
        <w:spacing w:line="240" w:lineRule="auto"/>
      </w:pPr>
      <w:bookmarkStart w:id="105" w:name="_Toc468980475"/>
      <w:r w:rsidRPr="006D289D">
        <w:lastRenderedPageBreak/>
        <w:t>Defenses</w:t>
      </w:r>
      <w:r>
        <w:t xml:space="preserve"> </w:t>
      </w:r>
      <w:r w:rsidR="00E15BE6">
        <w:t>– Onus on D</w:t>
      </w:r>
      <w:bookmarkEnd w:id="105"/>
    </w:p>
    <w:p w:rsidR="00AD71D1" w:rsidRPr="002B5B25" w:rsidRDefault="00CA360E" w:rsidP="00FF0B61">
      <w:pPr>
        <w:spacing w:after="0" w:line="240" w:lineRule="auto"/>
        <w:rPr>
          <w:b/>
        </w:rPr>
      </w:pPr>
      <w:r>
        <w:rPr>
          <w:b/>
        </w:rPr>
        <w:t>[1</w:t>
      </w:r>
      <w:r w:rsidR="002B5B25" w:rsidRPr="002B5B25">
        <w:rPr>
          <w:b/>
        </w:rPr>
        <w:t>]</w:t>
      </w:r>
      <w:r w:rsidR="002B5B25">
        <w:t xml:space="preserve"> </w:t>
      </w:r>
      <w:r w:rsidR="0023078C" w:rsidRPr="0023078C">
        <w:t xml:space="preserve">D is not </w:t>
      </w:r>
      <w:r w:rsidR="0023078C" w:rsidRPr="00383689">
        <w:t>liable</w:t>
      </w:r>
      <w:r w:rsidR="00383689" w:rsidRPr="00383689">
        <w:t xml:space="preserve"> </w:t>
      </w:r>
      <w:r w:rsidR="00005F94" w:rsidRPr="00383689">
        <w:t>for misrep or fa</w:t>
      </w:r>
      <w:r w:rsidR="00383689" w:rsidRPr="00383689">
        <w:t>ilure to make timely disclosure</w:t>
      </w:r>
      <w:r w:rsidR="0023078C" w:rsidRPr="00383689">
        <w:t xml:space="preserve"> if</w:t>
      </w:r>
      <w:r w:rsidR="0023078C" w:rsidRPr="0023078C">
        <w:t xml:space="preserve"> D establishes that the </w:t>
      </w:r>
      <w:r w:rsidR="0023078C" w:rsidRPr="0023078C">
        <w:rPr>
          <w:b/>
        </w:rPr>
        <w:t>P bought or sold wi</w:t>
      </w:r>
      <w:r w:rsidR="0023078C" w:rsidRPr="00005F94">
        <w:rPr>
          <w:b/>
        </w:rPr>
        <w:t xml:space="preserve">th knowledge that the document or public oral statement contained a misrepresentation or with knowledge of the material change </w:t>
      </w:r>
      <w:r w:rsidR="00A80369">
        <w:t>(</w:t>
      </w:r>
      <w:r w:rsidR="00AD71D1" w:rsidRPr="002B5B25">
        <w:rPr>
          <w:b/>
          <w:color w:val="C45911" w:themeColor="accent2" w:themeShade="BF"/>
        </w:rPr>
        <w:t>140.4(5)</w:t>
      </w:r>
      <w:r w:rsidR="00A80369" w:rsidRPr="002B5B25">
        <w:rPr>
          <w:b/>
        </w:rPr>
        <w:t>)</w:t>
      </w:r>
      <w:r w:rsidR="00470C99">
        <w:rPr>
          <w:b/>
        </w:rPr>
        <w:t xml:space="preserve"> (Both)</w:t>
      </w:r>
    </w:p>
    <w:p w:rsidR="00AD71D1" w:rsidRDefault="0023078C" w:rsidP="00FF0B61">
      <w:pPr>
        <w:spacing w:after="0" w:line="240" w:lineRule="auto"/>
        <w:rPr>
          <w:b/>
        </w:rPr>
      </w:pPr>
      <w:r>
        <w:rPr>
          <w:b/>
        </w:rPr>
        <w:t>[</w:t>
      </w:r>
      <w:r w:rsidR="00CA360E">
        <w:rPr>
          <w:b/>
        </w:rPr>
        <w:t>2</w:t>
      </w:r>
      <w:r w:rsidR="002B5B25" w:rsidRPr="002B5B25">
        <w:rPr>
          <w:b/>
        </w:rPr>
        <w:t>]</w:t>
      </w:r>
      <w:r w:rsidR="002B5B25">
        <w:t xml:space="preserve"> </w:t>
      </w:r>
      <w:r w:rsidR="00470C99" w:rsidRPr="00CA7628">
        <w:rPr>
          <w:b/>
        </w:rPr>
        <w:t>D not liable for failure to make timely disclosure if</w:t>
      </w:r>
      <w:r w:rsidR="00470C99">
        <w:t xml:space="preserve"> </w:t>
      </w:r>
      <w:r w:rsidR="00A80369">
        <w:t>(</w:t>
      </w:r>
      <w:r w:rsidR="00AD71D1" w:rsidRPr="002B5B25">
        <w:rPr>
          <w:b/>
          <w:color w:val="C45911" w:themeColor="accent2" w:themeShade="BF"/>
        </w:rPr>
        <w:t>140.4(8)</w:t>
      </w:r>
      <w:r w:rsidR="00A80369" w:rsidRPr="002B5B25">
        <w:rPr>
          <w:b/>
        </w:rPr>
        <w:t>)</w:t>
      </w:r>
      <w:r w:rsidR="002514DB">
        <w:rPr>
          <w:b/>
        </w:rPr>
        <w:t>:</w:t>
      </w:r>
    </w:p>
    <w:p w:rsidR="002514DB" w:rsidRPr="002514DB" w:rsidRDefault="002514DB" w:rsidP="00FF0B61">
      <w:pPr>
        <w:pStyle w:val="ListParagraph"/>
        <w:numPr>
          <w:ilvl w:val="0"/>
          <w:numId w:val="154"/>
        </w:numPr>
        <w:spacing w:after="0"/>
        <w:textAlignment w:val="center"/>
        <w:rPr>
          <w:rFonts w:eastAsia="Times New Roman" w:cs="Times New Roman"/>
          <w:lang w:eastAsia="en-CA"/>
        </w:rPr>
      </w:pPr>
      <w:r w:rsidRPr="002514DB">
        <w:rPr>
          <w:rFonts w:eastAsia="Times New Roman" w:cs="Times New Roman"/>
          <w:b/>
          <w:lang w:eastAsia="en-CA"/>
        </w:rPr>
        <w:t>(a)</w:t>
      </w:r>
      <w:r w:rsidRPr="002514DB">
        <w:rPr>
          <w:rFonts w:eastAsia="Times New Roman" w:cs="Times New Roman"/>
          <w:lang w:eastAsia="en-CA"/>
        </w:rPr>
        <w:t xml:space="preserve"> the person </w:t>
      </w:r>
      <w:r w:rsidRPr="002514DB">
        <w:rPr>
          <w:rFonts w:eastAsia="Times New Roman" w:cs="Times New Roman"/>
          <w:u w:val="single"/>
          <w:lang w:eastAsia="en-CA"/>
        </w:rPr>
        <w:t>proves that the material change was disclosed by the responsible issuer</w:t>
      </w:r>
      <w:r w:rsidRPr="002514DB">
        <w:rPr>
          <w:rFonts w:eastAsia="Times New Roman" w:cs="Times New Roman"/>
          <w:lang w:eastAsia="en-CA"/>
        </w:rPr>
        <w:t xml:space="preserve"> in a report filed on a confidential basis with the commission under </w:t>
      </w:r>
      <w:r w:rsidRPr="002514DB">
        <w:rPr>
          <w:rFonts w:eastAsia="Times New Roman" w:cs="Times New Roman"/>
          <w:b/>
          <w:lang w:eastAsia="en-CA"/>
        </w:rPr>
        <w:t>85(b),</w:t>
      </w:r>
    </w:p>
    <w:p w:rsidR="002514DB" w:rsidRPr="002514DB" w:rsidRDefault="002514DB" w:rsidP="00FF0B61">
      <w:pPr>
        <w:pStyle w:val="ListParagraph"/>
        <w:numPr>
          <w:ilvl w:val="0"/>
          <w:numId w:val="154"/>
        </w:numPr>
        <w:spacing w:after="0"/>
        <w:textAlignment w:val="center"/>
        <w:rPr>
          <w:rFonts w:eastAsia="Times New Roman" w:cs="Times New Roman"/>
          <w:lang w:eastAsia="en-CA"/>
        </w:rPr>
      </w:pPr>
      <w:r w:rsidRPr="002514DB">
        <w:rPr>
          <w:rFonts w:eastAsia="Times New Roman" w:cs="Times New Roman"/>
          <w:b/>
          <w:lang w:eastAsia="en-CA"/>
        </w:rPr>
        <w:t>(b)</w:t>
      </w:r>
      <w:r w:rsidRPr="002514DB">
        <w:rPr>
          <w:rFonts w:eastAsia="Times New Roman" w:cs="Times New Roman"/>
          <w:lang w:eastAsia="en-CA"/>
        </w:rPr>
        <w:t xml:space="preserve"> the responsible issuer had </w:t>
      </w:r>
      <w:r w:rsidRPr="002514DB">
        <w:rPr>
          <w:rFonts w:eastAsia="Times New Roman" w:cs="Times New Roman"/>
          <w:u w:val="single"/>
          <w:lang w:eastAsia="en-CA"/>
        </w:rPr>
        <w:t>a reasonable basis</w:t>
      </w:r>
      <w:r w:rsidRPr="002514DB">
        <w:rPr>
          <w:rFonts w:eastAsia="Times New Roman" w:cs="Times New Roman"/>
          <w:lang w:eastAsia="en-CA"/>
        </w:rPr>
        <w:t xml:space="preserve"> for making the disclosure on a confidential basis,</w:t>
      </w:r>
    </w:p>
    <w:p w:rsidR="002514DB" w:rsidRPr="002514DB" w:rsidRDefault="002514DB" w:rsidP="00FF0B61">
      <w:pPr>
        <w:pStyle w:val="ListParagraph"/>
        <w:numPr>
          <w:ilvl w:val="0"/>
          <w:numId w:val="154"/>
        </w:numPr>
        <w:spacing w:after="0"/>
        <w:textAlignment w:val="center"/>
        <w:rPr>
          <w:rFonts w:eastAsia="Times New Roman" w:cs="Times New Roman"/>
          <w:lang w:eastAsia="en-CA"/>
        </w:rPr>
      </w:pPr>
      <w:r w:rsidRPr="002514DB">
        <w:rPr>
          <w:rFonts w:eastAsia="Times New Roman" w:cs="Times New Roman"/>
          <w:b/>
          <w:lang w:eastAsia="en-CA"/>
        </w:rPr>
        <w:t>(c)</w:t>
      </w:r>
      <w:r w:rsidRPr="002514DB">
        <w:rPr>
          <w:rFonts w:eastAsia="Times New Roman" w:cs="Times New Roman"/>
          <w:lang w:eastAsia="en-CA"/>
        </w:rPr>
        <w:t xml:space="preserve"> in the case where the information contained in the report filed on a confidential basis remains material, disclosure of the material change was made public </w:t>
      </w:r>
      <w:r w:rsidRPr="002514DB">
        <w:rPr>
          <w:rFonts w:eastAsia="Times New Roman" w:cs="Times New Roman"/>
          <w:u w:val="single"/>
          <w:lang w:eastAsia="en-CA"/>
        </w:rPr>
        <w:t xml:space="preserve">promptly when the basis for confidentiality </w:t>
      </w:r>
      <w:r w:rsidRPr="002514DB">
        <w:rPr>
          <w:rFonts w:eastAsia="Times New Roman" w:cs="Times New Roman"/>
          <w:lang w:eastAsia="en-CA"/>
        </w:rPr>
        <w:t>ceased to exist,</w:t>
      </w:r>
    </w:p>
    <w:p w:rsidR="002514DB" w:rsidRPr="002514DB" w:rsidRDefault="002514DB" w:rsidP="00FF0B61">
      <w:pPr>
        <w:pStyle w:val="ListParagraph"/>
        <w:numPr>
          <w:ilvl w:val="0"/>
          <w:numId w:val="154"/>
        </w:numPr>
        <w:spacing w:after="0"/>
        <w:textAlignment w:val="center"/>
        <w:rPr>
          <w:rFonts w:eastAsia="Times New Roman" w:cs="Times New Roman"/>
          <w:lang w:eastAsia="en-CA"/>
        </w:rPr>
      </w:pPr>
      <w:r w:rsidRPr="002514DB">
        <w:rPr>
          <w:rFonts w:eastAsia="Times New Roman" w:cs="Times New Roman"/>
          <w:b/>
          <w:lang w:eastAsia="en-CA"/>
        </w:rPr>
        <w:t>(d)</w:t>
      </w:r>
      <w:r w:rsidRPr="002514DB">
        <w:rPr>
          <w:rFonts w:eastAsia="Times New Roman" w:cs="Times New Roman"/>
          <w:lang w:eastAsia="en-CA"/>
        </w:rPr>
        <w:t xml:space="preserve"> the person or responsible issuer </w:t>
      </w:r>
      <w:r w:rsidRPr="002514DB">
        <w:rPr>
          <w:rFonts w:eastAsia="Times New Roman" w:cs="Times New Roman"/>
          <w:u w:val="single"/>
          <w:lang w:eastAsia="en-CA"/>
        </w:rPr>
        <w:t>did not release a document</w:t>
      </w:r>
      <w:r w:rsidRPr="002514DB">
        <w:rPr>
          <w:rFonts w:eastAsia="Times New Roman" w:cs="Times New Roman"/>
          <w:lang w:eastAsia="en-CA"/>
        </w:rPr>
        <w:t xml:space="preserve"> or make a public oral statement that, due to the undisclosed material change, </w:t>
      </w:r>
      <w:r w:rsidRPr="002514DB">
        <w:rPr>
          <w:rFonts w:eastAsia="Times New Roman" w:cs="Times New Roman"/>
          <w:u w:val="single"/>
          <w:lang w:eastAsia="en-CA"/>
        </w:rPr>
        <w:t>contained a misrepresentation</w:t>
      </w:r>
      <w:r w:rsidRPr="002514DB">
        <w:rPr>
          <w:rFonts w:eastAsia="Times New Roman" w:cs="Times New Roman"/>
          <w:lang w:eastAsia="en-CA"/>
        </w:rPr>
        <w:t>, and</w:t>
      </w:r>
    </w:p>
    <w:p w:rsidR="002514DB" w:rsidRPr="002514DB" w:rsidRDefault="002514DB" w:rsidP="00FF0B61">
      <w:pPr>
        <w:pStyle w:val="ListParagraph"/>
        <w:numPr>
          <w:ilvl w:val="0"/>
          <w:numId w:val="154"/>
        </w:numPr>
        <w:spacing w:after="0"/>
        <w:textAlignment w:val="center"/>
        <w:rPr>
          <w:rFonts w:eastAsia="Times New Roman" w:cs="Times New Roman"/>
          <w:u w:val="single"/>
          <w:lang w:eastAsia="en-CA"/>
        </w:rPr>
      </w:pPr>
      <w:r w:rsidRPr="002514DB">
        <w:rPr>
          <w:rFonts w:eastAsia="Times New Roman" w:cs="Times New Roman"/>
          <w:b/>
          <w:lang w:eastAsia="en-CA"/>
        </w:rPr>
        <w:t>(e)</w:t>
      </w:r>
      <w:r w:rsidRPr="002514DB">
        <w:rPr>
          <w:rFonts w:eastAsia="Times New Roman" w:cs="Times New Roman"/>
          <w:lang w:eastAsia="en-CA"/>
        </w:rPr>
        <w:t xml:space="preserve"> </w:t>
      </w:r>
      <w:r w:rsidRPr="002514DB">
        <w:rPr>
          <w:rFonts w:eastAsia="Times New Roman" w:cs="Times New Roman"/>
          <w:u w:val="single"/>
          <w:lang w:eastAsia="en-CA"/>
        </w:rPr>
        <w:t>where the material change became publicly known</w:t>
      </w:r>
      <w:r w:rsidRPr="002514DB">
        <w:rPr>
          <w:rFonts w:eastAsia="Times New Roman" w:cs="Times New Roman"/>
          <w:lang w:eastAsia="en-CA"/>
        </w:rPr>
        <w:t xml:space="preserve"> in a manner other than the manner required under this Act, the responsible issuer </w:t>
      </w:r>
      <w:r w:rsidRPr="002514DB">
        <w:rPr>
          <w:rFonts w:eastAsia="Times New Roman" w:cs="Times New Roman"/>
          <w:u w:val="single"/>
          <w:lang w:eastAsia="en-CA"/>
        </w:rPr>
        <w:t>promptly disclosed the material change in the manner required under this Act.</w:t>
      </w:r>
      <w:r w:rsidR="00C41BD9">
        <w:rPr>
          <w:rFonts w:eastAsia="Times New Roman" w:cs="Times New Roman"/>
          <w:u w:val="single"/>
          <w:lang w:eastAsia="en-CA"/>
        </w:rPr>
        <w:t>Likerl</w:t>
      </w:r>
    </w:p>
    <w:p w:rsidR="00A80369" w:rsidRPr="002B5B25" w:rsidRDefault="00CA360E" w:rsidP="00FF0B61">
      <w:pPr>
        <w:spacing w:after="0" w:line="240" w:lineRule="auto"/>
        <w:rPr>
          <w:b/>
        </w:rPr>
      </w:pPr>
      <w:r>
        <w:rPr>
          <w:b/>
        </w:rPr>
        <w:t>[3</w:t>
      </w:r>
      <w:r w:rsidR="002B5B25" w:rsidRPr="002B5B25">
        <w:rPr>
          <w:b/>
        </w:rPr>
        <w:t>]</w:t>
      </w:r>
      <w:r w:rsidR="002B5B25">
        <w:t xml:space="preserve"> </w:t>
      </w:r>
      <w:r w:rsidR="00A80369" w:rsidRPr="00A80369">
        <w:t xml:space="preserve">The </w:t>
      </w:r>
      <w:r w:rsidR="00A80369" w:rsidRPr="007750B9">
        <w:rPr>
          <w:b/>
        </w:rPr>
        <w:t>misrepresentation was reasonably disclosed forward-looking info,</w:t>
      </w:r>
      <w:r w:rsidR="00A80369" w:rsidRPr="00A80369">
        <w:t xml:space="preserve"> with appropriate cautionary language</w:t>
      </w:r>
      <w:r w:rsidR="00A80369" w:rsidRPr="002B5B25">
        <w:rPr>
          <w:b/>
        </w:rPr>
        <w:t xml:space="preserve"> </w:t>
      </w:r>
      <w:r w:rsidR="0010369A">
        <w:rPr>
          <w:b/>
        </w:rPr>
        <w:t>(“safe harbor”)</w:t>
      </w:r>
      <w:r w:rsidR="00A80369" w:rsidRPr="002B5B25">
        <w:rPr>
          <w:b/>
        </w:rPr>
        <w:t>(</w:t>
      </w:r>
      <w:r w:rsidR="00A80369" w:rsidRPr="002B5B25">
        <w:rPr>
          <w:b/>
          <w:color w:val="C45911" w:themeColor="accent2" w:themeShade="BF"/>
        </w:rPr>
        <w:t>140.4(9)</w:t>
      </w:r>
      <w:r w:rsidR="00A80369" w:rsidRPr="002B5B25">
        <w:rPr>
          <w:b/>
        </w:rPr>
        <w:t>)</w:t>
      </w:r>
    </w:p>
    <w:p w:rsidR="00A80369" w:rsidRPr="002B5B25" w:rsidRDefault="002B5B25" w:rsidP="00FF0B61">
      <w:pPr>
        <w:spacing w:after="0" w:line="240" w:lineRule="auto"/>
        <w:rPr>
          <w:b/>
        </w:rPr>
      </w:pPr>
      <w:r w:rsidRPr="002B5B25">
        <w:rPr>
          <w:b/>
        </w:rPr>
        <w:t>[</w:t>
      </w:r>
      <w:r w:rsidR="00CA360E">
        <w:rPr>
          <w:b/>
        </w:rPr>
        <w:t>4</w:t>
      </w:r>
      <w:r w:rsidRPr="002B5B25">
        <w:rPr>
          <w:b/>
        </w:rPr>
        <w:t>]</w:t>
      </w:r>
      <w:r>
        <w:t xml:space="preserve"> </w:t>
      </w:r>
      <w:r w:rsidR="00A80369" w:rsidRPr="00A80369">
        <w:t xml:space="preserve">The </w:t>
      </w:r>
      <w:r w:rsidR="00A80369" w:rsidRPr="007750B9">
        <w:rPr>
          <w:b/>
        </w:rPr>
        <w:t>D relied on an expert, with no reasonable grounds for believing there was a misrepresentation</w:t>
      </w:r>
      <w:r w:rsidR="00A80369" w:rsidRPr="002B5B25">
        <w:rPr>
          <w:b/>
        </w:rPr>
        <w:t xml:space="preserve"> (</w:t>
      </w:r>
      <w:r w:rsidR="00A80369" w:rsidRPr="002B5B25">
        <w:rPr>
          <w:b/>
          <w:color w:val="C45911" w:themeColor="accent2" w:themeShade="BF"/>
        </w:rPr>
        <w:t>140.4(13)</w:t>
      </w:r>
      <w:r w:rsidR="00A80369" w:rsidRPr="002B5B25">
        <w:rPr>
          <w:b/>
        </w:rPr>
        <w:t>)</w:t>
      </w:r>
    </w:p>
    <w:p w:rsidR="002B5B25" w:rsidRPr="002B5B25" w:rsidRDefault="00CA360E" w:rsidP="00FF0B61">
      <w:pPr>
        <w:spacing w:after="0" w:line="240" w:lineRule="auto"/>
        <w:rPr>
          <w:b/>
        </w:rPr>
      </w:pPr>
      <w:r>
        <w:rPr>
          <w:b/>
        </w:rPr>
        <w:t>[5</w:t>
      </w:r>
      <w:r w:rsidR="002B5B25" w:rsidRPr="007750B9">
        <w:rPr>
          <w:b/>
        </w:rPr>
        <w:t xml:space="preserve">] </w:t>
      </w:r>
      <w:r w:rsidR="0084411A" w:rsidRPr="007750B9">
        <w:rPr>
          <w:b/>
        </w:rPr>
        <w:t>Due Diligence Defense</w:t>
      </w:r>
      <w:r w:rsidR="00A34342">
        <w:rPr>
          <w:b/>
        </w:rPr>
        <w:t xml:space="preserve"> (for Misrep + Timely Disclosure)</w:t>
      </w:r>
      <w:r w:rsidR="0084411A" w:rsidRPr="007750B9">
        <w:rPr>
          <w:b/>
        </w:rPr>
        <w:t xml:space="preserve">: </w:t>
      </w:r>
      <w:r w:rsidR="002B5B25" w:rsidRPr="007750B9">
        <w:t>The</w:t>
      </w:r>
      <w:r w:rsidR="002B5B25">
        <w:t xml:space="preserve"> D made a “reasonable investigation” and had no </w:t>
      </w:r>
      <w:r w:rsidR="00C41BD9">
        <w:t>“reasonable grounds” to believe</w:t>
      </w:r>
      <w:r w:rsidR="002B5B25">
        <w:t xml:space="preserve"> there was a misrepresentation or that timely disclosure would not be made (</w:t>
      </w:r>
      <w:r w:rsidR="002B5B25" w:rsidRPr="00E573C8">
        <w:rPr>
          <w:b/>
        </w:rPr>
        <w:t>i.e</w:t>
      </w:r>
      <w:r w:rsidR="002B5B25">
        <w:t>. conducted due diligence) (</w:t>
      </w:r>
      <w:r w:rsidR="002B5B25" w:rsidRPr="002B5B25">
        <w:rPr>
          <w:b/>
          <w:color w:val="C45911" w:themeColor="accent2" w:themeShade="BF"/>
        </w:rPr>
        <w:t>140.4(6)</w:t>
      </w:r>
      <w:r w:rsidR="002B5B25">
        <w:t>)</w:t>
      </w:r>
    </w:p>
    <w:p w:rsidR="00611B07" w:rsidRDefault="0084411A" w:rsidP="00FF0B61">
      <w:pPr>
        <w:pStyle w:val="ListParagraph"/>
        <w:numPr>
          <w:ilvl w:val="0"/>
          <w:numId w:val="144"/>
        </w:numPr>
        <w:spacing w:after="0"/>
      </w:pPr>
      <w:r w:rsidRPr="00611B07">
        <w:rPr>
          <w:b/>
        </w:rPr>
        <w:t xml:space="preserve">List of things </w:t>
      </w:r>
      <w:r w:rsidR="002B5B25" w:rsidRPr="00611B07">
        <w:rPr>
          <w:b/>
        </w:rPr>
        <w:t>to determine if investigation was</w:t>
      </w:r>
      <w:r w:rsidRPr="00611B07">
        <w:rPr>
          <w:b/>
        </w:rPr>
        <w:t xml:space="preserve"> reasonable</w:t>
      </w:r>
      <w:r w:rsidR="002B5B25" w:rsidRPr="00611B07">
        <w:rPr>
          <w:b/>
        </w:rPr>
        <w:t xml:space="preserve"> under 140.4(6)</w:t>
      </w:r>
      <w:r>
        <w:t xml:space="preserve"> (</w:t>
      </w:r>
      <w:r w:rsidRPr="00611B07">
        <w:rPr>
          <w:b/>
          <w:color w:val="C45911" w:themeColor="accent2" w:themeShade="BF"/>
        </w:rPr>
        <w:t>140.4(7)</w:t>
      </w:r>
      <w:r>
        <w:t>)</w:t>
      </w:r>
    </w:p>
    <w:p w:rsidR="00611B07" w:rsidRPr="00611B07" w:rsidRDefault="00611B07" w:rsidP="00FF0B61">
      <w:pPr>
        <w:pStyle w:val="ListParagraph"/>
        <w:numPr>
          <w:ilvl w:val="1"/>
          <w:numId w:val="144"/>
        </w:numPr>
        <w:spacing w:after="0"/>
      </w:pPr>
      <w:r w:rsidRPr="00611B07">
        <w:rPr>
          <w:rFonts w:cs="Arial"/>
          <w:szCs w:val="21"/>
        </w:rPr>
        <w:t>The knowledge, experience, and function of D</w:t>
      </w:r>
    </w:p>
    <w:p w:rsidR="00611B07" w:rsidRPr="00611B07" w:rsidRDefault="00611B07" w:rsidP="00FF0B61">
      <w:pPr>
        <w:pStyle w:val="ListParagraph"/>
        <w:numPr>
          <w:ilvl w:val="1"/>
          <w:numId w:val="144"/>
        </w:numPr>
        <w:spacing w:after="0"/>
      </w:pPr>
      <w:r w:rsidRPr="00611B07">
        <w:rPr>
          <w:rFonts w:cs="Arial"/>
          <w:szCs w:val="21"/>
        </w:rPr>
        <w:t>The office held by D (if D was an officer)</w:t>
      </w:r>
    </w:p>
    <w:p w:rsidR="00611B07" w:rsidRPr="00611B07" w:rsidRDefault="00611B07" w:rsidP="00FF0B61">
      <w:pPr>
        <w:pStyle w:val="ListParagraph"/>
        <w:numPr>
          <w:ilvl w:val="1"/>
          <w:numId w:val="144"/>
        </w:numPr>
        <w:spacing w:after="0"/>
      </w:pPr>
      <w:r w:rsidRPr="00611B07">
        <w:rPr>
          <w:rFonts w:cs="Arial"/>
          <w:szCs w:val="21"/>
        </w:rPr>
        <w:t>The presence or absence of another relationship with the responsi</w:t>
      </w:r>
      <w:r>
        <w:rPr>
          <w:rFonts w:cs="Arial"/>
          <w:szCs w:val="21"/>
        </w:rPr>
        <w:t>ble issuer (ie: OFR, EE, SH</w:t>
      </w:r>
      <w:r w:rsidRPr="00611B07">
        <w:rPr>
          <w:rFonts w:cs="Arial"/>
          <w:szCs w:val="21"/>
        </w:rPr>
        <w:t>), if D is a DIR</w:t>
      </w:r>
    </w:p>
    <w:p w:rsidR="00611B07" w:rsidRPr="00611B07" w:rsidRDefault="00611B07" w:rsidP="00FF0B61">
      <w:pPr>
        <w:pStyle w:val="ListParagraph"/>
        <w:numPr>
          <w:ilvl w:val="1"/>
          <w:numId w:val="144"/>
        </w:numPr>
        <w:spacing w:after="0"/>
      </w:pPr>
      <w:r w:rsidRPr="00611B07">
        <w:rPr>
          <w:rFonts w:cs="Arial"/>
          <w:szCs w:val="21"/>
        </w:rPr>
        <w:t>The existence of any system designed to ensure that the responsible issuer’s disclosure compliance system and on the responsible issuer’s officers, employees and others whose duties would ordinarily have given them knowledge of relevant fact</w:t>
      </w:r>
    </w:p>
    <w:p w:rsidR="00611B07" w:rsidRPr="00611B07" w:rsidRDefault="00611B07" w:rsidP="00FF0B61">
      <w:pPr>
        <w:pStyle w:val="ListParagraph"/>
        <w:numPr>
          <w:ilvl w:val="1"/>
          <w:numId w:val="144"/>
        </w:numPr>
        <w:spacing w:after="0"/>
      </w:pPr>
      <w:r w:rsidRPr="00611B07">
        <w:rPr>
          <w:rFonts w:cs="Arial"/>
          <w:szCs w:val="21"/>
        </w:rPr>
        <w:t>For experts reports, what professional standards are applicable to expert D in preparing and releasing the document, making the public oral statement or ascertaining the facts contained in the document or public oral statement</w:t>
      </w:r>
    </w:p>
    <w:p w:rsidR="0084411A" w:rsidRPr="00275297" w:rsidRDefault="00611B07" w:rsidP="00FF0B61">
      <w:pPr>
        <w:pStyle w:val="ListParagraph"/>
        <w:numPr>
          <w:ilvl w:val="1"/>
          <w:numId w:val="144"/>
        </w:numPr>
        <w:spacing w:after="0"/>
      </w:pPr>
      <w:r w:rsidRPr="00611B07">
        <w:rPr>
          <w:rFonts w:cs="Arial"/>
          <w:szCs w:val="21"/>
        </w:rPr>
        <w:t>In the case of failure to make timely disclosure, the role and responsibility of D involved in the decision not to disclose the material change.</w:t>
      </w:r>
    </w:p>
    <w:p w:rsidR="00275297" w:rsidRPr="00614755" w:rsidRDefault="00275297" w:rsidP="00FF0B61">
      <w:pPr>
        <w:spacing w:after="0" w:line="240" w:lineRule="auto"/>
      </w:pPr>
    </w:p>
    <w:p w:rsidR="003151CB" w:rsidRDefault="00E40F01" w:rsidP="00FF0B61">
      <w:pPr>
        <w:pStyle w:val="Heading3"/>
        <w:spacing w:line="240" w:lineRule="auto"/>
      </w:pPr>
      <w:bookmarkStart w:id="106" w:name="_Toc468980476"/>
      <w:r>
        <w:t>Damages (</w:t>
      </w:r>
      <w:r w:rsidRPr="00E40F01">
        <w:rPr>
          <w:color w:val="C45911" w:themeColor="accent2" w:themeShade="BF"/>
        </w:rPr>
        <w:t xml:space="preserve">BCSA </w:t>
      </w:r>
      <w:r w:rsidR="003151CB" w:rsidRPr="00E40F01">
        <w:rPr>
          <w:color w:val="C45911" w:themeColor="accent2" w:themeShade="BF"/>
        </w:rPr>
        <w:t>Division 3</w:t>
      </w:r>
      <w:r>
        <w:t>)</w:t>
      </w:r>
      <w:bookmarkEnd w:id="106"/>
    </w:p>
    <w:p w:rsidR="00A938A0" w:rsidRDefault="00A938A0" w:rsidP="00FF0B61">
      <w:pPr>
        <w:spacing w:after="0" w:line="240" w:lineRule="auto"/>
      </w:pPr>
      <w:r w:rsidRPr="00A938A0">
        <w:t xml:space="preserve">Focus is to </w:t>
      </w:r>
      <w:r>
        <w:t xml:space="preserve">deter, not to compensate </w:t>
      </w:r>
      <w:r w:rsidRPr="00947349">
        <w:rPr>
          <w:b/>
        </w:rPr>
        <w:t xml:space="preserve">// </w:t>
      </w:r>
      <w:r w:rsidRPr="00A938A0">
        <w:t>Investors are unlikely to receive f</w:t>
      </w:r>
      <w:r>
        <w:t xml:space="preserve">ull compensation. </w:t>
      </w:r>
    </w:p>
    <w:p w:rsidR="00A938A0" w:rsidRPr="00A938A0" w:rsidRDefault="00A938A0" w:rsidP="00FF0B61">
      <w:pPr>
        <w:spacing w:after="0" w:line="240" w:lineRule="auto"/>
        <w:textAlignment w:val="center"/>
        <w:rPr>
          <w:rFonts w:eastAsia="Times New Roman" w:cs="Times New Roman"/>
          <w:b/>
          <w:lang w:eastAsia="en-CA"/>
        </w:rPr>
      </w:pPr>
      <w:r w:rsidRPr="00A938A0">
        <w:rPr>
          <w:rFonts w:eastAsia="Times New Roman" w:cs="Times New Roman"/>
          <w:b/>
          <w:lang w:eastAsia="en-CA"/>
        </w:rPr>
        <w:t>Damages for acquisition or disposal after the misrepresentation/failure to make disclosure</w:t>
      </w:r>
      <w:r w:rsidR="004C5BAE">
        <w:rPr>
          <w:rFonts w:eastAsia="Times New Roman" w:cs="Times New Roman"/>
          <w:b/>
          <w:lang w:eastAsia="en-CA"/>
        </w:rPr>
        <w:t xml:space="preserve"> (</w:t>
      </w:r>
      <w:r w:rsidR="004C5BAE" w:rsidRPr="004C5BAE">
        <w:rPr>
          <w:rFonts w:eastAsia="Times New Roman" w:cs="Times New Roman"/>
          <w:b/>
          <w:color w:val="C45911" w:themeColor="accent2" w:themeShade="BF"/>
          <w:lang w:eastAsia="en-CA"/>
        </w:rPr>
        <w:t>140.5</w:t>
      </w:r>
      <w:r w:rsidR="004C5BAE">
        <w:rPr>
          <w:rFonts w:eastAsia="Times New Roman" w:cs="Times New Roman"/>
          <w:b/>
          <w:lang w:eastAsia="en-CA"/>
        </w:rPr>
        <w:t>)</w:t>
      </w:r>
      <w:r w:rsidRPr="00A938A0">
        <w:rPr>
          <w:rFonts w:eastAsia="Times New Roman" w:cs="Times New Roman"/>
          <w:b/>
          <w:lang w:eastAsia="en-CA"/>
        </w:rPr>
        <w:t>:</w:t>
      </w:r>
    </w:p>
    <w:p w:rsidR="00A938A0" w:rsidRPr="00A938A0" w:rsidRDefault="00A938A0" w:rsidP="00FF0B61">
      <w:pPr>
        <w:pStyle w:val="ListParagraph"/>
        <w:numPr>
          <w:ilvl w:val="0"/>
          <w:numId w:val="144"/>
        </w:numPr>
        <w:spacing w:after="0"/>
        <w:textAlignment w:val="center"/>
        <w:rPr>
          <w:rFonts w:eastAsia="Times New Roman" w:cs="Times New Roman"/>
          <w:lang w:eastAsia="en-CA"/>
        </w:rPr>
      </w:pPr>
      <w:r>
        <w:rPr>
          <w:rFonts w:eastAsia="Times New Roman" w:cs="Times New Roman"/>
          <w:b/>
          <w:lang w:eastAsia="en-CA"/>
        </w:rPr>
        <w:t xml:space="preserve">1) </w:t>
      </w:r>
      <w:r w:rsidR="00556284" w:rsidRPr="00556284">
        <w:rPr>
          <w:rFonts w:eastAsia="Times New Roman" w:cs="Times New Roman"/>
          <w:b/>
          <w:lang w:eastAsia="en-CA"/>
        </w:rPr>
        <w:t xml:space="preserve">Securities disposed of </w:t>
      </w:r>
      <w:r w:rsidRPr="006C138F">
        <w:rPr>
          <w:rFonts w:eastAsia="Times New Roman" w:cs="Times New Roman"/>
          <w:b/>
          <w:lang w:eastAsia="en-CA"/>
        </w:rPr>
        <w:t>on/before 10 days after correction</w:t>
      </w:r>
      <w:r w:rsidRPr="00A938A0">
        <w:rPr>
          <w:rFonts w:eastAsia="Times New Roman" w:cs="Times New Roman"/>
          <w:lang w:eastAsia="en-CA"/>
        </w:rPr>
        <w:t xml:space="preserve">: </w:t>
      </w:r>
      <w:r>
        <w:rPr>
          <w:rFonts w:eastAsia="Times New Roman" w:cs="Times New Roman"/>
          <w:lang w:eastAsia="en-CA"/>
        </w:rPr>
        <w:t xml:space="preserve">Damages = difference b/w </w:t>
      </w:r>
      <w:r w:rsidRPr="00A938A0">
        <w:rPr>
          <w:rFonts w:eastAsia="Times New Roman" w:cs="Times New Roman"/>
          <w:lang w:eastAsia="en-CA"/>
        </w:rPr>
        <w:t>average price paid and price received on disposition</w:t>
      </w:r>
      <w:r w:rsidR="006C138F">
        <w:rPr>
          <w:rFonts w:eastAsia="Times New Roman" w:cs="Times New Roman"/>
          <w:lang w:eastAsia="en-CA"/>
        </w:rPr>
        <w:t>.</w:t>
      </w:r>
    </w:p>
    <w:p w:rsidR="00A938A0" w:rsidRPr="00A938A0" w:rsidRDefault="00A938A0" w:rsidP="00FF0B61">
      <w:pPr>
        <w:pStyle w:val="ListParagraph"/>
        <w:numPr>
          <w:ilvl w:val="0"/>
          <w:numId w:val="144"/>
        </w:numPr>
        <w:spacing w:after="0"/>
        <w:textAlignment w:val="center"/>
        <w:rPr>
          <w:rFonts w:eastAsia="Times New Roman" w:cs="Times New Roman"/>
          <w:lang w:eastAsia="en-CA"/>
        </w:rPr>
      </w:pPr>
      <w:r w:rsidRPr="006C138F">
        <w:rPr>
          <w:rFonts w:eastAsia="Times New Roman" w:cs="Times New Roman"/>
          <w:b/>
          <w:lang w:eastAsia="en-CA"/>
        </w:rPr>
        <w:t>2)</w:t>
      </w:r>
      <w:r w:rsidRPr="006C138F">
        <w:rPr>
          <w:rFonts w:eastAsia="Times New Roman" w:cs="Times New Roman"/>
          <w:lang w:eastAsia="en-CA"/>
        </w:rPr>
        <w:t xml:space="preserve"> </w:t>
      </w:r>
      <w:r w:rsidR="00556284" w:rsidRPr="00556284">
        <w:rPr>
          <w:rFonts w:eastAsia="Times New Roman" w:cs="Times New Roman"/>
          <w:b/>
          <w:lang w:eastAsia="en-CA"/>
        </w:rPr>
        <w:t>Securities disposed of a</w:t>
      </w:r>
      <w:r w:rsidRPr="00556284">
        <w:rPr>
          <w:rFonts w:eastAsia="Times New Roman" w:cs="Times New Roman"/>
          <w:b/>
          <w:lang w:eastAsia="en-CA"/>
        </w:rPr>
        <w:t>fter</w:t>
      </w:r>
      <w:r w:rsidRPr="006C138F">
        <w:rPr>
          <w:rFonts w:eastAsia="Times New Roman" w:cs="Times New Roman"/>
          <w:b/>
          <w:lang w:eastAsia="en-CA"/>
        </w:rPr>
        <w:t xml:space="preserve"> 10</w:t>
      </w:r>
      <w:r w:rsidRPr="006C138F">
        <w:rPr>
          <w:rFonts w:eastAsia="Times New Roman" w:cs="Times New Roman"/>
          <w:b/>
          <w:vertAlign w:val="superscript"/>
          <w:lang w:eastAsia="en-CA"/>
        </w:rPr>
        <w:t>th</w:t>
      </w:r>
      <w:r w:rsidRPr="006C138F">
        <w:rPr>
          <w:rFonts w:eastAsia="Times New Roman" w:cs="Times New Roman"/>
          <w:b/>
          <w:lang w:eastAsia="en-CA"/>
        </w:rPr>
        <w:t xml:space="preserve"> trading day</w:t>
      </w:r>
      <w:r w:rsidR="006C138F">
        <w:rPr>
          <w:rFonts w:eastAsia="Times New Roman" w:cs="Times New Roman"/>
          <w:lang w:eastAsia="en-CA"/>
        </w:rPr>
        <w:t>: D</w:t>
      </w:r>
      <w:r w:rsidRPr="00A938A0">
        <w:rPr>
          <w:rFonts w:eastAsia="Times New Roman" w:cs="Times New Roman"/>
          <w:lang w:eastAsia="en-CA"/>
        </w:rPr>
        <w:t>amages are the lesser of</w:t>
      </w:r>
      <w:r w:rsidR="006244C6">
        <w:rPr>
          <w:rFonts w:eastAsia="Times New Roman" w:cs="Times New Roman"/>
          <w:lang w:eastAsia="en-CA"/>
        </w:rPr>
        <w:t xml:space="preserve"> </w:t>
      </w:r>
      <w:r w:rsidR="006244C6" w:rsidRPr="006244C6">
        <w:rPr>
          <w:rFonts w:eastAsia="Times New Roman" w:cs="Times New Roman"/>
          <w:lang w:eastAsia="en-CA"/>
        </w:rPr>
        <w:sym w:font="Wingdings" w:char="F0E0"/>
      </w:r>
      <w:r w:rsidR="006244C6">
        <w:rPr>
          <w:rFonts w:eastAsia="Times New Roman" w:cs="Times New Roman"/>
          <w:lang w:eastAsia="en-CA"/>
        </w:rPr>
        <w:t xml:space="preserve"> T</w:t>
      </w:r>
      <w:r w:rsidRPr="00A938A0">
        <w:rPr>
          <w:rFonts w:eastAsia="Times New Roman" w:cs="Times New Roman"/>
          <w:lang w:eastAsia="en-CA"/>
        </w:rPr>
        <w:t>he difference between average price paid and p</w:t>
      </w:r>
      <w:r w:rsidR="006244C6">
        <w:rPr>
          <w:rFonts w:eastAsia="Times New Roman" w:cs="Times New Roman"/>
          <w:lang w:eastAsia="en-CA"/>
        </w:rPr>
        <w:t xml:space="preserve">rice received on disposition </w:t>
      </w:r>
      <w:r w:rsidR="006244C6">
        <w:rPr>
          <w:rFonts w:eastAsia="Times New Roman" w:cs="Times New Roman"/>
          <w:b/>
          <w:lang w:eastAsia="en-CA"/>
        </w:rPr>
        <w:t xml:space="preserve">OR </w:t>
      </w:r>
      <w:r w:rsidRPr="00A938A0">
        <w:rPr>
          <w:rFonts w:eastAsia="Times New Roman" w:cs="Times New Roman"/>
          <w:lang w:eastAsia="en-CA"/>
        </w:rPr>
        <w:t>the difference between average price paid and the average price over the 10 trading days after public correction or disclosure</w:t>
      </w:r>
      <w:r w:rsidR="004C5BAE">
        <w:rPr>
          <w:rFonts w:eastAsia="Times New Roman" w:cs="Times New Roman"/>
          <w:lang w:eastAsia="en-CA"/>
        </w:rPr>
        <w:t>.</w:t>
      </w:r>
    </w:p>
    <w:p w:rsidR="00A938A0" w:rsidRDefault="006C138F" w:rsidP="00FF0B61">
      <w:pPr>
        <w:pStyle w:val="ListParagraph"/>
        <w:numPr>
          <w:ilvl w:val="0"/>
          <w:numId w:val="144"/>
        </w:numPr>
        <w:spacing w:after="0"/>
        <w:textAlignment w:val="center"/>
        <w:rPr>
          <w:rFonts w:eastAsia="Times New Roman" w:cs="Times New Roman"/>
          <w:lang w:eastAsia="en-CA"/>
        </w:rPr>
      </w:pPr>
      <w:r>
        <w:rPr>
          <w:rFonts w:eastAsia="Times New Roman" w:cs="Times New Roman"/>
          <w:b/>
          <w:lang w:eastAsia="en-CA"/>
        </w:rPr>
        <w:t xml:space="preserve">3) </w:t>
      </w:r>
      <w:r w:rsidR="00A938A0" w:rsidRPr="00A938A0">
        <w:rPr>
          <w:rFonts w:eastAsia="Times New Roman" w:cs="Times New Roman"/>
          <w:b/>
          <w:lang w:eastAsia="en-CA"/>
        </w:rPr>
        <w:t xml:space="preserve">Where securities </w:t>
      </w:r>
      <w:r w:rsidR="00A938A0" w:rsidRPr="00A938A0">
        <w:rPr>
          <w:rFonts w:eastAsia="Times New Roman" w:cs="Times New Roman"/>
          <w:b/>
          <w:u w:val="single"/>
          <w:lang w:eastAsia="en-CA"/>
        </w:rPr>
        <w:t>are not disposed</w:t>
      </w:r>
      <w:r w:rsidR="00A938A0" w:rsidRPr="00A938A0">
        <w:rPr>
          <w:rFonts w:eastAsia="Times New Roman" w:cs="Times New Roman"/>
          <w:b/>
          <w:lang w:eastAsia="en-CA"/>
        </w:rPr>
        <w:t>:</w:t>
      </w:r>
      <w:r w:rsidR="00A938A0" w:rsidRPr="00A938A0">
        <w:rPr>
          <w:rFonts w:eastAsia="Times New Roman" w:cs="Times New Roman"/>
          <w:lang w:eastAsia="en-CA"/>
        </w:rPr>
        <w:t xml:space="preserve"> </w:t>
      </w:r>
      <w:r w:rsidR="006244C6">
        <w:rPr>
          <w:rFonts w:eastAsia="Times New Roman" w:cs="Times New Roman"/>
          <w:lang w:eastAsia="en-CA"/>
        </w:rPr>
        <w:t>D</w:t>
      </w:r>
      <w:r w:rsidR="00A938A0" w:rsidRPr="00A938A0">
        <w:rPr>
          <w:rFonts w:eastAsia="Times New Roman" w:cs="Times New Roman"/>
          <w:lang w:eastAsia="en-CA"/>
        </w:rPr>
        <w:t xml:space="preserve">amages are difference between average price paid and average trading price over 10 days after public correction </w:t>
      </w:r>
    </w:p>
    <w:p w:rsidR="00A938A0" w:rsidRDefault="00A938A0" w:rsidP="00FF0B61">
      <w:pPr>
        <w:pStyle w:val="ListParagraph"/>
        <w:numPr>
          <w:ilvl w:val="1"/>
          <w:numId w:val="144"/>
        </w:numPr>
        <w:spacing w:after="0"/>
        <w:textAlignment w:val="center"/>
        <w:rPr>
          <w:rFonts w:eastAsia="Times New Roman" w:cs="Times New Roman"/>
          <w:lang w:eastAsia="en-CA"/>
        </w:rPr>
      </w:pPr>
      <w:r w:rsidRPr="00A938A0">
        <w:rPr>
          <w:rFonts w:eastAsia="Times New Roman" w:cs="Times New Roman"/>
          <w:b/>
          <w:lang w:eastAsia="en-CA"/>
        </w:rPr>
        <w:t>Note:</w:t>
      </w:r>
      <w:r w:rsidRPr="00A938A0">
        <w:rPr>
          <w:rFonts w:eastAsia="Times New Roman" w:cs="Times New Roman"/>
          <w:lang w:eastAsia="en-CA"/>
        </w:rPr>
        <w:t xml:space="preserve"> for disposals of security, just reverse price paid and received</w:t>
      </w:r>
    </w:p>
    <w:p w:rsidR="004C5BAE" w:rsidRDefault="004C5BAE" w:rsidP="00FF0B61">
      <w:pPr>
        <w:spacing w:after="0" w:line="240" w:lineRule="auto"/>
        <w:textAlignment w:val="center"/>
        <w:rPr>
          <w:rFonts w:eastAsia="Times New Roman" w:cs="Times New Roman"/>
          <w:lang w:eastAsia="en-CA"/>
        </w:rPr>
      </w:pPr>
    </w:p>
    <w:p w:rsidR="00373B72" w:rsidRDefault="004C5BAE" w:rsidP="00FF0B61">
      <w:pPr>
        <w:spacing w:after="0" w:line="240" w:lineRule="auto"/>
        <w:textAlignment w:val="center"/>
        <w:rPr>
          <w:rFonts w:eastAsia="Times New Roman" w:cs="Times New Roman"/>
          <w:lang w:eastAsia="en-CA"/>
        </w:rPr>
      </w:pPr>
      <w:r w:rsidRPr="004C5BAE">
        <w:rPr>
          <w:rFonts w:eastAsia="Times New Roman" w:cs="Times New Roman"/>
          <w:b/>
          <w:u w:val="single"/>
          <w:lang w:eastAsia="en-CA"/>
        </w:rPr>
        <w:t>Liability is proportionate</w:t>
      </w:r>
      <w:r w:rsidRPr="004C5BAE">
        <w:rPr>
          <w:rFonts w:eastAsia="Times New Roman" w:cs="Times New Roman"/>
          <w:lang w:eastAsia="en-CA"/>
        </w:rPr>
        <w:t xml:space="preserve">, not </w:t>
      </w:r>
      <w:r>
        <w:rPr>
          <w:rFonts w:eastAsia="Times New Roman" w:cs="Times New Roman"/>
          <w:lang w:eastAsia="en-CA"/>
        </w:rPr>
        <w:t>joint and several (</w:t>
      </w:r>
      <w:r w:rsidRPr="004C5BAE">
        <w:rPr>
          <w:rFonts w:eastAsia="Times New Roman" w:cs="Times New Roman"/>
          <w:b/>
          <w:color w:val="C45911" w:themeColor="accent2" w:themeShade="BF"/>
          <w:lang w:eastAsia="en-CA"/>
        </w:rPr>
        <w:t>140.6</w:t>
      </w:r>
      <w:r w:rsidR="00947349">
        <w:rPr>
          <w:rFonts w:eastAsia="Times New Roman" w:cs="Times New Roman"/>
          <w:lang w:eastAsia="en-CA"/>
        </w:rPr>
        <w:t xml:space="preserve">) </w:t>
      </w:r>
      <w:r w:rsidR="00947349" w:rsidRPr="00947349">
        <w:rPr>
          <w:rFonts w:eastAsia="Times New Roman" w:cs="Times New Roman"/>
          <w:lang w:eastAsia="en-CA"/>
        </w:rPr>
        <w:sym w:font="Wingdings" w:char="F0E0"/>
      </w:r>
      <w:r w:rsidR="00947349">
        <w:rPr>
          <w:rFonts w:eastAsia="Times New Roman" w:cs="Times New Roman"/>
          <w:lang w:eastAsia="en-CA"/>
        </w:rPr>
        <w:t xml:space="preserve"> </w:t>
      </w:r>
      <w:r w:rsidRPr="00947349">
        <w:rPr>
          <w:rFonts w:eastAsia="Times New Roman" w:cs="Times New Roman"/>
          <w:b/>
          <w:lang w:eastAsia="en-CA"/>
        </w:rPr>
        <w:t>Note:</w:t>
      </w:r>
      <w:r w:rsidRPr="00947349">
        <w:rPr>
          <w:rFonts w:eastAsia="Times New Roman" w:cs="Times New Roman"/>
          <w:lang w:eastAsia="en-CA"/>
        </w:rPr>
        <w:t xml:space="preserve"> if a D, other than a responsible issuer,</w:t>
      </w:r>
      <w:r w:rsidRPr="008D014F">
        <w:rPr>
          <w:rFonts w:eastAsia="Times New Roman" w:cs="Times New Roman"/>
          <w:lang w:eastAsia="en-CA"/>
        </w:rPr>
        <w:t xml:space="preserve"> </w:t>
      </w:r>
      <w:r w:rsidRPr="008D014F">
        <w:rPr>
          <w:rFonts w:eastAsia="Times New Roman" w:cs="Times New Roman"/>
          <w:b/>
          <w:lang w:eastAsia="en-CA"/>
        </w:rPr>
        <w:t xml:space="preserve">authorized, permitted, or acquiesced, </w:t>
      </w:r>
      <w:r w:rsidRPr="008D014F">
        <w:rPr>
          <w:rFonts w:eastAsia="Times New Roman" w:cs="Times New Roman"/>
          <w:lang w:eastAsia="en-CA"/>
        </w:rPr>
        <w:t>the</w:t>
      </w:r>
      <w:r w:rsidRPr="00947349">
        <w:rPr>
          <w:rFonts w:eastAsia="Times New Roman" w:cs="Times New Roman"/>
          <w:lang w:eastAsia="en-CA"/>
        </w:rPr>
        <w:t xml:space="preserve"> whole amount may be recovered from him, and </w:t>
      </w:r>
      <w:r w:rsidRPr="00947349">
        <w:rPr>
          <w:rFonts w:eastAsia="Times New Roman" w:cs="Times New Roman"/>
          <w:b/>
          <w:u w:val="single"/>
          <w:lang w:eastAsia="en-CA"/>
        </w:rPr>
        <w:t>it is joint and several</w:t>
      </w:r>
      <w:r w:rsidR="008767B5">
        <w:rPr>
          <w:rFonts w:eastAsia="Times New Roman" w:cs="Times New Roman"/>
          <w:lang w:eastAsia="en-CA"/>
        </w:rPr>
        <w:t xml:space="preserve"> between such D’s. </w:t>
      </w:r>
    </w:p>
    <w:p w:rsidR="007C4FF8" w:rsidRPr="008767B5" w:rsidRDefault="007C4FF8" w:rsidP="00FF0B61">
      <w:pPr>
        <w:spacing w:after="0" w:line="240" w:lineRule="auto"/>
        <w:textAlignment w:val="center"/>
        <w:rPr>
          <w:rFonts w:eastAsia="Times New Roman" w:cs="Times New Roman"/>
          <w:lang w:eastAsia="en-CA"/>
        </w:rPr>
      </w:pPr>
    </w:p>
    <w:tbl>
      <w:tblPr>
        <w:tblStyle w:val="GridTable4-Accent1"/>
        <w:tblW w:w="0" w:type="auto"/>
        <w:tblLook w:val="04A0" w:firstRow="1" w:lastRow="0" w:firstColumn="1" w:lastColumn="0" w:noHBand="0" w:noVBand="1"/>
      </w:tblPr>
      <w:tblGrid>
        <w:gridCol w:w="2329"/>
        <w:gridCol w:w="7859"/>
      </w:tblGrid>
      <w:tr w:rsidR="00CE38F0" w:rsidRPr="006804FE" w:rsidTr="00F27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tcPr>
          <w:p w:rsidR="00CE38F0" w:rsidRPr="00CE38F0" w:rsidRDefault="00CE38F0" w:rsidP="00FF0B61">
            <w:pPr>
              <w:pStyle w:val="NoSpacing"/>
              <w:jc w:val="center"/>
              <w:rPr>
                <w:rFonts w:asciiTheme="minorHAnsi" w:hAnsiTheme="minorHAnsi" w:cs="Arial"/>
                <w:b w:val="0"/>
                <w:sz w:val="18"/>
                <w:szCs w:val="18"/>
              </w:rPr>
            </w:pPr>
            <w:r w:rsidRPr="00F27917">
              <w:rPr>
                <w:rFonts w:asciiTheme="minorHAnsi" w:hAnsiTheme="minorHAnsi" w:cs="Arial"/>
                <w:color w:val="auto"/>
                <w:sz w:val="18"/>
                <w:szCs w:val="18"/>
              </w:rPr>
              <w:t xml:space="preserve">Recoverable Damages: Liability </w:t>
            </w:r>
            <w:r w:rsidRPr="00CD14D1">
              <w:rPr>
                <w:rFonts w:asciiTheme="minorHAnsi" w:hAnsiTheme="minorHAnsi" w:cs="Arial"/>
                <w:color w:val="auto"/>
                <w:sz w:val="18"/>
                <w:szCs w:val="18"/>
              </w:rPr>
              <w:t xml:space="preserve">Caps </w:t>
            </w:r>
            <w:r w:rsidR="00D100B8" w:rsidRPr="00CD14D1">
              <w:rPr>
                <w:rFonts w:asciiTheme="minorHAnsi" w:hAnsiTheme="minorHAnsi" w:cs="Arial"/>
                <w:color w:val="auto"/>
                <w:sz w:val="18"/>
                <w:szCs w:val="18"/>
              </w:rPr>
              <w:t>(</w:t>
            </w:r>
            <w:r w:rsidRPr="00CD14D1">
              <w:rPr>
                <w:rFonts w:asciiTheme="minorHAnsi" w:hAnsiTheme="minorHAnsi" w:cs="Arial"/>
                <w:color w:val="C45911" w:themeColor="accent2" w:themeShade="BF"/>
                <w:sz w:val="18"/>
                <w:szCs w:val="18"/>
              </w:rPr>
              <w:t>140.7(1)</w:t>
            </w:r>
            <w:r w:rsidR="00D100B8" w:rsidRPr="00CD14D1">
              <w:rPr>
                <w:rFonts w:asciiTheme="minorHAnsi" w:hAnsiTheme="minorHAnsi" w:cs="Arial"/>
                <w:color w:val="C45911" w:themeColor="accent2" w:themeShade="BF"/>
                <w:sz w:val="18"/>
                <w:szCs w:val="18"/>
              </w:rPr>
              <w:t>)</w:t>
            </w:r>
          </w:p>
        </w:tc>
      </w:tr>
      <w:tr w:rsidR="00CE38F0" w:rsidRPr="006804FE" w:rsidTr="00F2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rsidR="00CE38F0" w:rsidRPr="00CE38F0" w:rsidRDefault="00CE38F0" w:rsidP="00FF0B61">
            <w:pPr>
              <w:pStyle w:val="NoSpacing"/>
              <w:rPr>
                <w:rFonts w:asciiTheme="minorHAnsi" w:hAnsiTheme="minorHAnsi" w:cs="Arial"/>
                <w:b w:val="0"/>
                <w:sz w:val="18"/>
                <w:szCs w:val="18"/>
              </w:rPr>
            </w:pPr>
            <w:r w:rsidRPr="00CE38F0">
              <w:rPr>
                <w:rFonts w:asciiTheme="minorHAnsi" w:hAnsiTheme="minorHAnsi" w:cs="Arial"/>
                <w:sz w:val="18"/>
                <w:szCs w:val="18"/>
              </w:rPr>
              <w:t>Responsible Issuer</w:t>
            </w:r>
          </w:p>
        </w:tc>
        <w:tc>
          <w:tcPr>
            <w:tcW w:w="7859" w:type="dxa"/>
          </w:tcPr>
          <w:p w:rsidR="00CE38F0" w:rsidRPr="00CE38F0" w:rsidRDefault="00CE38F0" w:rsidP="00FF0B6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CE38F0">
              <w:rPr>
                <w:rFonts w:asciiTheme="minorHAnsi" w:hAnsiTheme="minorHAnsi" w:cs="Arial"/>
                <w:sz w:val="18"/>
                <w:szCs w:val="18"/>
              </w:rPr>
              <w:t>The greater of 5% of its market cap (the number of common shares outstanding, multiplied by the market price per share) or $1 million.</w:t>
            </w:r>
          </w:p>
        </w:tc>
      </w:tr>
      <w:tr w:rsidR="00CE38F0" w:rsidRPr="006804FE" w:rsidTr="00F27917">
        <w:tc>
          <w:tcPr>
            <w:cnfStyle w:val="001000000000" w:firstRow="0" w:lastRow="0" w:firstColumn="1" w:lastColumn="0" w:oddVBand="0" w:evenVBand="0" w:oddHBand="0" w:evenHBand="0" w:firstRowFirstColumn="0" w:firstRowLastColumn="0" w:lastRowFirstColumn="0" w:lastRowLastColumn="0"/>
            <w:tcW w:w="2329" w:type="dxa"/>
          </w:tcPr>
          <w:p w:rsidR="00CE38F0" w:rsidRPr="00CE38F0" w:rsidRDefault="00CE38F0" w:rsidP="00FF0B61">
            <w:pPr>
              <w:pStyle w:val="NoSpacing"/>
              <w:rPr>
                <w:rFonts w:asciiTheme="minorHAnsi" w:hAnsiTheme="minorHAnsi" w:cs="Arial"/>
                <w:b w:val="0"/>
                <w:sz w:val="18"/>
                <w:szCs w:val="18"/>
              </w:rPr>
            </w:pPr>
            <w:r w:rsidRPr="00CE38F0">
              <w:rPr>
                <w:rFonts w:asciiTheme="minorHAnsi" w:hAnsiTheme="minorHAnsi" w:cs="Arial"/>
                <w:sz w:val="18"/>
                <w:szCs w:val="18"/>
              </w:rPr>
              <w:t>D</w:t>
            </w:r>
            <w:r>
              <w:rPr>
                <w:rFonts w:asciiTheme="minorHAnsi" w:hAnsiTheme="minorHAnsi" w:cs="Arial"/>
                <w:sz w:val="18"/>
                <w:szCs w:val="18"/>
              </w:rPr>
              <w:t>IRs</w:t>
            </w:r>
            <w:r w:rsidRPr="00CE38F0">
              <w:rPr>
                <w:rFonts w:asciiTheme="minorHAnsi" w:hAnsiTheme="minorHAnsi" w:cs="Arial"/>
                <w:sz w:val="18"/>
                <w:szCs w:val="18"/>
              </w:rPr>
              <w:t xml:space="preserve"> and </w:t>
            </w:r>
            <w:r>
              <w:rPr>
                <w:rFonts w:asciiTheme="minorHAnsi" w:hAnsiTheme="minorHAnsi" w:cs="Arial"/>
                <w:sz w:val="18"/>
                <w:szCs w:val="18"/>
              </w:rPr>
              <w:t>OFR</w:t>
            </w:r>
            <w:r w:rsidRPr="00CE38F0">
              <w:rPr>
                <w:rFonts w:asciiTheme="minorHAnsi" w:hAnsiTheme="minorHAnsi" w:cs="Arial"/>
                <w:sz w:val="18"/>
                <w:szCs w:val="18"/>
              </w:rPr>
              <w:t xml:space="preserve"> (or someone else who made a public oral statement)</w:t>
            </w:r>
          </w:p>
        </w:tc>
        <w:tc>
          <w:tcPr>
            <w:tcW w:w="7859" w:type="dxa"/>
          </w:tcPr>
          <w:p w:rsidR="00CE38F0" w:rsidRPr="00CE38F0" w:rsidRDefault="00CE38F0" w:rsidP="00FF0B6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CE38F0">
              <w:rPr>
                <w:rFonts w:asciiTheme="minorHAnsi" w:hAnsiTheme="minorHAnsi" w:cs="Arial"/>
                <w:sz w:val="18"/>
                <w:szCs w:val="18"/>
              </w:rPr>
              <w:t>The greater of 50% of the aggregate of D’s compensation from the issuer and its affiliates or $25,000.</w:t>
            </w:r>
          </w:p>
        </w:tc>
      </w:tr>
      <w:tr w:rsidR="00CE38F0" w:rsidRPr="006804FE" w:rsidTr="00F2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rsidR="00CE38F0" w:rsidRPr="00CE38F0" w:rsidRDefault="00CE38F0" w:rsidP="00FF0B61">
            <w:pPr>
              <w:pStyle w:val="NoSpacing"/>
              <w:rPr>
                <w:rFonts w:asciiTheme="minorHAnsi" w:hAnsiTheme="minorHAnsi" w:cs="Arial"/>
                <w:b w:val="0"/>
                <w:sz w:val="18"/>
                <w:szCs w:val="18"/>
              </w:rPr>
            </w:pPr>
            <w:r w:rsidRPr="00CE38F0">
              <w:rPr>
                <w:rFonts w:asciiTheme="minorHAnsi" w:hAnsiTheme="minorHAnsi" w:cs="Arial"/>
                <w:sz w:val="18"/>
                <w:szCs w:val="18"/>
              </w:rPr>
              <w:t>Experts</w:t>
            </w:r>
          </w:p>
        </w:tc>
        <w:tc>
          <w:tcPr>
            <w:tcW w:w="7859" w:type="dxa"/>
          </w:tcPr>
          <w:p w:rsidR="00CE38F0" w:rsidRPr="00CE38F0" w:rsidRDefault="00CE38F0" w:rsidP="00FF0B6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CE38F0">
              <w:rPr>
                <w:rFonts w:asciiTheme="minorHAnsi" w:hAnsiTheme="minorHAnsi" w:cs="Arial"/>
                <w:sz w:val="18"/>
                <w:szCs w:val="18"/>
              </w:rPr>
              <w:t>The greater of the revenue that the expert and its affiliates earned from the issuer and its affiliates during the 12 months preceding the misrepresentation or $1 million</w:t>
            </w:r>
            <w:r w:rsidR="00DE3D60">
              <w:rPr>
                <w:rFonts w:asciiTheme="minorHAnsi" w:hAnsiTheme="minorHAnsi" w:cs="Arial"/>
                <w:sz w:val="18"/>
                <w:szCs w:val="18"/>
              </w:rPr>
              <w:t xml:space="preserve"> (greater limit b/c insurance)</w:t>
            </w:r>
            <w:r w:rsidRPr="00CE38F0">
              <w:rPr>
                <w:rFonts w:asciiTheme="minorHAnsi" w:hAnsiTheme="minorHAnsi" w:cs="Arial"/>
                <w:sz w:val="18"/>
                <w:szCs w:val="18"/>
              </w:rPr>
              <w:t>.</w:t>
            </w:r>
          </w:p>
        </w:tc>
      </w:tr>
      <w:tr w:rsidR="00947349" w:rsidRPr="006804FE" w:rsidTr="00F27917">
        <w:tc>
          <w:tcPr>
            <w:cnfStyle w:val="001000000000" w:firstRow="0" w:lastRow="0" w:firstColumn="1" w:lastColumn="0" w:oddVBand="0" w:evenVBand="0" w:oddHBand="0" w:evenHBand="0" w:firstRowFirstColumn="0" w:firstRowLastColumn="0" w:lastRowFirstColumn="0" w:lastRowLastColumn="0"/>
            <w:tcW w:w="10188" w:type="dxa"/>
            <w:gridSpan w:val="2"/>
          </w:tcPr>
          <w:p w:rsidR="00EB1868" w:rsidRPr="00CE38F0" w:rsidRDefault="00947349" w:rsidP="00FF0B61">
            <w:pPr>
              <w:pStyle w:val="NoSpacing"/>
              <w:rPr>
                <w:rFonts w:asciiTheme="minorHAnsi" w:hAnsiTheme="minorHAnsi" w:cs="Arial"/>
                <w:sz w:val="18"/>
                <w:szCs w:val="18"/>
              </w:rPr>
            </w:pPr>
            <w:r>
              <w:rPr>
                <w:rFonts w:asciiTheme="minorHAnsi" w:hAnsiTheme="minorHAnsi" w:cs="Arial"/>
                <w:sz w:val="18"/>
                <w:szCs w:val="18"/>
              </w:rPr>
              <w:t xml:space="preserve">Cap </w:t>
            </w:r>
            <w:r w:rsidR="00383689">
              <w:rPr>
                <w:rFonts w:asciiTheme="minorHAnsi" w:hAnsiTheme="minorHAnsi" w:cs="Arial"/>
                <w:sz w:val="18"/>
                <w:szCs w:val="18"/>
              </w:rPr>
              <w:t xml:space="preserve">does </w:t>
            </w:r>
            <w:r w:rsidR="00383689" w:rsidRPr="00383689">
              <w:rPr>
                <w:rFonts w:asciiTheme="minorHAnsi" w:hAnsiTheme="minorHAnsi" w:cs="Arial"/>
                <w:sz w:val="18"/>
                <w:szCs w:val="18"/>
              </w:rPr>
              <w:t xml:space="preserve">not apply to a person, </w:t>
            </w:r>
            <w:r w:rsidR="00383689" w:rsidRPr="00383689">
              <w:rPr>
                <w:rFonts w:asciiTheme="minorHAnsi" w:hAnsiTheme="minorHAnsi" w:cs="Arial"/>
                <w:sz w:val="18"/>
                <w:szCs w:val="18"/>
                <w:u w:val="single"/>
              </w:rPr>
              <w:t>other than the responsible issuer</w:t>
            </w:r>
            <w:r w:rsidR="00383689" w:rsidRPr="00383689">
              <w:rPr>
                <w:rFonts w:asciiTheme="minorHAnsi" w:hAnsiTheme="minorHAnsi" w:cs="Arial"/>
                <w:sz w:val="18"/>
                <w:szCs w:val="18"/>
              </w:rPr>
              <w:t xml:space="preserve">, if the </w:t>
            </w:r>
            <w:r w:rsidR="00383689">
              <w:rPr>
                <w:rFonts w:asciiTheme="minorHAnsi" w:hAnsiTheme="minorHAnsi" w:cs="Arial"/>
                <w:sz w:val="18"/>
                <w:szCs w:val="18"/>
              </w:rPr>
              <w:t>P</w:t>
            </w:r>
            <w:r w:rsidR="00383689" w:rsidRPr="00383689">
              <w:rPr>
                <w:rFonts w:asciiTheme="minorHAnsi" w:hAnsiTheme="minorHAnsi" w:cs="Arial"/>
                <w:sz w:val="18"/>
                <w:szCs w:val="18"/>
              </w:rPr>
              <w:t xml:space="preserve"> proves that the </w:t>
            </w:r>
            <w:r w:rsidR="00383689" w:rsidRPr="00383689">
              <w:rPr>
                <w:rFonts w:asciiTheme="minorHAnsi" w:hAnsiTheme="minorHAnsi" w:cs="Arial"/>
                <w:sz w:val="18"/>
                <w:szCs w:val="18"/>
                <w:u w:val="single"/>
              </w:rPr>
              <w:t>person authorized, permitted or acquiesced</w:t>
            </w:r>
            <w:r w:rsidR="00383689" w:rsidRPr="00383689">
              <w:rPr>
                <w:rFonts w:asciiTheme="minorHAnsi" w:hAnsiTheme="minorHAnsi" w:cs="Arial"/>
                <w:sz w:val="18"/>
                <w:szCs w:val="18"/>
              </w:rPr>
              <w:t xml:space="preserve"> in the making of the misrepresentation or the failure to make timely disclosure while knowing that it was a misrepresentation or a failure to make timely disclosure, or influenced the making of the misrepresentation or the failure to make timely disclosure while knowing that it was a misrepresentation or a fa</w:t>
            </w:r>
            <w:r w:rsidR="00CD14D1">
              <w:rPr>
                <w:rFonts w:asciiTheme="minorHAnsi" w:hAnsiTheme="minorHAnsi" w:cs="Arial"/>
                <w:sz w:val="18"/>
                <w:szCs w:val="18"/>
              </w:rPr>
              <w:t>ilure to make timely disclosure (</w:t>
            </w:r>
            <w:r w:rsidR="00CD14D1" w:rsidRPr="00CD14D1">
              <w:rPr>
                <w:rFonts w:asciiTheme="minorHAnsi" w:hAnsiTheme="minorHAnsi" w:cs="Arial"/>
                <w:color w:val="C45911" w:themeColor="accent2" w:themeShade="BF"/>
                <w:sz w:val="18"/>
                <w:szCs w:val="18"/>
              </w:rPr>
              <w:t>140.7(2)</w:t>
            </w:r>
            <w:r w:rsidR="00CD14D1">
              <w:rPr>
                <w:rFonts w:asciiTheme="minorHAnsi" w:hAnsiTheme="minorHAnsi" w:cs="Arial"/>
                <w:sz w:val="18"/>
                <w:szCs w:val="18"/>
              </w:rPr>
              <w:t>)</w:t>
            </w:r>
          </w:p>
        </w:tc>
      </w:tr>
    </w:tbl>
    <w:p w:rsidR="00AA3764" w:rsidRDefault="00AA3764" w:rsidP="00FF0B61">
      <w:pPr>
        <w:spacing w:line="240" w:lineRule="auto"/>
      </w:pPr>
    </w:p>
    <w:sectPr w:rsidR="00AA3764" w:rsidSect="00C312E5">
      <w:footerReference w:type="default" r:id="rId8"/>
      <w:pgSz w:w="12240" w:h="15840"/>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23" w:rsidRDefault="007A3D23" w:rsidP="00510E98">
      <w:pPr>
        <w:spacing w:after="0" w:line="240" w:lineRule="auto"/>
      </w:pPr>
      <w:r>
        <w:separator/>
      </w:r>
    </w:p>
  </w:endnote>
  <w:endnote w:type="continuationSeparator" w:id="0">
    <w:p w:rsidR="007A3D23" w:rsidRDefault="007A3D23" w:rsidP="005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Nova Mon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926617"/>
      <w:docPartObj>
        <w:docPartGallery w:val="Page Numbers (Bottom of Page)"/>
        <w:docPartUnique/>
      </w:docPartObj>
    </w:sdtPr>
    <w:sdtEndPr>
      <w:rPr>
        <w:noProof/>
      </w:rPr>
    </w:sdtEndPr>
    <w:sdtContent>
      <w:p w:rsidR="00B74058" w:rsidRDefault="00B74058">
        <w:pPr>
          <w:pStyle w:val="Footer"/>
          <w:jc w:val="right"/>
        </w:pPr>
        <w:r>
          <w:fldChar w:fldCharType="begin"/>
        </w:r>
        <w:r>
          <w:instrText xml:space="preserve"> PAGE   \* MERGEFORMAT </w:instrText>
        </w:r>
        <w:r>
          <w:fldChar w:fldCharType="separate"/>
        </w:r>
        <w:r w:rsidR="002F6371">
          <w:rPr>
            <w:noProof/>
          </w:rPr>
          <w:t>33</w:t>
        </w:r>
        <w:r>
          <w:rPr>
            <w:noProof/>
          </w:rPr>
          <w:fldChar w:fldCharType="end"/>
        </w:r>
      </w:p>
    </w:sdtContent>
  </w:sdt>
  <w:p w:rsidR="00B74058" w:rsidRDefault="00B74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23" w:rsidRDefault="007A3D23" w:rsidP="00510E98">
      <w:pPr>
        <w:spacing w:after="0" w:line="240" w:lineRule="auto"/>
      </w:pPr>
      <w:r>
        <w:separator/>
      </w:r>
    </w:p>
  </w:footnote>
  <w:footnote w:type="continuationSeparator" w:id="0">
    <w:p w:rsidR="007A3D23" w:rsidRDefault="007A3D23" w:rsidP="0051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C90B842"/>
    <w:lvl w:ilvl="0">
      <w:start w:val="1"/>
      <w:numFmt w:val="decimal"/>
      <w:pStyle w:val="ListNumber3"/>
      <w:lvlText w:val="%1."/>
      <w:lvlJc w:val="left"/>
      <w:pPr>
        <w:tabs>
          <w:tab w:val="num" w:pos="926"/>
        </w:tabs>
        <w:ind w:left="926" w:hanging="360"/>
      </w:pPr>
      <w:rPr>
        <w:b w:val="0"/>
        <w:i w:val="0"/>
      </w:rPr>
    </w:lvl>
  </w:abstractNum>
  <w:abstractNum w:abstractNumId="1" w15:restartNumberingAfterBreak="0">
    <w:nsid w:val="FFFFFF82"/>
    <w:multiLevelType w:val="singleLevel"/>
    <w:tmpl w:val="3222CB2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880616"/>
    <w:lvl w:ilvl="0">
      <w:start w:val="1"/>
      <w:numFmt w:val="bullet"/>
      <w:pStyle w:val="ListBullet2"/>
      <w:lvlText w:val=""/>
      <w:lvlJc w:val="left"/>
      <w:pPr>
        <w:tabs>
          <w:tab w:val="num" w:pos="643"/>
        </w:tabs>
        <w:ind w:left="643" w:hanging="360"/>
      </w:pPr>
      <w:rPr>
        <w:rFonts w:ascii="Symbol" w:hAnsi="Symbol" w:hint="default"/>
        <w:color w:val="auto"/>
        <w:sz w:val="18"/>
        <w:szCs w:val="18"/>
      </w:rPr>
    </w:lvl>
  </w:abstractNum>
  <w:abstractNum w:abstractNumId="3" w15:restartNumberingAfterBreak="0">
    <w:nsid w:val="FFFFFF88"/>
    <w:multiLevelType w:val="singleLevel"/>
    <w:tmpl w:val="E2985EFE"/>
    <w:lvl w:ilvl="0">
      <w:start w:val="1"/>
      <w:numFmt w:val="decimal"/>
      <w:pStyle w:val="ListNumber"/>
      <w:lvlText w:val="%1."/>
      <w:lvlJc w:val="left"/>
      <w:pPr>
        <w:tabs>
          <w:tab w:val="num" w:pos="360"/>
        </w:tabs>
        <w:ind w:left="360" w:hanging="360"/>
      </w:pPr>
      <w:rPr>
        <w:b w:val="0"/>
        <w:i w:val="0"/>
      </w:rPr>
    </w:lvl>
  </w:abstractNum>
  <w:abstractNum w:abstractNumId="4" w15:restartNumberingAfterBreak="0">
    <w:nsid w:val="FFFFFF89"/>
    <w:multiLevelType w:val="singleLevel"/>
    <w:tmpl w:val="92368D7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3F1E78"/>
    <w:multiLevelType w:val="hybridMultilevel"/>
    <w:tmpl w:val="4146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122E3E"/>
    <w:multiLevelType w:val="hybridMultilevel"/>
    <w:tmpl w:val="298093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18C7F24"/>
    <w:multiLevelType w:val="hybridMultilevel"/>
    <w:tmpl w:val="C6A8B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2952E91"/>
    <w:multiLevelType w:val="hybridMultilevel"/>
    <w:tmpl w:val="D9FAFEFA"/>
    <w:lvl w:ilvl="0" w:tplc="3FEC9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917D60"/>
    <w:multiLevelType w:val="hybridMultilevel"/>
    <w:tmpl w:val="34527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0C53B2"/>
    <w:multiLevelType w:val="hybridMultilevel"/>
    <w:tmpl w:val="2B3E5BDA"/>
    <w:lvl w:ilvl="0" w:tplc="2B94526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57C06B6"/>
    <w:multiLevelType w:val="hybridMultilevel"/>
    <w:tmpl w:val="583ED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595657D"/>
    <w:multiLevelType w:val="hybridMultilevel"/>
    <w:tmpl w:val="1A44F45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8542B6E"/>
    <w:multiLevelType w:val="hybridMultilevel"/>
    <w:tmpl w:val="B45A8A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A977C50"/>
    <w:multiLevelType w:val="hybridMultilevel"/>
    <w:tmpl w:val="AF0A9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026BC2"/>
    <w:multiLevelType w:val="hybridMultilevel"/>
    <w:tmpl w:val="59D6F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C072045"/>
    <w:multiLevelType w:val="hybridMultilevel"/>
    <w:tmpl w:val="7F80F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CA1406E"/>
    <w:multiLevelType w:val="hybridMultilevel"/>
    <w:tmpl w:val="25220074"/>
    <w:lvl w:ilvl="0" w:tplc="63B6C04C">
      <w:start w:val="1"/>
      <w:numFmt w:val="lowerLetter"/>
      <w:lvlText w:val="(%1)"/>
      <w:lvlJc w:val="left"/>
      <w:pPr>
        <w:ind w:left="720" w:hanging="360"/>
      </w:pPr>
      <w:rPr>
        <w:rFonts w:asciiTheme="minorHAnsi" w:eastAsiaTheme="minorHAnsi" w:hAnsiTheme="minorHAnsi" w:cstheme="minorBidi"/>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D220119"/>
    <w:multiLevelType w:val="hybridMultilevel"/>
    <w:tmpl w:val="8736B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D256811"/>
    <w:multiLevelType w:val="hybridMultilevel"/>
    <w:tmpl w:val="BDCCD1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D8F534E"/>
    <w:multiLevelType w:val="hybridMultilevel"/>
    <w:tmpl w:val="51323F26"/>
    <w:lvl w:ilvl="0" w:tplc="BA3404E8">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E0C1876"/>
    <w:multiLevelType w:val="hybridMultilevel"/>
    <w:tmpl w:val="5566AE5A"/>
    <w:lvl w:ilvl="0" w:tplc="21CE490A">
      <w:start w:val="1"/>
      <w:numFmt w:val="bullet"/>
      <w:lvlText w:val=""/>
      <w:lvlJc w:val="left"/>
      <w:pPr>
        <w:ind w:left="720" w:hanging="360"/>
      </w:pPr>
      <w:rPr>
        <w:rFonts w:ascii="Symbol" w:hAnsi="Symbol" w:hint="default"/>
        <w:sz w:val="18"/>
        <w:szCs w:val="18"/>
      </w:rPr>
    </w:lvl>
    <w:lvl w:ilvl="1" w:tplc="FC0E2B38">
      <w:start w:val="13"/>
      <w:numFmt w:val="bullet"/>
      <w:lvlText w:val="-"/>
      <w:lvlJc w:val="left"/>
      <w:pPr>
        <w:ind w:left="1440" w:hanging="360"/>
      </w:pPr>
      <w:rPr>
        <w:rFonts w:ascii="Calibri" w:eastAsia="Arial Unicode MS" w:hAnsi="Calibri" w:cs="Arial Unicode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E160ABD"/>
    <w:multiLevelType w:val="hybridMultilevel"/>
    <w:tmpl w:val="581223A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0EE3552A"/>
    <w:multiLevelType w:val="hybridMultilevel"/>
    <w:tmpl w:val="DBF61DE4"/>
    <w:lvl w:ilvl="0" w:tplc="7B2E3B7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0F584A2F"/>
    <w:multiLevelType w:val="hybridMultilevel"/>
    <w:tmpl w:val="8D3A7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073354D"/>
    <w:multiLevelType w:val="hybridMultilevel"/>
    <w:tmpl w:val="37AE6CF8"/>
    <w:lvl w:ilvl="0" w:tplc="10090001">
      <w:start w:val="1"/>
      <w:numFmt w:val="bullet"/>
      <w:lvlText w:val=""/>
      <w:lvlJc w:val="left"/>
      <w:pPr>
        <w:ind w:left="720" w:hanging="360"/>
      </w:pPr>
      <w:rPr>
        <w:rFonts w:ascii="Symbol" w:hAnsi="Symbol" w:hint="default"/>
      </w:rPr>
    </w:lvl>
    <w:lvl w:ilvl="1" w:tplc="E7B810B6">
      <w:numFmt w:val="bullet"/>
      <w:lvlText w:val="-"/>
      <w:lvlJc w:val="left"/>
      <w:pPr>
        <w:ind w:left="1440" w:hanging="360"/>
      </w:pPr>
      <w:rPr>
        <w:rFonts w:ascii="Calibri" w:eastAsia="Arial Unicode MS" w:hAnsi="Calibri" w:cs="Arial Unicode 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2574679"/>
    <w:multiLevelType w:val="hybridMultilevel"/>
    <w:tmpl w:val="911426B4"/>
    <w:lvl w:ilvl="0" w:tplc="F0B6F4F2">
      <w:start w:val="1"/>
      <w:numFmt w:val="bullet"/>
      <w:lvlText w:val=""/>
      <w:lvlJc w:val="left"/>
      <w:pPr>
        <w:ind w:left="720" w:hanging="360"/>
      </w:pPr>
      <w:rPr>
        <w:rFonts w:ascii="Symbol" w:hAnsi="Symbol" w:hint="default"/>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12A87608"/>
    <w:multiLevelType w:val="hybridMultilevel"/>
    <w:tmpl w:val="DE48F3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4A36E00"/>
    <w:multiLevelType w:val="hybridMultilevel"/>
    <w:tmpl w:val="9DE61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6E6351C"/>
    <w:multiLevelType w:val="hybridMultilevel"/>
    <w:tmpl w:val="617C25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7071378"/>
    <w:multiLevelType w:val="hybridMultilevel"/>
    <w:tmpl w:val="260618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1A667C3D"/>
    <w:multiLevelType w:val="hybridMultilevel"/>
    <w:tmpl w:val="C1E28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ABA145A"/>
    <w:multiLevelType w:val="hybridMultilevel"/>
    <w:tmpl w:val="F1084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BEC704D"/>
    <w:multiLevelType w:val="hybridMultilevel"/>
    <w:tmpl w:val="82B86930"/>
    <w:lvl w:ilvl="0" w:tplc="BA3404E8">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E0D103A"/>
    <w:multiLevelType w:val="hybridMultilevel"/>
    <w:tmpl w:val="1D1C0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E8454F3"/>
    <w:multiLevelType w:val="hybridMultilevel"/>
    <w:tmpl w:val="5C546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F215BCF"/>
    <w:multiLevelType w:val="hybridMultilevel"/>
    <w:tmpl w:val="291450CE"/>
    <w:lvl w:ilvl="0" w:tplc="FD263F3A">
      <w:start w:val="1"/>
      <w:numFmt w:val="decimal"/>
      <w:lvlText w:val="%1."/>
      <w:lvlJc w:val="left"/>
      <w:pPr>
        <w:ind w:left="720" w:hanging="360"/>
      </w:pPr>
      <w:rPr>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1FCD418E"/>
    <w:multiLevelType w:val="hybridMultilevel"/>
    <w:tmpl w:val="B4A47F98"/>
    <w:lvl w:ilvl="0" w:tplc="10090001">
      <w:start w:val="1"/>
      <w:numFmt w:val="bullet"/>
      <w:lvlText w:val=""/>
      <w:lvlJc w:val="left"/>
      <w:pPr>
        <w:ind w:left="720" w:hanging="360"/>
      </w:pPr>
      <w:rPr>
        <w:rFonts w:ascii="Symbol" w:hAnsi="Symbol" w:hint="default"/>
      </w:rPr>
    </w:lvl>
    <w:lvl w:ilvl="1" w:tplc="798ED5FE">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08D74CD"/>
    <w:multiLevelType w:val="hybridMultilevel"/>
    <w:tmpl w:val="67467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0A46C2C"/>
    <w:multiLevelType w:val="hybridMultilevel"/>
    <w:tmpl w:val="573E7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1240B6E"/>
    <w:multiLevelType w:val="hybridMultilevel"/>
    <w:tmpl w:val="988A7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2BF1F53"/>
    <w:multiLevelType w:val="hybridMultilevel"/>
    <w:tmpl w:val="CFFEC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3B87755"/>
    <w:multiLevelType w:val="hybridMultilevel"/>
    <w:tmpl w:val="50706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49350CC"/>
    <w:multiLevelType w:val="hybridMultilevel"/>
    <w:tmpl w:val="D1C4EC7E"/>
    <w:lvl w:ilvl="0" w:tplc="2B94526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4A932C0"/>
    <w:multiLevelType w:val="hybridMultilevel"/>
    <w:tmpl w:val="6D7CB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55151D6"/>
    <w:multiLevelType w:val="hybridMultilevel"/>
    <w:tmpl w:val="F6945612"/>
    <w:lvl w:ilvl="0" w:tplc="56E613AE">
      <w:start w:val="1"/>
      <w:numFmt w:val="decimal"/>
      <w:lvlText w:val="%1."/>
      <w:lvlJc w:val="left"/>
      <w:pPr>
        <w:ind w:left="720" w:hanging="360"/>
      </w:pPr>
      <w:rPr>
        <w:b/>
      </w:rPr>
    </w:lvl>
    <w:lvl w:ilvl="1" w:tplc="67662B52">
      <w:start w:val="1"/>
      <w:numFmt w:val="lowerRoman"/>
      <w:lvlText w:val="(%2)"/>
      <w:lvlJc w:val="left"/>
      <w:pPr>
        <w:ind w:left="1800" w:hanging="720"/>
      </w:pPr>
      <w:rPr>
        <w:rFonts w:hint="default"/>
      </w:rPr>
    </w:lvl>
    <w:lvl w:ilvl="2" w:tplc="A7D4143C">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26E560BB"/>
    <w:multiLevelType w:val="hybridMultilevel"/>
    <w:tmpl w:val="4844AF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27605472"/>
    <w:multiLevelType w:val="hybridMultilevel"/>
    <w:tmpl w:val="B0D46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2872482C"/>
    <w:multiLevelType w:val="hybridMultilevel"/>
    <w:tmpl w:val="C94852C4"/>
    <w:lvl w:ilvl="0" w:tplc="7870FC4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28E62BE7"/>
    <w:multiLevelType w:val="hybridMultilevel"/>
    <w:tmpl w:val="10E815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A302E6A"/>
    <w:multiLevelType w:val="hybridMultilevel"/>
    <w:tmpl w:val="BABC7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2B9951DE"/>
    <w:multiLevelType w:val="hybridMultilevel"/>
    <w:tmpl w:val="F3F0CE3C"/>
    <w:lvl w:ilvl="0" w:tplc="7564F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9C2CB8"/>
    <w:multiLevelType w:val="hybridMultilevel"/>
    <w:tmpl w:val="D886079A"/>
    <w:lvl w:ilvl="0" w:tplc="F0B6F4F2">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2D1F2DA6"/>
    <w:multiLevelType w:val="hybridMultilevel"/>
    <w:tmpl w:val="21A66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D8C02AF"/>
    <w:multiLevelType w:val="hybridMultilevel"/>
    <w:tmpl w:val="707A887E"/>
    <w:lvl w:ilvl="0" w:tplc="E20EB82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2D9B49B0"/>
    <w:multiLevelType w:val="hybridMultilevel"/>
    <w:tmpl w:val="453EC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2FCC6723"/>
    <w:multiLevelType w:val="hybridMultilevel"/>
    <w:tmpl w:val="D51AC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09D2F60"/>
    <w:multiLevelType w:val="hybridMultilevel"/>
    <w:tmpl w:val="4E7095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0D21EB2"/>
    <w:multiLevelType w:val="hybridMultilevel"/>
    <w:tmpl w:val="244868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311706BA"/>
    <w:multiLevelType w:val="hybridMultilevel"/>
    <w:tmpl w:val="8892D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31473866"/>
    <w:multiLevelType w:val="hybridMultilevel"/>
    <w:tmpl w:val="D7B60B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1887A5A"/>
    <w:multiLevelType w:val="hybridMultilevel"/>
    <w:tmpl w:val="2C948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1A55336"/>
    <w:multiLevelType w:val="hybridMultilevel"/>
    <w:tmpl w:val="70BE92F2"/>
    <w:lvl w:ilvl="0" w:tplc="E1702DA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31BD698F"/>
    <w:multiLevelType w:val="hybridMultilevel"/>
    <w:tmpl w:val="CBAABA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21C1A11"/>
    <w:multiLevelType w:val="hybridMultilevel"/>
    <w:tmpl w:val="85524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2341FD0"/>
    <w:multiLevelType w:val="hybridMultilevel"/>
    <w:tmpl w:val="2CECC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326A59F9"/>
    <w:multiLevelType w:val="hybridMultilevel"/>
    <w:tmpl w:val="BDC4987E"/>
    <w:lvl w:ilvl="0" w:tplc="7B2E3B70">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7" w15:restartNumberingAfterBreak="0">
    <w:nsid w:val="335E6760"/>
    <w:multiLevelType w:val="multilevel"/>
    <w:tmpl w:val="05F86550"/>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42B0BE8"/>
    <w:multiLevelType w:val="hybridMultilevel"/>
    <w:tmpl w:val="98464DBC"/>
    <w:lvl w:ilvl="0" w:tplc="2B94526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70D3756"/>
    <w:multiLevelType w:val="hybridMultilevel"/>
    <w:tmpl w:val="1FD6C2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385C6670"/>
    <w:multiLevelType w:val="hybridMultilevel"/>
    <w:tmpl w:val="48264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38CB7D0F"/>
    <w:multiLevelType w:val="hybridMultilevel"/>
    <w:tmpl w:val="055CD8EE"/>
    <w:lvl w:ilvl="0" w:tplc="8F30A6FC">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96A61EE"/>
    <w:multiLevelType w:val="hybridMultilevel"/>
    <w:tmpl w:val="870680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3998374B"/>
    <w:multiLevelType w:val="hybridMultilevel"/>
    <w:tmpl w:val="006689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9FB2092"/>
    <w:multiLevelType w:val="hybridMultilevel"/>
    <w:tmpl w:val="7F7E8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DF64950"/>
    <w:multiLevelType w:val="hybridMultilevel"/>
    <w:tmpl w:val="A8BCCD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6" w15:restartNumberingAfterBreak="0">
    <w:nsid w:val="3EEF04FF"/>
    <w:multiLevelType w:val="hybridMultilevel"/>
    <w:tmpl w:val="B0FA1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FF96947"/>
    <w:multiLevelType w:val="hybridMultilevel"/>
    <w:tmpl w:val="420AD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40652518"/>
    <w:multiLevelType w:val="hybridMultilevel"/>
    <w:tmpl w:val="62D6245A"/>
    <w:lvl w:ilvl="0" w:tplc="8F30A6FC">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40930D50"/>
    <w:multiLevelType w:val="hybridMultilevel"/>
    <w:tmpl w:val="030A1334"/>
    <w:lvl w:ilvl="0" w:tplc="7B2E3B7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40B10F0B"/>
    <w:multiLevelType w:val="hybridMultilevel"/>
    <w:tmpl w:val="8A3A7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0F36B68"/>
    <w:multiLevelType w:val="hybridMultilevel"/>
    <w:tmpl w:val="85FC7582"/>
    <w:lvl w:ilvl="0" w:tplc="7B2E3B7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41C7217C"/>
    <w:multiLevelType w:val="hybridMultilevel"/>
    <w:tmpl w:val="B2503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4293569B"/>
    <w:multiLevelType w:val="hybridMultilevel"/>
    <w:tmpl w:val="9E42B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43777053"/>
    <w:multiLevelType w:val="hybridMultilevel"/>
    <w:tmpl w:val="1E6EE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44485280"/>
    <w:multiLevelType w:val="hybridMultilevel"/>
    <w:tmpl w:val="9DA2B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44C44A7D"/>
    <w:multiLevelType w:val="hybridMultilevel"/>
    <w:tmpl w:val="26EA61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44E660FC"/>
    <w:multiLevelType w:val="hybridMultilevel"/>
    <w:tmpl w:val="E8B2A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4582442D"/>
    <w:multiLevelType w:val="hybridMultilevel"/>
    <w:tmpl w:val="6F989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45DE2505"/>
    <w:multiLevelType w:val="hybridMultilevel"/>
    <w:tmpl w:val="F22C1F6E"/>
    <w:lvl w:ilvl="0" w:tplc="BA3404E8">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45E071B0"/>
    <w:multiLevelType w:val="multilevel"/>
    <w:tmpl w:val="C298ECCA"/>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1" w15:restartNumberingAfterBreak="0">
    <w:nsid w:val="469224AF"/>
    <w:multiLevelType w:val="hybridMultilevel"/>
    <w:tmpl w:val="1EE46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46BB3738"/>
    <w:multiLevelType w:val="multilevel"/>
    <w:tmpl w:val="C1EE3B4C"/>
    <w:lvl w:ilvl="0">
      <w:start w:val="1"/>
      <w:numFmt w:val="upperLetter"/>
      <w:lvlText w:val="%1)"/>
      <w:lvlJc w:val="left"/>
      <w:pPr>
        <w:ind w:left="0" w:firstLine="360"/>
      </w:pPr>
      <w:rPr>
        <w:rFonts w:hint="default"/>
        <w:b/>
        <w:color w:val="auto"/>
        <w:sz w:val="18"/>
        <w:szCs w:val="18"/>
        <w:u w:val="none"/>
      </w:rPr>
    </w:lvl>
    <w:lvl w:ilvl="1">
      <w:start w:val="1"/>
      <w:numFmt w:val="bullet"/>
      <w:lvlText w:val="o"/>
      <w:lvlJc w:val="left"/>
      <w:pPr>
        <w:ind w:left="720" w:firstLine="1080"/>
      </w:pPr>
      <w:rPr>
        <w:rFonts w:ascii="Courier New" w:hAnsi="Courier New" w:cs="Courier New"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93" w15:restartNumberingAfterBreak="0">
    <w:nsid w:val="46C82F1C"/>
    <w:multiLevelType w:val="hybridMultilevel"/>
    <w:tmpl w:val="17C65C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4" w15:restartNumberingAfterBreak="0">
    <w:nsid w:val="47E67BE3"/>
    <w:multiLevelType w:val="hybridMultilevel"/>
    <w:tmpl w:val="242AE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4829187C"/>
    <w:multiLevelType w:val="hybridMultilevel"/>
    <w:tmpl w:val="0FC20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487F61F8"/>
    <w:multiLevelType w:val="hybridMultilevel"/>
    <w:tmpl w:val="D1BEF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9224FAEA">
      <w:start w:val="2"/>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4AAB4078"/>
    <w:multiLevelType w:val="hybridMultilevel"/>
    <w:tmpl w:val="E018B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4AB138C5"/>
    <w:multiLevelType w:val="hybridMultilevel"/>
    <w:tmpl w:val="071C0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4C12103E"/>
    <w:multiLevelType w:val="hybridMultilevel"/>
    <w:tmpl w:val="92DA24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0" w15:restartNumberingAfterBreak="0">
    <w:nsid w:val="4D5A325C"/>
    <w:multiLevelType w:val="hybridMultilevel"/>
    <w:tmpl w:val="7A9AC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500B7ED5"/>
    <w:multiLevelType w:val="hybridMultilevel"/>
    <w:tmpl w:val="ADB2F2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7047CA0">
      <w:start w:val="1"/>
      <w:numFmt w:val="bullet"/>
      <w:lvlText w:val=""/>
      <w:lvlJc w:val="left"/>
      <w:pPr>
        <w:ind w:left="2160" w:hanging="360"/>
      </w:pPr>
      <w:rPr>
        <w:rFonts w:ascii="Wingdings" w:hAnsi="Wingdings" w:hint="default"/>
        <w:color w:val="auto"/>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508A10F6"/>
    <w:multiLevelType w:val="hybridMultilevel"/>
    <w:tmpl w:val="BC2C9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1033264"/>
    <w:multiLevelType w:val="hybridMultilevel"/>
    <w:tmpl w:val="6D0CC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51A32B33"/>
    <w:multiLevelType w:val="hybridMultilevel"/>
    <w:tmpl w:val="1CD0B3C4"/>
    <w:lvl w:ilvl="0" w:tplc="7B2E3B7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7B2E3B70">
      <w:start w:val="1"/>
      <w:numFmt w:val="bullet"/>
      <w:lvlText w:val=""/>
      <w:lvlJc w:val="left"/>
      <w:pPr>
        <w:ind w:left="2160" w:hanging="360"/>
      </w:pPr>
      <w:rPr>
        <w:rFonts w:ascii="Symbol" w:hAnsi="Symbol" w:hint="default"/>
        <w:color w:val="auto"/>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1CA015F"/>
    <w:multiLevelType w:val="hybridMultilevel"/>
    <w:tmpl w:val="6D6E9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52961435"/>
    <w:multiLevelType w:val="hybridMultilevel"/>
    <w:tmpl w:val="DCEA93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52C17009"/>
    <w:multiLevelType w:val="multilevel"/>
    <w:tmpl w:val="C4904F94"/>
    <w:lvl w:ilvl="0">
      <w:start w:val="1"/>
      <w:numFmt w:val="bullet"/>
      <w:lvlText w:val="●"/>
      <w:lvlJc w:val="left"/>
      <w:pPr>
        <w:ind w:left="360" w:firstLine="360"/>
      </w:pPr>
      <w:rPr>
        <w:rFonts w:asciiTheme="minorHAnsi" w:hAnsiTheme="minorHAnsi" w:hint="default"/>
        <w:sz w:val="16"/>
        <w:u w:val="none"/>
      </w:rPr>
    </w:lvl>
    <w:lvl w:ilvl="1">
      <w:start w:val="1"/>
      <w:numFmt w:val="bullet"/>
      <w:lvlText w:val="○"/>
      <w:lvlJc w:val="left"/>
      <w:pPr>
        <w:ind w:left="1080" w:firstLine="1080"/>
      </w:pPr>
      <w:rPr>
        <w:color w:val="000000"/>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8" w15:restartNumberingAfterBreak="0">
    <w:nsid w:val="54517142"/>
    <w:multiLevelType w:val="hybridMultilevel"/>
    <w:tmpl w:val="8B68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56F36FC6"/>
    <w:multiLevelType w:val="hybridMultilevel"/>
    <w:tmpl w:val="96E44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571C26F1"/>
    <w:multiLevelType w:val="hybridMultilevel"/>
    <w:tmpl w:val="1BAA8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57F64BA2"/>
    <w:multiLevelType w:val="hybridMultilevel"/>
    <w:tmpl w:val="BA4EB0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58021A38"/>
    <w:multiLevelType w:val="hybridMultilevel"/>
    <w:tmpl w:val="FD24E6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584F26C4"/>
    <w:multiLevelType w:val="hybridMultilevel"/>
    <w:tmpl w:val="EE1A0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58A15712"/>
    <w:multiLevelType w:val="hybridMultilevel"/>
    <w:tmpl w:val="77F8E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58B25E7E"/>
    <w:multiLevelType w:val="hybridMultilevel"/>
    <w:tmpl w:val="921E17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6" w15:restartNumberingAfterBreak="0">
    <w:nsid w:val="592C46E9"/>
    <w:multiLevelType w:val="hybridMultilevel"/>
    <w:tmpl w:val="0A827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59BC3C2A"/>
    <w:multiLevelType w:val="hybridMultilevel"/>
    <w:tmpl w:val="97D4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5B73084D"/>
    <w:multiLevelType w:val="hybridMultilevel"/>
    <w:tmpl w:val="0056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5BBF7DF9"/>
    <w:multiLevelType w:val="hybridMultilevel"/>
    <w:tmpl w:val="2E641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5C1610F4"/>
    <w:multiLevelType w:val="hybridMultilevel"/>
    <w:tmpl w:val="FCE223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5CAD2889"/>
    <w:multiLevelType w:val="hybridMultilevel"/>
    <w:tmpl w:val="A156D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5E4E1703"/>
    <w:multiLevelType w:val="hybridMultilevel"/>
    <w:tmpl w:val="8E9A22A4"/>
    <w:lvl w:ilvl="0" w:tplc="7B2E3B7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5EF65073"/>
    <w:multiLevelType w:val="hybridMultilevel"/>
    <w:tmpl w:val="AB4035A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5F8823BC"/>
    <w:multiLevelType w:val="hybridMultilevel"/>
    <w:tmpl w:val="3638749E"/>
    <w:lvl w:ilvl="0" w:tplc="45ECC8B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60A846BC"/>
    <w:multiLevelType w:val="hybridMultilevel"/>
    <w:tmpl w:val="6B4CB898"/>
    <w:lvl w:ilvl="0" w:tplc="CF6CDA76">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E7469B"/>
    <w:multiLevelType w:val="hybridMultilevel"/>
    <w:tmpl w:val="F8847F82"/>
    <w:lvl w:ilvl="0" w:tplc="08BEA6A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617512F6"/>
    <w:multiLevelType w:val="hybridMultilevel"/>
    <w:tmpl w:val="9DF8B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6258034A"/>
    <w:multiLevelType w:val="hybridMultilevel"/>
    <w:tmpl w:val="886AB92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4D1630A"/>
    <w:multiLevelType w:val="hybridMultilevel"/>
    <w:tmpl w:val="72EA1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650C3F1B"/>
    <w:multiLevelType w:val="hybridMultilevel"/>
    <w:tmpl w:val="4A8C3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65EF4121"/>
    <w:multiLevelType w:val="hybridMultilevel"/>
    <w:tmpl w:val="B0867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666F72A4"/>
    <w:multiLevelType w:val="hybridMultilevel"/>
    <w:tmpl w:val="D7207B96"/>
    <w:lvl w:ilvl="0" w:tplc="08BEA6A4">
      <w:start w:val="1"/>
      <w:numFmt w:val="bullet"/>
      <w:lvlText w:val=""/>
      <w:lvlJc w:val="left"/>
      <w:pPr>
        <w:ind w:left="720" w:hanging="360"/>
      </w:pPr>
      <w:rPr>
        <w:rFonts w:ascii="Symbol" w:hAnsi="Symbol" w:hint="default"/>
        <w:color w:val="auto"/>
      </w:rPr>
    </w:lvl>
    <w:lvl w:ilvl="1" w:tplc="C87CE740">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672C49B1"/>
    <w:multiLevelType w:val="hybridMultilevel"/>
    <w:tmpl w:val="9BAE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15:restartNumberingAfterBreak="0">
    <w:nsid w:val="673B7D54"/>
    <w:multiLevelType w:val="hybridMultilevel"/>
    <w:tmpl w:val="8710F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674D4C5C"/>
    <w:multiLevelType w:val="hybridMultilevel"/>
    <w:tmpl w:val="72A8F9B6"/>
    <w:lvl w:ilvl="0" w:tplc="D75ECD6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68682644"/>
    <w:multiLevelType w:val="hybridMultilevel"/>
    <w:tmpl w:val="34F27E0A"/>
    <w:lvl w:ilvl="0" w:tplc="10090001">
      <w:start w:val="1"/>
      <w:numFmt w:val="bullet"/>
      <w:lvlText w:val=""/>
      <w:lvlJc w:val="left"/>
      <w:pPr>
        <w:ind w:left="720" w:hanging="360"/>
      </w:pPr>
      <w:rPr>
        <w:rFonts w:ascii="Symbol" w:hAnsi="Symbol" w:hint="default"/>
      </w:rPr>
    </w:lvl>
    <w:lvl w:ilvl="1" w:tplc="BA5AB5E6">
      <w:numFmt w:val="bullet"/>
      <w:lvlText w:val="•"/>
      <w:lvlJc w:val="left"/>
      <w:pPr>
        <w:ind w:left="1800" w:hanging="72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6922180D"/>
    <w:multiLevelType w:val="hybridMultilevel"/>
    <w:tmpl w:val="A9DE4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6A492EAC"/>
    <w:multiLevelType w:val="hybridMultilevel"/>
    <w:tmpl w:val="51521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6C611E3F"/>
    <w:multiLevelType w:val="hybridMultilevel"/>
    <w:tmpl w:val="46547F6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F72E54AA">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6CD335F7"/>
    <w:multiLevelType w:val="hybridMultilevel"/>
    <w:tmpl w:val="0F78C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6D535CE9"/>
    <w:multiLevelType w:val="hybridMultilevel"/>
    <w:tmpl w:val="4942E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6E3704E1"/>
    <w:multiLevelType w:val="hybridMultilevel"/>
    <w:tmpl w:val="139821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6EFA4656"/>
    <w:multiLevelType w:val="hybridMultilevel"/>
    <w:tmpl w:val="3CB8ED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0887125"/>
    <w:multiLevelType w:val="hybridMultilevel"/>
    <w:tmpl w:val="1F0A123E"/>
    <w:lvl w:ilvl="0" w:tplc="2B94526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709A0C46"/>
    <w:multiLevelType w:val="hybridMultilevel"/>
    <w:tmpl w:val="3AFE8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71B8758F"/>
    <w:multiLevelType w:val="hybridMultilevel"/>
    <w:tmpl w:val="8B2A4812"/>
    <w:lvl w:ilvl="0" w:tplc="10090001">
      <w:start w:val="1"/>
      <w:numFmt w:val="bullet"/>
      <w:lvlText w:val=""/>
      <w:lvlJc w:val="left"/>
      <w:pPr>
        <w:ind w:left="760" w:hanging="360"/>
      </w:pPr>
      <w:rPr>
        <w:rFonts w:ascii="Symbol" w:hAnsi="Symbol" w:hint="default"/>
      </w:rPr>
    </w:lvl>
    <w:lvl w:ilvl="1" w:tplc="10090003">
      <w:start w:val="1"/>
      <w:numFmt w:val="bullet"/>
      <w:lvlText w:val="o"/>
      <w:lvlJc w:val="left"/>
      <w:pPr>
        <w:ind w:left="1480" w:hanging="360"/>
      </w:pPr>
      <w:rPr>
        <w:rFonts w:ascii="Courier New" w:hAnsi="Courier New" w:cs="Courier New" w:hint="default"/>
      </w:rPr>
    </w:lvl>
    <w:lvl w:ilvl="2" w:tplc="10090005">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47" w15:restartNumberingAfterBreak="0">
    <w:nsid w:val="71EF371A"/>
    <w:multiLevelType w:val="hybridMultilevel"/>
    <w:tmpl w:val="2654D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720D2670"/>
    <w:multiLevelType w:val="hybridMultilevel"/>
    <w:tmpl w:val="837231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9" w15:restartNumberingAfterBreak="0">
    <w:nsid w:val="7280571C"/>
    <w:multiLevelType w:val="hybridMultilevel"/>
    <w:tmpl w:val="050848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729D4BD9"/>
    <w:multiLevelType w:val="multilevel"/>
    <w:tmpl w:val="11C6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2DC339E"/>
    <w:multiLevelType w:val="hybridMultilevel"/>
    <w:tmpl w:val="B9F687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734F70E9"/>
    <w:multiLevelType w:val="hybridMultilevel"/>
    <w:tmpl w:val="7A361098"/>
    <w:lvl w:ilvl="0" w:tplc="D75ECD6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73BC4FE0"/>
    <w:multiLevelType w:val="hybridMultilevel"/>
    <w:tmpl w:val="2E0C0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74595A51"/>
    <w:multiLevelType w:val="hybridMultilevel"/>
    <w:tmpl w:val="26A4C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75A34BE6"/>
    <w:multiLevelType w:val="hybridMultilevel"/>
    <w:tmpl w:val="EB886FFA"/>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56" w15:restartNumberingAfterBreak="0">
    <w:nsid w:val="76624F69"/>
    <w:multiLevelType w:val="hybridMultilevel"/>
    <w:tmpl w:val="7304E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76823DD4"/>
    <w:multiLevelType w:val="hybridMultilevel"/>
    <w:tmpl w:val="DDA46274"/>
    <w:lvl w:ilvl="0" w:tplc="5958057C">
      <w:start w:val="1"/>
      <w:numFmt w:val="decimal"/>
      <w:lvlText w:val="%1."/>
      <w:lvlJc w:val="left"/>
      <w:pPr>
        <w:ind w:left="720" w:hanging="360"/>
      </w:pPr>
      <w:rPr>
        <w:b/>
        <w:color w:val="auto"/>
        <w:sz w:val="18"/>
        <w:szCs w:val="18"/>
      </w:rPr>
    </w:lvl>
    <w:lvl w:ilvl="1" w:tplc="77567AD8">
      <w:start w:val="1"/>
      <w:numFmt w:val="bullet"/>
      <w:lvlText w:val=""/>
      <w:lvlJc w:val="left"/>
      <w:pPr>
        <w:ind w:left="1440" w:hanging="360"/>
      </w:pPr>
      <w:rPr>
        <w:rFonts w:ascii="Symbol" w:hAnsi="Symbol" w:hint="default"/>
        <w:color w:val="auto"/>
        <w:sz w:val="18"/>
        <w:szCs w:val="18"/>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15:restartNumberingAfterBreak="0">
    <w:nsid w:val="76847DA4"/>
    <w:multiLevelType w:val="hybridMultilevel"/>
    <w:tmpl w:val="A19C7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15:restartNumberingAfterBreak="0">
    <w:nsid w:val="77677774"/>
    <w:multiLevelType w:val="hybridMultilevel"/>
    <w:tmpl w:val="4A340D46"/>
    <w:lvl w:ilvl="0" w:tplc="8F30A6FC">
      <w:start w:val="1"/>
      <w:numFmt w:val="bullet"/>
      <w:lvlText w:val=""/>
      <w:lvlJc w:val="left"/>
      <w:pPr>
        <w:ind w:left="72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15:restartNumberingAfterBreak="0">
    <w:nsid w:val="77AF3907"/>
    <w:multiLevelType w:val="hybridMultilevel"/>
    <w:tmpl w:val="0388C10A"/>
    <w:lvl w:ilvl="0" w:tplc="CD6A070A">
      <w:start w:val="1"/>
      <w:numFmt w:val="decimal"/>
      <w:lvlText w:val="%1."/>
      <w:lvlJc w:val="left"/>
      <w:pPr>
        <w:ind w:left="720" w:hanging="360"/>
      </w:pPr>
      <w:rPr>
        <w:b/>
        <w:color w:val="auto"/>
      </w:rPr>
    </w:lvl>
    <w:lvl w:ilvl="1" w:tplc="10090003">
      <w:start w:val="1"/>
      <w:numFmt w:val="bullet"/>
      <w:lvlText w:val="o"/>
      <w:lvlJc w:val="left"/>
      <w:pPr>
        <w:ind w:left="1440" w:hanging="360"/>
      </w:pPr>
      <w:rPr>
        <w:rFonts w:ascii="Courier New" w:hAnsi="Courier New" w:cs="Courier New" w:hint="default"/>
        <w:color w:val="auto"/>
        <w:sz w:val="18"/>
        <w:szCs w:val="18"/>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1" w15:restartNumberingAfterBreak="0">
    <w:nsid w:val="783C6D07"/>
    <w:multiLevelType w:val="hybridMultilevel"/>
    <w:tmpl w:val="C5F4D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15:restartNumberingAfterBreak="0">
    <w:nsid w:val="78510C91"/>
    <w:multiLevelType w:val="hybridMultilevel"/>
    <w:tmpl w:val="93407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15:restartNumberingAfterBreak="0">
    <w:nsid w:val="7A9A393B"/>
    <w:multiLevelType w:val="hybridMultilevel"/>
    <w:tmpl w:val="8A0C6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15:restartNumberingAfterBreak="0">
    <w:nsid w:val="7B037AE1"/>
    <w:multiLevelType w:val="hybridMultilevel"/>
    <w:tmpl w:val="99469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15:restartNumberingAfterBreak="0">
    <w:nsid w:val="7B316B58"/>
    <w:multiLevelType w:val="hybridMultilevel"/>
    <w:tmpl w:val="49665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15:restartNumberingAfterBreak="0">
    <w:nsid w:val="7C0A5C71"/>
    <w:multiLevelType w:val="hybridMultilevel"/>
    <w:tmpl w:val="214A75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7C8F5933"/>
    <w:multiLevelType w:val="hybridMultilevel"/>
    <w:tmpl w:val="7138E7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15:restartNumberingAfterBreak="0">
    <w:nsid w:val="7C965695"/>
    <w:multiLevelType w:val="hybridMultilevel"/>
    <w:tmpl w:val="BF328688"/>
    <w:lvl w:ilvl="0" w:tplc="10090001">
      <w:start w:val="1"/>
      <w:numFmt w:val="bullet"/>
      <w:lvlText w:val=""/>
      <w:lvlJc w:val="left"/>
      <w:pPr>
        <w:ind w:left="720" w:hanging="360"/>
      </w:pPr>
      <w:rPr>
        <w:rFonts w:ascii="Symbol" w:hAnsi="Symbol" w:hint="default"/>
      </w:rPr>
    </w:lvl>
    <w:lvl w:ilvl="1" w:tplc="9278A5A8">
      <w:start w:val="1"/>
      <w:numFmt w:val="decimal"/>
      <w:lvlText w:val="%2."/>
      <w:lvlJc w:val="left"/>
      <w:pPr>
        <w:ind w:left="1440" w:hanging="360"/>
      </w:pPr>
      <w:rPr>
        <w:rFonts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7D0175A2"/>
    <w:multiLevelType w:val="hybridMultilevel"/>
    <w:tmpl w:val="FF6C6CC6"/>
    <w:lvl w:ilvl="0" w:tplc="63648C12">
      <w:start w:val="1"/>
      <w:numFmt w:val="decimal"/>
      <w:lvlText w:val="%1."/>
      <w:lvlJc w:val="left"/>
      <w:pPr>
        <w:ind w:left="720" w:hanging="360"/>
      </w:pPr>
      <w:rPr>
        <w:b/>
      </w:rPr>
    </w:lvl>
    <w:lvl w:ilvl="1" w:tplc="08BEA6A4">
      <w:start w:val="1"/>
      <w:numFmt w:val="bullet"/>
      <w:lvlText w:val=""/>
      <w:lvlJc w:val="left"/>
      <w:pPr>
        <w:ind w:left="1440" w:hanging="360"/>
      </w:pPr>
      <w:rPr>
        <w:rFonts w:ascii="Symbol" w:hAnsi="Symbol" w:hint="default"/>
        <w:b/>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15:restartNumberingAfterBreak="0">
    <w:nsid w:val="7DAA3E64"/>
    <w:multiLevelType w:val="hybridMultilevel"/>
    <w:tmpl w:val="9AE4A5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7ED87EDC"/>
    <w:multiLevelType w:val="hybridMultilevel"/>
    <w:tmpl w:val="1870CD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2" w15:restartNumberingAfterBreak="0">
    <w:nsid w:val="7FC91411"/>
    <w:multiLevelType w:val="hybridMultilevel"/>
    <w:tmpl w:val="BF687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171"/>
  </w:num>
  <w:num w:numId="7">
    <w:abstractNumId w:val="115"/>
  </w:num>
  <w:num w:numId="8">
    <w:abstractNumId w:val="75"/>
  </w:num>
  <w:num w:numId="9">
    <w:abstractNumId w:val="103"/>
  </w:num>
  <w:num w:numId="10">
    <w:abstractNumId w:val="172"/>
  </w:num>
  <w:num w:numId="11">
    <w:abstractNumId w:val="60"/>
  </w:num>
  <w:num w:numId="12">
    <w:abstractNumId w:val="123"/>
  </w:num>
  <w:num w:numId="13">
    <w:abstractNumId w:val="142"/>
  </w:num>
  <w:num w:numId="14">
    <w:abstractNumId w:val="45"/>
  </w:num>
  <w:num w:numId="15">
    <w:abstractNumId w:val="168"/>
  </w:num>
  <w:num w:numId="16">
    <w:abstractNumId w:val="109"/>
  </w:num>
  <w:num w:numId="17">
    <w:abstractNumId w:val="85"/>
  </w:num>
  <w:num w:numId="18">
    <w:abstractNumId w:val="59"/>
  </w:num>
  <w:num w:numId="19">
    <w:abstractNumId w:val="105"/>
  </w:num>
  <w:num w:numId="20">
    <w:abstractNumId w:val="134"/>
  </w:num>
  <w:num w:numId="21">
    <w:abstractNumId w:val="119"/>
  </w:num>
  <w:num w:numId="22">
    <w:abstractNumId w:val="36"/>
  </w:num>
  <w:num w:numId="23">
    <w:abstractNumId w:val="84"/>
  </w:num>
  <w:num w:numId="24">
    <w:abstractNumId w:val="141"/>
  </w:num>
  <w:num w:numId="25">
    <w:abstractNumId w:val="53"/>
  </w:num>
  <w:num w:numId="26">
    <w:abstractNumId w:val="116"/>
  </w:num>
  <w:num w:numId="27">
    <w:abstractNumId w:val="108"/>
  </w:num>
  <w:num w:numId="28">
    <w:abstractNumId w:val="16"/>
  </w:num>
  <w:num w:numId="29">
    <w:abstractNumId w:val="146"/>
  </w:num>
  <w:num w:numId="30">
    <w:abstractNumId w:val="48"/>
  </w:num>
  <w:num w:numId="31">
    <w:abstractNumId w:val="127"/>
  </w:num>
  <w:num w:numId="32">
    <w:abstractNumId w:val="152"/>
  </w:num>
  <w:num w:numId="33">
    <w:abstractNumId w:val="135"/>
  </w:num>
  <w:num w:numId="34">
    <w:abstractNumId w:val="57"/>
  </w:num>
  <w:num w:numId="35">
    <w:abstractNumId w:val="143"/>
  </w:num>
  <w:num w:numId="36">
    <w:abstractNumId w:val="83"/>
  </w:num>
  <w:num w:numId="37">
    <w:abstractNumId w:val="72"/>
  </w:num>
  <w:num w:numId="38">
    <w:abstractNumId w:val="162"/>
  </w:num>
  <w:num w:numId="39">
    <w:abstractNumId w:val="63"/>
  </w:num>
  <w:num w:numId="40">
    <w:abstractNumId w:val="49"/>
  </w:num>
  <w:num w:numId="41">
    <w:abstractNumId w:val="140"/>
  </w:num>
  <w:num w:numId="42">
    <w:abstractNumId w:val="56"/>
  </w:num>
  <w:num w:numId="43">
    <w:abstractNumId w:val="18"/>
  </w:num>
  <w:num w:numId="44">
    <w:abstractNumId w:val="40"/>
  </w:num>
  <w:num w:numId="45">
    <w:abstractNumId w:val="12"/>
  </w:num>
  <w:num w:numId="46">
    <w:abstractNumId w:val="73"/>
  </w:num>
  <w:num w:numId="47">
    <w:abstractNumId w:val="163"/>
  </w:num>
  <w:num w:numId="48">
    <w:abstractNumId w:val="31"/>
  </w:num>
  <w:num w:numId="49">
    <w:abstractNumId w:val="112"/>
  </w:num>
  <w:num w:numId="50">
    <w:abstractNumId w:val="121"/>
  </w:num>
  <w:num w:numId="51">
    <w:abstractNumId w:val="19"/>
  </w:num>
  <w:num w:numId="52">
    <w:abstractNumId w:val="28"/>
  </w:num>
  <w:num w:numId="53">
    <w:abstractNumId w:val="153"/>
  </w:num>
  <w:num w:numId="54">
    <w:abstractNumId w:val="150"/>
  </w:num>
  <w:num w:numId="55">
    <w:abstractNumId w:val="95"/>
  </w:num>
  <w:num w:numId="56">
    <w:abstractNumId w:val="29"/>
  </w:num>
  <w:num w:numId="57">
    <w:abstractNumId w:val="98"/>
  </w:num>
  <w:num w:numId="58">
    <w:abstractNumId w:val="86"/>
  </w:num>
  <w:num w:numId="59">
    <w:abstractNumId w:val="96"/>
  </w:num>
  <w:num w:numId="60">
    <w:abstractNumId w:val="167"/>
  </w:num>
  <w:num w:numId="61">
    <w:abstractNumId w:val="159"/>
  </w:num>
  <w:num w:numId="62">
    <w:abstractNumId w:val="55"/>
  </w:num>
  <w:num w:numId="63">
    <w:abstractNumId w:val="120"/>
  </w:num>
  <w:num w:numId="64">
    <w:abstractNumId w:val="62"/>
  </w:num>
  <w:num w:numId="65">
    <w:abstractNumId w:val="138"/>
  </w:num>
  <w:num w:numId="66">
    <w:abstractNumId w:val="114"/>
  </w:num>
  <w:num w:numId="67">
    <w:abstractNumId w:val="64"/>
  </w:num>
  <w:num w:numId="68">
    <w:abstractNumId w:val="39"/>
  </w:num>
  <w:num w:numId="69">
    <w:abstractNumId w:val="139"/>
  </w:num>
  <w:num w:numId="70">
    <w:abstractNumId w:val="71"/>
  </w:num>
  <w:num w:numId="71">
    <w:abstractNumId w:val="78"/>
  </w:num>
  <w:num w:numId="72">
    <w:abstractNumId w:val="156"/>
  </w:num>
  <w:num w:numId="73">
    <w:abstractNumId w:val="100"/>
  </w:num>
  <w:num w:numId="74">
    <w:abstractNumId w:val="94"/>
  </w:num>
  <w:num w:numId="75">
    <w:abstractNumId w:val="69"/>
  </w:num>
  <w:num w:numId="76">
    <w:abstractNumId w:val="151"/>
  </w:num>
  <w:num w:numId="77">
    <w:abstractNumId w:val="113"/>
  </w:num>
  <w:num w:numId="78">
    <w:abstractNumId w:val="133"/>
  </w:num>
  <w:num w:numId="79">
    <w:abstractNumId w:val="44"/>
  </w:num>
  <w:num w:numId="80">
    <w:abstractNumId w:val="101"/>
  </w:num>
  <w:num w:numId="81">
    <w:abstractNumId w:val="155"/>
  </w:num>
  <w:num w:numId="82">
    <w:abstractNumId w:val="15"/>
  </w:num>
  <w:num w:numId="83">
    <w:abstractNumId w:val="154"/>
  </w:num>
  <w:num w:numId="84">
    <w:abstractNumId w:val="22"/>
  </w:num>
  <w:num w:numId="85">
    <w:abstractNumId w:val="91"/>
  </w:num>
  <w:num w:numId="86">
    <w:abstractNumId w:val="122"/>
  </w:num>
  <w:num w:numId="87">
    <w:abstractNumId w:val="67"/>
  </w:num>
  <w:num w:numId="88">
    <w:abstractNumId w:val="66"/>
  </w:num>
  <w:num w:numId="89">
    <w:abstractNumId w:val="79"/>
  </w:num>
  <w:num w:numId="90">
    <w:abstractNumId w:val="104"/>
  </w:num>
  <w:num w:numId="91">
    <w:abstractNumId w:val="23"/>
  </w:num>
  <w:num w:numId="92">
    <w:abstractNumId w:val="81"/>
  </w:num>
  <w:num w:numId="93">
    <w:abstractNumId w:val="157"/>
  </w:num>
  <w:num w:numId="94">
    <w:abstractNumId w:val="5"/>
  </w:num>
  <w:num w:numId="95">
    <w:abstractNumId w:val="8"/>
  </w:num>
  <w:num w:numId="96">
    <w:abstractNumId w:val="51"/>
  </w:num>
  <w:num w:numId="97">
    <w:abstractNumId w:val="37"/>
  </w:num>
  <w:num w:numId="98">
    <w:abstractNumId w:val="54"/>
  </w:num>
  <w:num w:numId="99">
    <w:abstractNumId w:val="17"/>
  </w:num>
  <w:num w:numId="100">
    <w:abstractNumId w:val="25"/>
  </w:num>
  <w:num w:numId="101">
    <w:abstractNumId w:val="35"/>
  </w:num>
  <w:num w:numId="102">
    <w:abstractNumId w:val="90"/>
  </w:num>
  <w:num w:numId="103">
    <w:abstractNumId w:val="30"/>
  </w:num>
  <w:num w:numId="104">
    <w:abstractNumId w:val="160"/>
  </w:num>
  <w:num w:numId="105">
    <w:abstractNumId w:val="52"/>
  </w:num>
  <w:num w:numId="106">
    <w:abstractNumId w:val="26"/>
  </w:num>
  <w:num w:numId="107">
    <w:abstractNumId w:val="125"/>
  </w:num>
  <w:num w:numId="108">
    <w:abstractNumId w:val="107"/>
  </w:num>
  <w:num w:numId="109">
    <w:abstractNumId w:val="124"/>
  </w:num>
  <w:num w:numId="110">
    <w:abstractNumId w:val="43"/>
  </w:num>
  <w:num w:numId="111">
    <w:abstractNumId w:val="68"/>
  </w:num>
  <w:num w:numId="112">
    <w:abstractNumId w:val="10"/>
  </w:num>
  <w:num w:numId="113">
    <w:abstractNumId w:val="144"/>
  </w:num>
  <w:num w:numId="114">
    <w:abstractNumId w:val="24"/>
  </w:num>
  <w:num w:numId="115">
    <w:abstractNumId w:val="118"/>
  </w:num>
  <w:num w:numId="116">
    <w:abstractNumId w:val="41"/>
  </w:num>
  <w:num w:numId="117">
    <w:abstractNumId w:val="13"/>
  </w:num>
  <w:num w:numId="118">
    <w:abstractNumId w:val="38"/>
  </w:num>
  <w:num w:numId="119">
    <w:abstractNumId w:val="21"/>
  </w:num>
  <w:num w:numId="120">
    <w:abstractNumId w:val="9"/>
  </w:num>
  <w:num w:numId="121">
    <w:abstractNumId w:val="82"/>
  </w:num>
  <w:num w:numId="122">
    <w:abstractNumId w:val="137"/>
  </w:num>
  <w:num w:numId="123">
    <w:abstractNumId w:val="165"/>
  </w:num>
  <w:num w:numId="124">
    <w:abstractNumId w:val="70"/>
  </w:num>
  <w:num w:numId="125">
    <w:abstractNumId w:val="129"/>
  </w:num>
  <w:num w:numId="126">
    <w:abstractNumId w:val="27"/>
  </w:num>
  <w:num w:numId="127">
    <w:abstractNumId w:val="132"/>
  </w:num>
  <w:num w:numId="128">
    <w:abstractNumId w:val="97"/>
  </w:num>
  <w:num w:numId="129">
    <w:abstractNumId w:val="111"/>
  </w:num>
  <w:num w:numId="130">
    <w:abstractNumId w:val="46"/>
  </w:num>
  <w:num w:numId="131">
    <w:abstractNumId w:val="92"/>
  </w:num>
  <w:num w:numId="132">
    <w:abstractNumId w:val="128"/>
  </w:num>
  <w:num w:numId="133">
    <w:abstractNumId w:val="80"/>
  </w:num>
  <w:num w:numId="134">
    <w:abstractNumId w:val="88"/>
  </w:num>
  <w:num w:numId="135">
    <w:abstractNumId w:val="6"/>
  </w:num>
  <w:num w:numId="136">
    <w:abstractNumId w:val="130"/>
  </w:num>
  <w:num w:numId="137">
    <w:abstractNumId w:val="14"/>
  </w:num>
  <w:num w:numId="138">
    <w:abstractNumId w:val="47"/>
  </w:num>
  <w:num w:numId="139">
    <w:abstractNumId w:val="106"/>
  </w:num>
  <w:num w:numId="140">
    <w:abstractNumId w:val="126"/>
  </w:num>
  <w:num w:numId="141">
    <w:abstractNumId w:val="169"/>
  </w:num>
  <w:num w:numId="142">
    <w:abstractNumId w:val="164"/>
  </w:num>
  <w:num w:numId="143">
    <w:abstractNumId w:val="136"/>
  </w:num>
  <w:num w:numId="144">
    <w:abstractNumId w:val="58"/>
  </w:num>
  <w:num w:numId="145">
    <w:abstractNumId w:val="170"/>
  </w:num>
  <w:num w:numId="146">
    <w:abstractNumId w:val="34"/>
  </w:num>
  <w:num w:numId="147">
    <w:abstractNumId w:val="131"/>
  </w:num>
  <w:num w:numId="148">
    <w:abstractNumId w:val="42"/>
  </w:num>
  <w:num w:numId="149">
    <w:abstractNumId w:val="147"/>
  </w:num>
  <w:num w:numId="150">
    <w:abstractNumId w:val="7"/>
  </w:num>
  <w:num w:numId="151">
    <w:abstractNumId w:val="87"/>
  </w:num>
  <w:num w:numId="152">
    <w:abstractNumId w:val="161"/>
  </w:num>
  <w:num w:numId="153">
    <w:abstractNumId w:val="77"/>
  </w:num>
  <w:num w:numId="154">
    <w:abstractNumId w:val="74"/>
  </w:num>
  <w:num w:numId="155">
    <w:abstractNumId w:val="65"/>
  </w:num>
  <w:num w:numId="156">
    <w:abstractNumId w:val="102"/>
  </w:num>
  <w:num w:numId="157">
    <w:abstractNumId w:val="110"/>
  </w:num>
  <w:num w:numId="158">
    <w:abstractNumId w:val="145"/>
  </w:num>
  <w:num w:numId="159">
    <w:abstractNumId w:val="50"/>
  </w:num>
  <w:num w:numId="160">
    <w:abstractNumId w:val="61"/>
  </w:num>
  <w:num w:numId="161">
    <w:abstractNumId w:val="166"/>
  </w:num>
  <w:num w:numId="162">
    <w:abstractNumId w:val="158"/>
  </w:num>
  <w:num w:numId="163">
    <w:abstractNumId w:val="11"/>
  </w:num>
  <w:num w:numId="164">
    <w:abstractNumId w:val="99"/>
  </w:num>
  <w:num w:numId="165">
    <w:abstractNumId w:val="148"/>
  </w:num>
  <w:num w:numId="166">
    <w:abstractNumId w:val="149"/>
  </w:num>
  <w:num w:numId="167">
    <w:abstractNumId w:val="93"/>
  </w:num>
  <w:num w:numId="168">
    <w:abstractNumId w:val="76"/>
  </w:num>
  <w:num w:numId="169">
    <w:abstractNumId w:val="117"/>
  </w:num>
  <w:num w:numId="170">
    <w:abstractNumId w:val="33"/>
  </w:num>
  <w:num w:numId="171">
    <w:abstractNumId w:val="20"/>
  </w:num>
  <w:num w:numId="172">
    <w:abstractNumId w:val="89"/>
  </w:num>
  <w:num w:numId="173">
    <w:abstractNumId w:val="32"/>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73"/>
    <w:rsid w:val="00000058"/>
    <w:rsid w:val="00000166"/>
    <w:rsid w:val="000002C7"/>
    <w:rsid w:val="00000DC3"/>
    <w:rsid w:val="0000135A"/>
    <w:rsid w:val="00001A0E"/>
    <w:rsid w:val="00001E0D"/>
    <w:rsid w:val="00002195"/>
    <w:rsid w:val="0000234A"/>
    <w:rsid w:val="0000249E"/>
    <w:rsid w:val="0000290D"/>
    <w:rsid w:val="00003066"/>
    <w:rsid w:val="000031B6"/>
    <w:rsid w:val="00003C9C"/>
    <w:rsid w:val="00003F41"/>
    <w:rsid w:val="00004660"/>
    <w:rsid w:val="00004788"/>
    <w:rsid w:val="000053A9"/>
    <w:rsid w:val="00005975"/>
    <w:rsid w:val="00005F0A"/>
    <w:rsid w:val="00005F94"/>
    <w:rsid w:val="000063DE"/>
    <w:rsid w:val="000065B4"/>
    <w:rsid w:val="00006B3E"/>
    <w:rsid w:val="00006B61"/>
    <w:rsid w:val="000072FB"/>
    <w:rsid w:val="000073B0"/>
    <w:rsid w:val="0000757A"/>
    <w:rsid w:val="000076E4"/>
    <w:rsid w:val="00007A85"/>
    <w:rsid w:val="00007C97"/>
    <w:rsid w:val="000109B7"/>
    <w:rsid w:val="000109BA"/>
    <w:rsid w:val="00010CFA"/>
    <w:rsid w:val="00010D24"/>
    <w:rsid w:val="00010E50"/>
    <w:rsid w:val="000110CC"/>
    <w:rsid w:val="000114B2"/>
    <w:rsid w:val="000117D9"/>
    <w:rsid w:val="00011865"/>
    <w:rsid w:val="00012815"/>
    <w:rsid w:val="000128C9"/>
    <w:rsid w:val="000130A8"/>
    <w:rsid w:val="0001315C"/>
    <w:rsid w:val="000137FD"/>
    <w:rsid w:val="00013C94"/>
    <w:rsid w:val="00014020"/>
    <w:rsid w:val="00014105"/>
    <w:rsid w:val="0001470D"/>
    <w:rsid w:val="00014B45"/>
    <w:rsid w:val="000150FB"/>
    <w:rsid w:val="00015168"/>
    <w:rsid w:val="0001555B"/>
    <w:rsid w:val="00015894"/>
    <w:rsid w:val="00015BD1"/>
    <w:rsid w:val="00015D56"/>
    <w:rsid w:val="00015F2D"/>
    <w:rsid w:val="00016365"/>
    <w:rsid w:val="000166A7"/>
    <w:rsid w:val="0001687A"/>
    <w:rsid w:val="0001687F"/>
    <w:rsid w:val="0001740F"/>
    <w:rsid w:val="00017915"/>
    <w:rsid w:val="00017C35"/>
    <w:rsid w:val="0002083C"/>
    <w:rsid w:val="0002083E"/>
    <w:rsid w:val="0002094E"/>
    <w:rsid w:val="00020AD2"/>
    <w:rsid w:val="00020E0C"/>
    <w:rsid w:val="00020FDC"/>
    <w:rsid w:val="000210B5"/>
    <w:rsid w:val="00021B8C"/>
    <w:rsid w:val="00021D3D"/>
    <w:rsid w:val="00021DD4"/>
    <w:rsid w:val="00021E93"/>
    <w:rsid w:val="000221F3"/>
    <w:rsid w:val="00022492"/>
    <w:rsid w:val="00022752"/>
    <w:rsid w:val="000227BD"/>
    <w:rsid w:val="00022B28"/>
    <w:rsid w:val="00022CE2"/>
    <w:rsid w:val="00023766"/>
    <w:rsid w:val="00023999"/>
    <w:rsid w:val="00023DF6"/>
    <w:rsid w:val="000240B4"/>
    <w:rsid w:val="0002418E"/>
    <w:rsid w:val="00024398"/>
    <w:rsid w:val="000249F0"/>
    <w:rsid w:val="00024BD3"/>
    <w:rsid w:val="00024DBE"/>
    <w:rsid w:val="0002598B"/>
    <w:rsid w:val="000259DC"/>
    <w:rsid w:val="000259DF"/>
    <w:rsid w:val="00025D33"/>
    <w:rsid w:val="0002682A"/>
    <w:rsid w:val="00026927"/>
    <w:rsid w:val="0002743F"/>
    <w:rsid w:val="0002764B"/>
    <w:rsid w:val="0002771C"/>
    <w:rsid w:val="00027A30"/>
    <w:rsid w:val="00027BB2"/>
    <w:rsid w:val="00027D97"/>
    <w:rsid w:val="00027F48"/>
    <w:rsid w:val="00027FC5"/>
    <w:rsid w:val="00030243"/>
    <w:rsid w:val="000304FC"/>
    <w:rsid w:val="000306C7"/>
    <w:rsid w:val="00030B7F"/>
    <w:rsid w:val="00030E00"/>
    <w:rsid w:val="000310F4"/>
    <w:rsid w:val="000311E6"/>
    <w:rsid w:val="00031285"/>
    <w:rsid w:val="00031298"/>
    <w:rsid w:val="00031317"/>
    <w:rsid w:val="00031381"/>
    <w:rsid w:val="000313F5"/>
    <w:rsid w:val="0003185F"/>
    <w:rsid w:val="00031AAB"/>
    <w:rsid w:val="00031AF5"/>
    <w:rsid w:val="00031CA1"/>
    <w:rsid w:val="00031E28"/>
    <w:rsid w:val="000320FA"/>
    <w:rsid w:val="000323C7"/>
    <w:rsid w:val="000324EF"/>
    <w:rsid w:val="0003262E"/>
    <w:rsid w:val="00032C99"/>
    <w:rsid w:val="00033745"/>
    <w:rsid w:val="00033AE9"/>
    <w:rsid w:val="00034133"/>
    <w:rsid w:val="000345D9"/>
    <w:rsid w:val="000346EC"/>
    <w:rsid w:val="00034804"/>
    <w:rsid w:val="0003493D"/>
    <w:rsid w:val="00035156"/>
    <w:rsid w:val="000351BC"/>
    <w:rsid w:val="000359D0"/>
    <w:rsid w:val="00035EED"/>
    <w:rsid w:val="00036028"/>
    <w:rsid w:val="00036905"/>
    <w:rsid w:val="00036F91"/>
    <w:rsid w:val="00037730"/>
    <w:rsid w:val="00037B2B"/>
    <w:rsid w:val="00040087"/>
    <w:rsid w:val="000400F1"/>
    <w:rsid w:val="00040130"/>
    <w:rsid w:val="00040525"/>
    <w:rsid w:val="00040637"/>
    <w:rsid w:val="000407E3"/>
    <w:rsid w:val="00040D54"/>
    <w:rsid w:val="00040EA3"/>
    <w:rsid w:val="00041A1D"/>
    <w:rsid w:val="00041F30"/>
    <w:rsid w:val="0004238B"/>
    <w:rsid w:val="00042A26"/>
    <w:rsid w:val="00042C5B"/>
    <w:rsid w:val="00042DF7"/>
    <w:rsid w:val="000432DA"/>
    <w:rsid w:val="00043899"/>
    <w:rsid w:val="00043DE9"/>
    <w:rsid w:val="00044416"/>
    <w:rsid w:val="00044718"/>
    <w:rsid w:val="000451A9"/>
    <w:rsid w:val="00045247"/>
    <w:rsid w:val="00045C33"/>
    <w:rsid w:val="00045C66"/>
    <w:rsid w:val="00045D91"/>
    <w:rsid w:val="00045EB7"/>
    <w:rsid w:val="00045F74"/>
    <w:rsid w:val="000462A2"/>
    <w:rsid w:val="00046A19"/>
    <w:rsid w:val="00046AF5"/>
    <w:rsid w:val="00046C78"/>
    <w:rsid w:val="00046E5A"/>
    <w:rsid w:val="0004706C"/>
    <w:rsid w:val="000471CA"/>
    <w:rsid w:val="000473B4"/>
    <w:rsid w:val="0004749E"/>
    <w:rsid w:val="000475C8"/>
    <w:rsid w:val="00047D21"/>
    <w:rsid w:val="00047FA6"/>
    <w:rsid w:val="00047FC9"/>
    <w:rsid w:val="00050563"/>
    <w:rsid w:val="00050775"/>
    <w:rsid w:val="00050FFE"/>
    <w:rsid w:val="00051525"/>
    <w:rsid w:val="000518F9"/>
    <w:rsid w:val="00051E00"/>
    <w:rsid w:val="000523B2"/>
    <w:rsid w:val="00052403"/>
    <w:rsid w:val="00052991"/>
    <w:rsid w:val="00052F4F"/>
    <w:rsid w:val="00053002"/>
    <w:rsid w:val="0005331C"/>
    <w:rsid w:val="00053CB6"/>
    <w:rsid w:val="00054D12"/>
    <w:rsid w:val="00054EA3"/>
    <w:rsid w:val="00054F0C"/>
    <w:rsid w:val="00054FC1"/>
    <w:rsid w:val="00055342"/>
    <w:rsid w:val="00055416"/>
    <w:rsid w:val="00055599"/>
    <w:rsid w:val="000559DD"/>
    <w:rsid w:val="00055AF9"/>
    <w:rsid w:val="000570A2"/>
    <w:rsid w:val="0005740B"/>
    <w:rsid w:val="00057B26"/>
    <w:rsid w:val="000605C5"/>
    <w:rsid w:val="00060704"/>
    <w:rsid w:val="00061512"/>
    <w:rsid w:val="0006230F"/>
    <w:rsid w:val="00062D36"/>
    <w:rsid w:val="00062E02"/>
    <w:rsid w:val="0006399E"/>
    <w:rsid w:val="00063E8D"/>
    <w:rsid w:val="00064642"/>
    <w:rsid w:val="00064EE5"/>
    <w:rsid w:val="00065393"/>
    <w:rsid w:val="0006568B"/>
    <w:rsid w:val="000657F0"/>
    <w:rsid w:val="0006611E"/>
    <w:rsid w:val="00066625"/>
    <w:rsid w:val="0006698F"/>
    <w:rsid w:val="000671D4"/>
    <w:rsid w:val="000673E0"/>
    <w:rsid w:val="00067A08"/>
    <w:rsid w:val="00067FED"/>
    <w:rsid w:val="0007006C"/>
    <w:rsid w:val="00070B06"/>
    <w:rsid w:val="000711E2"/>
    <w:rsid w:val="00071466"/>
    <w:rsid w:val="00071496"/>
    <w:rsid w:val="00071660"/>
    <w:rsid w:val="00071731"/>
    <w:rsid w:val="00071767"/>
    <w:rsid w:val="00071A92"/>
    <w:rsid w:val="00071B96"/>
    <w:rsid w:val="00071BD9"/>
    <w:rsid w:val="000721C8"/>
    <w:rsid w:val="00072287"/>
    <w:rsid w:val="00072571"/>
    <w:rsid w:val="00072665"/>
    <w:rsid w:val="0007285C"/>
    <w:rsid w:val="000731F3"/>
    <w:rsid w:val="000734E9"/>
    <w:rsid w:val="00073A99"/>
    <w:rsid w:val="00073C01"/>
    <w:rsid w:val="000748BC"/>
    <w:rsid w:val="00074E55"/>
    <w:rsid w:val="000751B3"/>
    <w:rsid w:val="00075201"/>
    <w:rsid w:val="0007568E"/>
    <w:rsid w:val="00075C52"/>
    <w:rsid w:val="0007658E"/>
    <w:rsid w:val="00076B4F"/>
    <w:rsid w:val="00076DDF"/>
    <w:rsid w:val="00076E6A"/>
    <w:rsid w:val="00077284"/>
    <w:rsid w:val="000772BF"/>
    <w:rsid w:val="00077CF2"/>
    <w:rsid w:val="00080398"/>
    <w:rsid w:val="0008086E"/>
    <w:rsid w:val="00080904"/>
    <w:rsid w:val="000809F7"/>
    <w:rsid w:val="00080A36"/>
    <w:rsid w:val="00080DAE"/>
    <w:rsid w:val="00080DFD"/>
    <w:rsid w:val="0008107E"/>
    <w:rsid w:val="0008133E"/>
    <w:rsid w:val="0008139A"/>
    <w:rsid w:val="00081F9C"/>
    <w:rsid w:val="000824FF"/>
    <w:rsid w:val="0008263E"/>
    <w:rsid w:val="000827E3"/>
    <w:rsid w:val="000834CE"/>
    <w:rsid w:val="0008370C"/>
    <w:rsid w:val="0008378A"/>
    <w:rsid w:val="00083BCE"/>
    <w:rsid w:val="00083FFA"/>
    <w:rsid w:val="0008461A"/>
    <w:rsid w:val="00084F7E"/>
    <w:rsid w:val="0008502E"/>
    <w:rsid w:val="000851BD"/>
    <w:rsid w:val="00085C44"/>
    <w:rsid w:val="000864D4"/>
    <w:rsid w:val="00086687"/>
    <w:rsid w:val="00086B35"/>
    <w:rsid w:val="000871A2"/>
    <w:rsid w:val="000875CD"/>
    <w:rsid w:val="00087B69"/>
    <w:rsid w:val="00087F7E"/>
    <w:rsid w:val="0009034F"/>
    <w:rsid w:val="000906D3"/>
    <w:rsid w:val="00091370"/>
    <w:rsid w:val="000916B2"/>
    <w:rsid w:val="00091DE6"/>
    <w:rsid w:val="000923E1"/>
    <w:rsid w:val="0009297E"/>
    <w:rsid w:val="0009361D"/>
    <w:rsid w:val="000939D7"/>
    <w:rsid w:val="00093AD9"/>
    <w:rsid w:val="00093C07"/>
    <w:rsid w:val="00093DEC"/>
    <w:rsid w:val="00094331"/>
    <w:rsid w:val="000947C9"/>
    <w:rsid w:val="00094B00"/>
    <w:rsid w:val="00095004"/>
    <w:rsid w:val="00095400"/>
    <w:rsid w:val="000954C2"/>
    <w:rsid w:val="000954D4"/>
    <w:rsid w:val="00095EBF"/>
    <w:rsid w:val="00095F77"/>
    <w:rsid w:val="000966A3"/>
    <w:rsid w:val="000967EE"/>
    <w:rsid w:val="00096B23"/>
    <w:rsid w:val="00097607"/>
    <w:rsid w:val="00097C5A"/>
    <w:rsid w:val="00097D57"/>
    <w:rsid w:val="00097F53"/>
    <w:rsid w:val="000A00FB"/>
    <w:rsid w:val="000A0299"/>
    <w:rsid w:val="000A0795"/>
    <w:rsid w:val="000A09B8"/>
    <w:rsid w:val="000A0F18"/>
    <w:rsid w:val="000A1077"/>
    <w:rsid w:val="000A1336"/>
    <w:rsid w:val="000A1A2C"/>
    <w:rsid w:val="000A1CFD"/>
    <w:rsid w:val="000A2407"/>
    <w:rsid w:val="000A2A6F"/>
    <w:rsid w:val="000A308A"/>
    <w:rsid w:val="000A344A"/>
    <w:rsid w:val="000A4702"/>
    <w:rsid w:val="000A4EBB"/>
    <w:rsid w:val="000A5772"/>
    <w:rsid w:val="000A59F7"/>
    <w:rsid w:val="000A5AA0"/>
    <w:rsid w:val="000A5D81"/>
    <w:rsid w:val="000A615F"/>
    <w:rsid w:val="000A61FA"/>
    <w:rsid w:val="000A635B"/>
    <w:rsid w:val="000A6E90"/>
    <w:rsid w:val="000A7062"/>
    <w:rsid w:val="000A7140"/>
    <w:rsid w:val="000A71A4"/>
    <w:rsid w:val="000A73A5"/>
    <w:rsid w:val="000A764F"/>
    <w:rsid w:val="000B0217"/>
    <w:rsid w:val="000B0313"/>
    <w:rsid w:val="000B0912"/>
    <w:rsid w:val="000B0AD0"/>
    <w:rsid w:val="000B0AF7"/>
    <w:rsid w:val="000B0F2A"/>
    <w:rsid w:val="000B146F"/>
    <w:rsid w:val="000B17EA"/>
    <w:rsid w:val="000B18A7"/>
    <w:rsid w:val="000B18C6"/>
    <w:rsid w:val="000B19FD"/>
    <w:rsid w:val="000B20A7"/>
    <w:rsid w:val="000B20F0"/>
    <w:rsid w:val="000B2479"/>
    <w:rsid w:val="000B2942"/>
    <w:rsid w:val="000B2A80"/>
    <w:rsid w:val="000B2AC3"/>
    <w:rsid w:val="000B2F32"/>
    <w:rsid w:val="000B3B9B"/>
    <w:rsid w:val="000B3E4A"/>
    <w:rsid w:val="000B4124"/>
    <w:rsid w:val="000B47D6"/>
    <w:rsid w:val="000B4CA7"/>
    <w:rsid w:val="000B4F83"/>
    <w:rsid w:val="000B53B5"/>
    <w:rsid w:val="000B54A3"/>
    <w:rsid w:val="000B5EB0"/>
    <w:rsid w:val="000B6053"/>
    <w:rsid w:val="000B62B7"/>
    <w:rsid w:val="000B64D9"/>
    <w:rsid w:val="000B6512"/>
    <w:rsid w:val="000B6544"/>
    <w:rsid w:val="000B682A"/>
    <w:rsid w:val="000B6AC2"/>
    <w:rsid w:val="000B6EF6"/>
    <w:rsid w:val="000B730B"/>
    <w:rsid w:val="000B7430"/>
    <w:rsid w:val="000B794C"/>
    <w:rsid w:val="000B7B5D"/>
    <w:rsid w:val="000C0005"/>
    <w:rsid w:val="000C00CF"/>
    <w:rsid w:val="000C064A"/>
    <w:rsid w:val="000C0A08"/>
    <w:rsid w:val="000C0A1A"/>
    <w:rsid w:val="000C0A59"/>
    <w:rsid w:val="000C0D93"/>
    <w:rsid w:val="000C1791"/>
    <w:rsid w:val="000C1797"/>
    <w:rsid w:val="000C179B"/>
    <w:rsid w:val="000C17A0"/>
    <w:rsid w:val="000C197C"/>
    <w:rsid w:val="000C1B59"/>
    <w:rsid w:val="000C1C9F"/>
    <w:rsid w:val="000C1FD2"/>
    <w:rsid w:val="000C20FF"/>
    <w:rsid w:val="000C24EA"/>
    <w:rsid w:val="000C262F"/>
    <w:rsid w:val="000C296B"/>
    <w:rsid w:val="000C296C"/>
    <w:rsid w:val="000C2BE4"/>
    <w:rsid w:val="000C316C"/>
    <w:rsid w:val="000C359E"/>
    <w:rsid w:val="000C3DDA"/>
    <w:rsid w:val="000C3F96"/>
    <w:rsid w:val="000C41B3"/>
    <w:rsid w:val="000C41D6"/>
    <w:rsid w:val="000C4387"/>
    <w:rsid w:val="000C4819"/>
    <w:rsid w:val="000C4B7D"/>
    <w:rsid w:val="000C5918"/>
    <w:rsid w:val="000C5BF4"/>
    <w:rsid w:val="000C5E58"/>
    <w:rsid w:val="000C5FD9"/>
    <w:rsid w:val="000C611E"/>
    <w:rsid w:val="000C62EA"/>
    <w:rsid w:val="000C70C4"/>
    <w:rsid w:val="000C78B4"/>
    <w:rsid w:val="000C7C10"/>
    <w:rsid w:val="000D0330"/>
    <w:rsid w:val="000D0573"/>
    <w:rsid w:val="000D10EE"/>
    <w:rsid w:val="000D1C42"/>
    <w:rsid w:val="000D1FE0"/>
    <w:rsid w:val="000D2243"/>
    <w:rsid w:val="000D232A"/>
    <w:rsid w:val="000D24AF"/>
    <w:rsid w:val="000D2B6D"/>
    <w:rsid w:val="000D2C6C"/>
    <w:rsid w:val="000D304D"/>
    <w:rsid w:val="000D3528"/>
    <w:rsid w:val="000D37E8"/>
    <w:rsid w:val="000D38DF"/>
    <w:rsid w:val="000D3A06"/>
    <w:rsid w:val="000D44D8"/>
    <w:rsid w:val="000D465C"/>
    <w:rsid w:val="000D471B"/>
    <w:rsid w:val="000D474E"/>
    <w:rsid w:val="000D48E8"/>
    <w:rsid w:val="000D4D61"/>
    <w:rsid w:val="000D5106"/>
    <w:rsid w:val="000D57C4"/>
    <w:rsid w:val="000D5BBC"/>
    <w:rsid w:val="000D5D3C"/>
    <w:rsid w:val="000D5EA9"/>
    <w:rsid w:val="000D613F"/>
    <w:rsid w:val="000D644B"/>
    <w:rsid w:val="000D675A"/>
    <w:rsid w:val="000D6CE4"/>
    <w:rsid w:val="000D7096"/>
    <w:rsid w:val="000D7145"/>
    <w:rsid w:val="000D717B"/>
    <w:rsid w:val="000D7188"/>
    <w:rsid w:val="000D770C"/>
    <w:rsid w:val="000D793F"/>
    <w:rsid w:val="000D79C6"/>
    <w:rsid w:val="000D7E82"/>
    <w:rsid w:val="000E019D"/>
    <w:rsid w:val="000E03B9"/>
    <w:rsid w:val="000E0DCF"/>
    <w:rsid w:val="000E1A74"/>
    <w:rsid w:val="000E1D57"/>
    <w:rsid w:val="000E1DBD"/>
    <w:rsid w:val="000E25B7"/>
    <w:rsid w:val="000E2C88"/>
    <w:rsid w:val="000E3B73"/>
    <w:rsid w:val="000E410B"/>
    <w:rsid w:val="000E4E97"/>
    <w:rsid w:val="000E57E5"/>
    <w:rsid w:val="000E5EE6"/>
    <w:rsid w:val="000E6D0E"/>
    <w:rsid w:val="000E6ECA"/>
    <w:rsid w:val="000E76B7"/>
    <w:rsid w:val="000E7FDF"/>
    <w:rsid w:val="000E7FE0"/>
    <w:rsid w:val="000F019A"/>
    <w:rsid w:val="000F0430"/>
    <w:rsid w:val="000F0444"/>
    <w:rsid w:val="000F06B6"/>
    <w:rsid w:val="000F0A00"/>
    <w:rsid w:val="000F0A80"/>
    <w:rsid w:val="000F0EEF"/>
    <w:rsid w:val="000F115B"/>
    <w:rsid w:val="000F1371"/>
    <w:rsid w:val="000F16C6"/>
    <w:rsid w:val="000F2425"/>
    <w:rsid w:val="000F24C2"/>
    <w:rsid w:val="000F256E"/>
    <w:rsid w:val="000F299F"/>
    <w:rsid w:val="000F2CEB"/>
    <w:rsid w:val="000F2D0B"/>
    <w:rsid w:val="000F2E21"/>
    <w:rsid w:val="000F3073"/>
    <w:rsid w:val="000F343E"/>
    <w:rsid w:val="000F3505"/>
    <w:rsid w:val="000F3766"/>
    <w:rsid w:val="000F3828"/>
    <w:rsid w:val="000F3B7E"/>
    <w:rsid w:val="000F3ED4"/>
    <w:rsid w:val="000F42AD"/>
    <w:rsid w:val="000F47A4"/>
    <w:rsid w:val="000F4B20"/>
    <w:rsid w:val="000F4E0B"/>
    <w:rsid w:val="000F4E91"/>
    <w:rsid w:val="000F4FD8"/>
    <w:rsid w:val="000F5AF3"/>
    <w:rsid w:val="000F5B8A"/>
    <w:rsid w:val="000F5CAF"/>
    <w:rsid w:val="000F5F28"/>
    <w:rsid w:val="000F6803"/>
    <w:rsid w:val="000F6808"/>
    <w:rsid w:val="000F6DF8"/>
    <w:rsid w:val="000F7C8B"/>
    <w:rsid w:val="000F7D4E"/>
    <w:rsid w:val="000F7EA7"/>
    <w:rsid w:val="00100090"/>
    <w:rsid w:val="0010058C"/>
    <w:rsid w:val="00100766"/>
    <w:rsid w:val="0010091A"/>
    <w:rsid w:val="0010118E"/>
    <w:rsid w:val="00101C2C"/>
    <w:rsid w:val="00101F19"/>
    <w:rsid w:val="00101F4D"/>
    <w:rsid w:val="00101FE4"/>
    <w:rsid w:val="0010236B"/>
    <w:rsid w:val="00102508"/>
    <w:rsid w:val="0010369A"/>
    <w:rsid w:val="001036CB"/>
    <w:rsid w:val="001037FB"/>
    <w:rsid w:val="00103A2C"/>
    <w:rsid w:val="00103C34"/>
    <w:rsid w:val="00103CB1"/>
    <w:rsid w:val="00103F8C"/>
    <w:rsid w:val="0010408F"/>
    <w:rsid w:val="001046AA"/>
    <w:rsid w:val="00105380"/>
    <w:rsid w:val="00105A3C"/>
    <w:rsid w:val="00105B55"/>
    <w:rsid w:val="0010617E"/>
    <w:rsid w:val="00106690"/>
    <w:rsid w:val="0010698B"/>
    <w:rsid w:val="00107609"/>
    <w:rsid w:val="00107A93"/>
    <w:rsid w:val="00110090"/>
    <w:rsid w:val="001101B4"/>
    <w:rsid w:val="00110260"/>
    <w:rsid w:val="0011036E"/>
    <w:rsid w:val="0011039F"/>
    <w:rsid w:val="001111AB"/>
    <w:rsid w:val="00111259"/>
    <w:rsid w:val="0011131D"/>
    <w:rsid w:val="00111C37"/>
    <w:rsid w:val="00111F1E"/>
    <w:rsid w:val="00112011"/>
    <w:rsid w:val="001121F2"/>
    <w:rsid w:val="00112485"/>
    <w:rsid w:val="00112643"/>
    <w:rsid w:val="0011291E"/>
    <w:rsid w:val="00112BD1"/>
    <w:rsid w:val="001136E8"/>
    <w:rsid w:val="00113805"/>
    <w:rsid w:val="00113A48"/>
    <w:rsid w:val="00113F65"/>
    <w:rsid w:val="001141F6"/>
    <w:rsid w:val="001143A6"/>
    <w:rsid w:val="001146B7"/>
    <w:rsid w:val="00114A84"/>
    <w:rsid w:val="0011531B"/>
    <w:rsid w:val="00115A97"/>
    <w:rsid w:val="00115C8C"/>
    <w:rsid w:val="00115F92"/>
    <w:rsid w:val="00116469"/>
    <w:rsid w:val="00117033"/>
    <w:rsid w:val="00117495"/>
    <w:rsid w:val="001174F3"/>
    <w:rsid w:val="00117C55"/>
    <w:rsid w:val="00120067"/>
    <w:rsid w:val="00120C07"/>
    <w:rsid w:val="00120ED8"/>
    <w:rsid w:val="001216B8"/>
    <w:rsid w:val="0012199E"/>
    <w:rsid w:val="001219DA"/>
    <w:rsid w:val="001221E1"/>
    <w:rsid w:val="001224B0"/>
    <w:rsid w:val="00122FC0"/>
    <w:rsid w:val="0012346A"/>
    <w:rsid w:val="00123602"/>
    <w:rsid w:val="001238B8"/>
    <w:rsid w:val="00123AED"/>
    <w:rsid w:val="00123E05"/>
    <w:rsid w:val="00124029"/>
    <w:rsid w:val="00124424"/>
    <w:rsid w:val="00124948"/>
    <w:rsid w:val="00124B2F"/>
    <w:rsid w:val="00124C00"/>
    <w:rsid w:val="00124E47"/>
    <w:rsid w:val="00124FF4"/>
    <w:rsid w:val="00125676"/>
    <w:rsid w:val="0012587C"/>
    <w:rsid w:val="00126B83"/>
    <w:rsid w:val="00126D01"/>
    <w:rsid w:val="00126D54"/>
    <w:rsid w:val="0012731F"/>
    <w:rsid w:val="0012736F"/>
    <w:rsid w:val="001276F5"/>
    <w:rsid w:val="0012771F"/>
    <w:rsid w:val="001278C9"/>
    <w:rsid w:val="00130067"/>
    <w:rsid w:val="001300B4"/>
    <w:rsid w:val="001303D9"/>
    <w:rsid w:val="00130415"/>
    <w:rsid w:val="0013047C"/>
    <w:rsid w:val="00130497"/>
    <w:rsid w:val="001304C9"/>
    <w:rsid w:val="0013057A"/>
    <w:rsid w:val="00130664"/>
    <w:rsid w:val="00130746"/>
    <w:rsid w:val="00130979"/>
    <w:rsid w:val="001309AF"/>
    <w:rsid w:val="00130A4A"/>
    <w:rsid w:val="00130B8D"/>
    <w:rsid w:val="00130D1D"/>
    <w:rsid w:val="00131173"/>
    <w:rsid w:val="0013118D"/>
    <w:rsid w:val="001312B8"/>
    <w:rsid w:val="001314CD"/>
    <w:rsid w:val="001318E7"/>
    <w:rsid w:val="00131A5A"/>
    <w:rsid w:val="00131DAC"/>
    <w:rsid w:val="0013273C"/>
    <w:rsid w:val="00132C2F"/>
    <w:rsid w:val="00133236"/>
    <w:rsid w:val="001333AD"/>
    <w:rsid w:val="001336AF"/>
    <w:rsid w:val="00133701"/>
    <w:rsid w:val="00133ED7"/>
    <w:rsid w:val="00134068"/>
    <w:rsid w:val="0013413D"/>
    <w:rsid w:val="001341BD"/>
    <w:rsid w:val="00134656"/>
    <w:rsid w:val="00134999"/>
    <w:rsid w:val="00136665"/>
    <w:rsid w:val="001369B4"/>
    <w:rsid w:val="001369F0"/>
    <w:rsid w:val="00136A14"/>
    <w:rsid w:val="00136A8C"/>
    <w:rsid w:val="00136F4A"/>
    <w:rsid w:val="00137086"/>
    <w:rsid w:val="0013767A"/>
    <w:rsid w:val="001376C3"/>
    <w:rsid w:val="00137B78"/>
    <w:rsid w:val="00137CCA"/>
    <w:rsid w:val="00137FC8"/>
    <w:rsid w:val="001403F8"/>
    <w:rsid w:val="00140A42"/>
    <w:rsid w:val="00140F1F"/>
    <w:rsid w:val="001412B4"/>
    <w:rsid w:val="00141C70"/>
    <w:rsid w:val="00141DEB"/>
    <w:rsid w:val="00141E8B"/>
    <w:rsid w:val="001430DD"/>
    <w:rsid w:val="00143173"/>
    <w:rsid w:val="001431DB"/>
    <w:rsid w:val="00143877"/>
    <w:rsid w:val="00143F8E"/>
    <w:rsid w:val="001444FC"/>
    <w:rsid w:val="00144584"/>
    <w:rsid w:val="0014492A"/>
    <w:rsid w:val="00144B26"/>
    <w:rsid w:val="00144E89"/>
    <w:rsid w:val="00144FC8"/>
    <w:rsid w:val="00145320"/>
    <w:rsid w:val="001453D1"/>
    <w:rsid w:val="00145621"/>
    <w:rsid w:val="00145664"/>
    <w:rsid w:val="001458A3"/>
    <w:rsid w:val="001459B1"/>
    <w:rsid w:val="00145EDF"/>
    <w:rsid w:val="00146047"/>
    <w:rsid w:val="0014613C"/>
    <w:rsid w:val="00146435"/>
    <w:rsid w:val="00146511"/>
    <w:rsid w:val="00146A00"/>
    <w:rsid w:val="00146AE2"/>
    <w:rsid w:val="00146F8E"/>
    <w:rsid w:val="0014708C"/>
    <w:rsid w:val="0014715A"/>
    <w:rsid w:val="001474D3"/>
    <w:rsid w:val="00147B56"/>
    <w:rsid w:val="001502BB"/>
    <w:rsid w:val="00150542"/>
    <w:rsid w:val="00150A26"/>
    <w:rsid w:val="00150E84"/>
    <w:rsid w:val="00150FE2"/>
    <w:rsid w:val="00152156"/>
    <w:rsid w:val="0015272E"/>
    <w:rsid w:val="0015289D"/>
    <w:rsid w:val="001529A0"/>
    <w:rsid w:val="00152B8D"/>
    <w:rsid w:val="00152CD3"/>
    <w:rsid w:val="00152E2F"/>
    <w:rsid w:val="00152EA2"/>
    <w:rsid w:val="001531BA"/>
    <w:rsid w:val="00153CDE"/>
    <w:rsid w:val="00153CF3"/>
    <w:rsid w:val="00154399"/>
    <w:rsid w:val="001544A3"/>
    <w:rsid w:val="0015457D"/>
    <w:rsid w:val="001547ED"/>
    <w:rsid w:val="00154AB9"/>
    <w:rsid w:val="00154C6C"/>
    <w:rsid w:val="00154D69"/>
    <w:rsid w:val="001554AB"/>
    <w:rsid w:val="001555CD"/>
    <w:rsid w:val="0015598F"/>
    <w:rsid w:val="001559E3"/>
    <w:rsid w:val="001559EB"/>
    <w:rsid w:val="001559F3"/>
    <w:rsid w:val="00155C70"/>
    <w:rsid w:val="00155C7B"/>
    <w:rsid w:val="0015653F"/>
    <w:rsid w:val="0015677F"/>
    <w:rsid w:val="00156863"/>
    <w:rsid w:val="00156B30"/>
    <w:rsid w:val="00156CBD"/>
    <w:rsid w:val="00157A82"/>
    <w:rsid w:val="0016004A"/>
    <w:rsid w:val="0016006C"/>
    <w:rsid w:val="00160095"/>
    <w:rsid w:val="001602F7"/>
    <w:rsid w:val="00160AD9"/>
    <w:rsid w:val="0016156F"/>
    <w:rsid w:val="001615FC"/>
    <w:rsid w:val="001621A2"/>
    <w:rsid w:val="00162460"/>
    <w:rsid w:val="0016270B"/>
    <w:rsid w:val="00162A86"/>
    <w:rsid w:val="0016310B"/>
    <w:rsid w:val="00163527"/>
    <w:rsid w:val="00163B6B"/>
    <w:rsid w:val="0016404F"/>
    <w:rsid w:val="00164195"/>
    <w:rsid w:val="001647FD"/>
    <w:rsid w:val="00164A21"/>
    <w:rsid w:val="0016515E"/>
    <w:rsid w:val="001653A6"/>
    <w:rsid w:val="0016544E"/>
    <w:rsid w:val="001659EE"/>
    <w:rsid w:val="00165C94"/>
    <w:rsid w:val="00165D56"/>
    <w:rsid w:val="00166384"/>
    <w:rsid w:val="001671A8"/>
    <w:rsid w:val="0016777C"/>
    <w:rsid w:val="00167866"/>
    <w:rsid w:val="00167A49"/>
    <w:rsid w:val="00167D46"/>
    <w:rsid w:val="00167E50"/>
    <w:rsid w:val="001708B1"/>
    <w:rsid w:val="001709C8"/>
    <w:rsid w:val="00170A69"/>
    <w:rsid w:val="0017114E"/>
    <w:rsid w:val="00171226"/>
    <w:rsid w:val="001717AF"/>
    <w:rsid w:val="00171AED"/>
    <w:rsid w:val="00171E53"/>
    <w:rsid w:val="00171E69"/>
    <w:rsid w:val="0017270D"/>
    <w:rsid w:val="00172B3A"/>
    <w:rsid w:val="00173297"/>
    <w:rsid w:val="00173F8E"/>
    <w:rsid w:val="00174064"/>
    <w:rsid w:val="00174476"/>
    <w:rsid w:val="001747A2"/>
    <w:rsid w:val="00174ACB"/>
    <w:rsid w:val="00174F96"/>
    <w:rsid w:val="001751F7"/>
    <w:rsid w:val="0017532A"/>
    <w:rsid w:val="0017574D"/>
    <w:rsid w:val="00175DF3"/>
    <w:rsid w:val="00175E7A"/>
    <w:rsid w:val="001760C8"/>
    <w:rsid w:val="00176BF2"/>
    <w:rsid w:val="00176CAF"/>
    <w:rsid w:val="00176CE0"/>
    <w:rsid w:val="00177041"/>
    <w:rsid w:val="001773D3"/>
    <w:rsid w:val="00177486"/>
    <w:rsid w:val="00177CA3"/>
    <w:rsid w:val="001801EB"/>
    <w:rsid w:val="00180F3D"/>
    <w:rsid w:val="00181517"/>
    <w:rsid w:val="00181918"/>
    <w:rsid w:val="001819E4"/>
    <w:rsid w:val="00181FE4"/>
    <w:rsid w:val="00182E1D"/>
    <w:rsid w:val="00182E8A"/>
    <w:rsid w:val="00182FF5"/>
    <w:rsid w:val="0018304A"/>
    <w:rsid w:val="0018315D"/>
    <w:rsid w:val="00183314"/>
    <w:rsid w:val="001834CC"/>
    <w:rsid w:val="001838B9"/>
    <w:rsid w:val="00183927"/>
    <w:rsid w:val="00184504"/>
    <w:rsid w:val="00184558"/>
    <w:rsid w:val="00184A5B"/>
    <w:rsid w:val="001851DB"/>
    <w:rsid w:val="001852E4"/>
    <w:rsid w:val="00185771"/>
    <w:rsid w:val="00185F9F"/>
    <w:rsid w:val="00186272"/>
    <w:rsid w:val="00187ABE"/>
    <w:rsid w:val="00187CB8"/>
    <w:rsid w:val="00187EAD"/>
    <w:rsid w:val="001900DA"/>
    <w:rsid w:val="00190BA6"/>
    <w:rsid w:val="00190CF6"/>
    <w:rsid w:val="00190F83"/>
    <w:rsid w:val="00190F8C"/>
    <w:rsid w:val="00191484"/>
    <w:rsid w:val="0019159C"/>
    <w:rsid w:val="00191612"/>
    <w:rsid w:val="00191BF5"/>
    <w:rsid w:val="00192182"/>
    <w:rsid w:val="00192192"/>
    <w:rsid w:val="00192686"/>
    <w:rsid w:val="001928B9"/>
    <w:rsid w:val="00192C2A"/>
    <w:rsid w:val="001934E3"/>
    <w:rsid w:val="00193FBD"/>
    <w:rsid w:val="001943CA"/>
    <w:rsid w:val="00194E37"/>
    <w:rsid w:val="00194E93"/>
    <w:rsid w:val="00194F18"/>
    <w:rsid w:val="0019506C"/>
    <w:rsid w:val="0019524F"/>
    <w:rsid w:val="00195274"/>
    <w:rsid w:val="001954AF"/>
    <w:rsid w:val="00195AF6"/>
    <w:rsid w:val="00195FDF"/>
    <w:rsid w:val="001967BE"/>
    <w:rsid w:val="00196988"/>
    <w:rsid w:val="00196A35"/>
    <w:rsid w:val="00197836"/>
    <w:rsid w:val="00197A6E"/>
    <w:rsid w:val="00197C11"/>
    <w:rsid w:val="001A0396"/>
    <w:rsid w:val="001A0504"/>
    <w:rsid w:val="001A0C0B"/>
    <w:rsid w:val="001A0FF3"/>
    <w:rsid w:val="001A10C0"/>
    <w:rsid w:val="001A1232"/>
    <w:rsid w:val="001A14FE"/>
    <w:rsid w:val="001A19EB"/>
    <w:rsid w:val="001A1DAF"/>
    <w:rsid w:val="001A24F8"/>
    <w:rsid w:val="001A28BC"/>
    <w:rsid w:val="001A2BC0"/>
    <w:rsid w:val="001A305D"/>
    <w:rsid w:val="001A32F0"/>
    <w:rsid w:val="001A3386"/>
    <w:rsid w:val="001A41AD"/>
    <w:rsid w:val="001A41C8"/>
    <w:rsid w:val="001A45FF"/>
    <w:rsid w:val="001A48F1"/>
    <w:rsid w:val="001A59C0"/>
    <w:rsid w:val="001A5E16"/>
    <w:rsid w:val="001A5E55"/>
    <w:rsid w:val="001A62C7"/>
    <w:rsid w:val="001A6444"/>
    <w:rsid w:val="001A6672"/>
    <w:rsid w:val="001A6A0C"/>
    <w:rsid w:val="001A6C26"/>
    <w:rsid w:val="001A6DB8"/>
    <w:rsid w:val="001A790F"/>
    <w:rsid w:val="001A7BCC"/>
    <w:rsid w:val="001B0520"/>
    <w:rsid w:val="001B0570"/>
    <w:rsid w:val="001B096F"/>
    <w:rsid w:val="001B09A3"/>
    <w:rsid w:val="001B0CA9"/>
    <w:rsid w:val="001B0F50"/>
    <w:rsid w:val="001B12F1"/>
    <w:rsid w:val="001B14B3"/>
    <w:rsid w:val="001B1857"/>
    <w:rsid w:val="001B1CD0"/>
    <w:rsid w:val="001B2610"/>
    <w:rsid w:val="001B3024"/>
    <w:rsid w:val="001B311B"/>
    <w:rsid w:val="001B336F"/>
    <w:rsid w:val="001B3526"/>
    <w:rsid w:val="001B3608"/>
    <w:rsid w:val="001B3733"/>
    <w:rsid w:val="001B3903"/>
    <w:rsid w:val="001B46F2"/>
    <w:rsid w:val="001B46FB"/>
    <w:rsid w:val="001B47AB"/>
    <w:rsid w:val="001B48DD"/>
    <w:rsid w:val="001B4950"/>
    <w:rsid w:val="001B5109"/>
    <w:rsid w:val="001B5318"/>
    <w:rsid w:val="001B53B4"/>
    <w:rsid w:val="001B5451"/>
    <w:rsid w:val="001B5D1D"/>
    <w:rsid w:val="001B5E11"/>
    <w:rsid w:val="001B694E"/>
    <w:rsid w:val="001B6D34"/>
    <w:rsid w:val="001B6E8B"/>
    <w:rsid w:val="001B70A4"/>
    <w:rsid w:val="001B717E"/>
    <w:rsid w:val="001B731F"/>
    <w:rsid w:val="001B75DC"/>
    <w:rsid w:val="001B7D70"/>
    <w:rsid w:val="001C0280"/>
    <w:rsid w:val="001C092F"/>
    <w:rsid w:val="001C1007"/>
    <w:rsid w:val="001C1066"/>
    <w:rsid w:val="001C106C"/>
    <w:rsid w:val="001C1949"/>
    <w:rsid w:val="001C1C76"/>
    <w:rsid w:val="001C1F32"/>
    <w:rsid w:val="001C1FC0"/>
    <w:rsid w:val="001C20A5"/>
    <w:rsid w:val="001C22BA"/>
    <w:rsid w:val="001C2506"/>
    <w:rsid w:val="001C2BD1"/>
    <w:rsid w:val="001C340A"/>
    <w:rsid w:val="001C3916"/>
    <w:rsid w:val="001C3935"/>
    <w:rsid w:val="001C40DE"/>
    <w:rsid w:val="001C4193"/>
    <w:rsid w:val="001C462F"/>
    <w:rsid w:val="001C4EEB"/>
    <w:rsid w:val="001C4FED"/>
    <w:rsid w:val="001C527D"/>
    <w:rsid w:val="001C53C2"/>
    <w:rsid w:val="001C5D8D"/>
    <w:rsid w:val="001C64F3"/>
    <w:rsid w:val="001C6602"/>
    <w:rsid w:val="001C685C"/>
    <w:rsid w:val="001C6A68"/>
    <w:rsid w:val="001C6A70"/>
    <w:rsid w:val="001C6D2A"/>
    <w:rsid w:val="001C71E0"/>
    <w:rsid w:val="001C75A5"/>
    <w:rsid w:val="001C7796"/>
    <w:rsid w:val="001C77A4"/>
    <w:rsid w:val="001C7A4B"/>
    <w:rsid w:val="001C7B6A"/>
    <w:rsid w:val="001C7C3B"/>
    <w:rsid w:val="001D00EB"/>
    <w:rsid w:val="001D07EB"/>
    <w:rsid w:val="001D0FB6"/>
    <w:rsid w:val="001D111E"/>
    <w:rsid w:val="001D14C0"/>
    <w:rsid w:val="001D14C5"/>
    <w:rsid w:val="001D1674"/>
    <w:rsid w:val="001D1782"/>
    <w:rsid w:val="001D197F"/>
    <w:rsid w:val="001D2F8D"/>
    <w:rsid w:val="001D31BD"/>
    <w:rsid w:val="001D32AC"/>
    <w:rsid w:val="001D3A8A"/>
    <w:rsid w:val="001D3AA0"/>
    <w:rsid w:val="001D4173"/>
    <w:rsid w:val="001D42FD"/>
    <w:rsid w:val="001D4334"/>
    <w:rsid w:val="001D4454"/>
    <w:rsid w:val="001D4B16"/>
    <w:rsid w:val="001D51CA"/>
    <w:rsid w:val="001D5ED4"/>
    <w:rsid w:val="001D601F"/>
    <w:rsid w:val="001D611E"/>
    <w:rsid w:val="001D620D"/>
    <w:rsid w:val="001D760A"/>
    <w:rsid w:val="001D79B6"/>
    <w:rsid w:val="001D7A03"/>
    <w:rsid w:val="001D7C83"/>
    <w:rsid w:val="001D7CD3"/>
    <w:rsid w:val="001D7D74"/>
    <w:rsid w:val="001E031A"/>
    <w:rsid w:val="001E0607"/>
    <w:rsid w:val="001E10E7"/>
    <w:rsid w:val="001E18E7"/>
    <w:rsid w:val="001E1D0F"/>
    <w:rsid w:val="001E21B9"/>
    <w:rsid w:val="001E229D"/>
    <w:rsid w:val="001E2C6C"/>
    <w:rsid w:val="001E2F08"/>
    <w:rsid w:val="001E3920"/>
    <w:rsid w:val="001E3A8F"/>
    <w:rsid w:val="001E4078"/>
    <w:rsid w:val="001E439C"/>
    <w:rsid w:val="001E4B0B"/>
    <w:rsid w:val="001E4B3B"/>
    <w:rsid w:val="001E4D18"/>
    <w:rsid w:val="001E4D1F"/>
    <w:rsid w:val="001E4DB6"/>
    <w:rsid w:val="001E5817"/>
    <w:rsid w:val="001E5BEF"/>
    <w:rsid w:val="001E5D6E"/>
    <w:rsid w:val="001E5ED6"/>
    <w:rsid w:val="001E6644"/>
    <w:rsid w:val="001E6819"/>
    <w:rsid w:val="001E6D98"/>
    <w:rsid w:val="001E6ED3"/>
    <w:rsid w:val="001E6EF3"/>
    <w:rsid w:val="001E6FB4"/>
    <w:rsid w:val="001E6FC3"/>
    <w:rsid w:val="001E70AF"/>
    <w:rsid w:val="001E72FE"/>
    <w:rsid w:val="001E76B3"/>
    <w:rsid w:val="001E77B3"/>
    <w:rsid w:val="001E7849"/>
    <w:rsid w:val="001E7870"/>
    <w:rsid w:val="001F03C7"/>
    <w:rsid w:val="001F0472"/>
    <w:rsid w:val="001F0885"/>
    <w:rsid w:val="001F0D71"/>
    <w:rsid w:val="001F12F4"/>
    <w:rsid w:val="001F170C"/>
    <w:rsid w:val="001F1C80"/>
    <w:rsid w:val="001F203B"/>
    <w:rsid w:val="001F234B"/>
    <w:rsid w:val="001F2D54"/>
    <w:rsid w:val="001F2DE7"/>
    <w:rsid w:val="001F344B"/>
    <w:rsid w:val="001F3745"/>
    <w:rsid w:val="001F439B"/>
    <w:rsid w:val="001F443B"/>
    <w:rsid w:val="001F49C5"/>
    <w:rsid w:val="001F4EA9"/>
    <w:rsid w:val="001F5070"/>
    <w:rsid w:val="001F550C"/>
    <w:rsid w:val="001F5C52"/>
    <w:rsid w:val="001F6165"/>
    <w:rsid w:val="001F6691"/>
    <w:rsid w:val="001F718C"/>
    <w:rsid w:val="001F7236"/>
    <w:rsid w:val="001F78C0"/>
    <w:rsid w:val="001F7D20"/>
    <w:rsid w:val="0020019A"/>
    <w:rsid w:val="002002A4"/>
    <w:rsid w:val="00200502"/>
    <w:rsid w:val="00200633"/>
    <w:rsid w:val="00200B42"/>
    <w:rsid w:val="00200B94"/>
    <w:rsid w:val="00200C60"/>
    <w:rsid w:val="00200CD0"/>
    <w:rsid w:val="00201724"/>
    <w:rsid w:val="002026C1"/>
    <w:rsid w:val="002028DC"/>
    <w:rsid w:val="002029D0"/>
    <w:rsid w:val="00202BB8"/>
    <w:rsid w:val="00202CB3"/>
    <w:rsid w:val="00202DDC"/>
    <w:rsid w:val="00202E6B"/>
    <w:rsid w:val="002034CF"/>
    <w:rsid w:val="002035FE"/>
    <w:rsid w:val="0020396F"/>
    <w:rsid w:val="00203ED4"/>
    <w:rsid w:val="0020448C"/>
    <w:rsid w:val="00204A9B"/>
    <w:rsid w:val="00204DDD"/>
    <w:rsid w:val="002050E4"/>
    <w:rsid w:val="002051BA"/>
    <w:rsid w:val="00205329"/>
    <w:rsid w:val="00205B09"/>
    <w:rsid w:val="00205CFA"/>
    <w:rsid w:val="002061AA"/>
    <w:rsid w:val="00206515"/>
    <w:rsid w:val="0020657D"/>
    <w:rsid w:val="00206FE8"/>
    <w:rsid w:val="00207135"/>
    <w:rsid w:val="002073B9"/>
    <w:rsid w:val="002074B5"/>
    <w:rsid w:val="0020782F"/>
    <w:rsid w:val="002100F2"/>
    <w:rsid w:val="00210282"/>
    <w:rsid w:val="00210636"/>
    <w:rsid w:val="00210D1E"/>
    <w:rsid w:val="00211263"/>
    <w:rsid w:val="002117CB"/>
    <w:rsid w:val="00211D3B"/>
    <w:rsid w:val="00211D4D"/>
    <w:rsid w:val="00211E0B"/>
    <w:rsid w:val="00211F1D"/>
    <w:rsid w:val="00212165"/>
    <w:rsid w:val="00212261"/>
    <w:rsid w:val="002127E2"/>
    <w:rsid w:val="00212AEA"/>
    <w:rsid w:val="00212F88"/>
    <w:rsid w:val="00213049"/>
    <w:rsid w:val="00213A76"/>
    <w:rsid w:val="00213C14"/>
    <w:rsid w:val="00213F7E"/>
    <w:rsid w:val="00214130"/>
    <w:rsid w:val="002145C7"/>
    <w:rsid w:val="00214C08"/>
    <w:rsid w:val="002154F1"/>
    <w:rsid w:val="00215D3E"/>
    <w:rsid w:val="00215FB1"/>
    <w:rsid w:val="002164AF"/>
    <w:rsid w:val="002167DC"/>
    <w:rsid w:val="00216A69"/>
    <w:rsid w:val="00216AD1"/>
    <w:rsid w:val="00216AD7"/>
    <w:rsid w:val="002176A0"/>
    <w:rsid w:val="002176C0"/>
    <w:rsid w:val="00220443"/>
    <w:rsid w:val="00220518"/>
    <w:rsid w:val="00220861"/>
    <w:rsid w:val="00220953"/>
    <w:rsid w:val="00220A78"/>
    <w:rsid w:val="00221056"/>
    <w:rsid w:val="00221077"/>
    <w:rsid w:val="002216D1"/>
    <w:rsid w:val="00221A74"/>
    <w:rsid w:val="00221C8C"/>
    <w:rsid w:val="00222159"/>
    <w:rsid w:val="002222A4"/>
    <w:rsid w:val="002224A3"/>
    <w:rsid w:val="002228F7"/>
    <w:rsid w:val="00222A7A"/>
    <w:rsid w:val="00222CA1"/>
    <w:rsid w:val="00222E53"/>
    <w:rsid w:val="002231FB"/>
    <w:rsid w:val="002233B3"/>
    <w:rsid w:val="0022340C"/>
    <w:rsid w:val="00224060"/>
    <w:rsid w:val="002241B9"/>
    <w:rsid w:val="0022479B"/>
    <w:rsid w:val="00224889"/>
    <w:rsid w:val="00224DA5"/>
    <w:rsid w:val="00225999"/>
    <w:rsid w:val="00225D5B"/>
    <w:rsid w:val="00225E10"/>
    <w:rsid w:val="00226026"/>
    <w:rsid w:val="002261E4"/>
    <w:rsid w:val="0022676D"/>
    <w:rsid w:val="002267F6"/>
    <w:rsid w:val="00226EF5"/>
    <w:rsid w:val="00226FA7"/>
    <w:rsid w:val="0022713B"/>
    <w:rsid w:val="00227202"/>
    <w:rsid w:val="00227560"/>
    <w:rsid w:val="0022760B"/>
    <w:rsid w:val="0022760E"/>
    <w:rsid w:val="002279EE"/>
    <w:rsid w:val="002305C0"/>
    <w:rsid w:val="0023078C"/>
    <w:rsid w:val="002309C5"/>
    <w:rsid w:val="00230EBA"/>
    <w:rsid w:val="00231DF5"/>
    <w:rsid w:val="0023210B"/>
    <w:rsid w:val="002321F6"/>
    <w:rsid w:val="00232957"/>
    <w:rsid w:val="00232A07"/>
    <w:rsid w:val="00232D6F"/>
    <w:rsid w:val="00233A26"/>
    <w:rsid w:val="00233AD8"/>
    <w:rsid w:val="0023452F"/>
    <w:rsid w:val="002345FD"/>
    <w:rsid w:val="0023466D"/>
    <w:rsid w:val="00234746"/>
    <w:rsid w:val="00235141"/>
    <w:rsid w:val="00235E2A"/>
    <w:rsid w:val="00236E88"/>
    <w:rsid w:val="00237143"/>
    <w:rsid w:val="0023746E"/>
    <w:rsid w:val="00237522"/>
    <w:rsid w:val="0024064E"/>
    <w:rsid w:val="00240E22"/>
    <w:rsid w:val="00240F2B"/>
    <w:rsid w:val="00241071"/>
    <w:rsid w:val="0024166B"/>
    <w:rsid w:val="00241CFA"/>
    <w:rsid w:val="0024214D"/>
    <w:rsid w:val="00242165"/>
    <w:rsid w:val="002421B0"/>
    <w:rsid w:val="00242556"/>
    <w:rsid w:val="00243153"/>
    <w:rsid w:val="0024319E"/>
    <w:rsid w:val="002436E1"/>
    <w:rsid w:val="002444C2"/>
    <w:rsid w:val="002445D3"/>
    <w:rsid w:val="00244D42"/>
    <w:rsid w:val="00245053"/>
    <w:rsid w:val="002450EB"/>
    <w:rsid w:val="002451AB"/>
    <w:rsid w:val="00245646"/>
    <w:rsid w:val="00245A5A"/>
    <w:rsid w:val="00245B66"/>
    <w:rsid w:val="00246232"/>
    <w:rsid w:val="00246283"/>
    <w:rsid w:val="0024704E"/>
    <w:rsid w:val="00247410"/>
    <w:rsid w:val="00247C5A"/>
    <w:rsid w:val="00250242"/>
    <w:rsid w:val="00250DD8"/>
    <w:rsid w:val="0025120E"/>
    <w:rsid w:val="002514DB"/>
    <w:rsid w:val="0025166E"/>
    <w:rsid w:val="00251A74"/>
    <w:rsid w:val="00252260"/>
    <w:rsid w:val="002522EF"/>
    <w:rsid w:val="002528ED"/>
    <w:rsid w:val="00252A32"/>
    <w:rsid w:val="00252A42"/>
    <w:rsid w:val="00252D25"/>
    <w:rsid w:val="00252D6D"/>
    <w:rsid w:val="002536E8"/>
    <w:rsid w:val="00253750"/>
    <w:rsid w:val="00253B73"/>
    <w:rsid w:val="00253C1F"/>
    <w:rsid w:val="00254059"/>
    <w:rsid w:val="002541D3"/>
    <w:rsid w:val="00254DB8"/>
    <w:rsid w:val="00254EED"/>
    <w:rsid w:val="0025578F"/>
    <w:rsid w:val="00255AFF"/>
    <w:rsid w:val="00255B66"/>
    <w:rsid w:val="00255CEF"/>
    <w:rsid w:val="00256521"/>
    <w:rsid w:val="00256A9F"/>
    <w:rsid w:val="00256DC0"/>
    <w:rsid w:val="00256DC4"/>
    <w:rsid w:val="0025759B"/>
    <w:rsid w:val="00257E6E"/>
    <w:rsid w:val="00260266"/>
    <w:rsid w:val="002607B1"/>
    <w:rsid w:val="00260822"/>
    <w:rsid w:val="00260848"/>
    <w:rsid w:val="002608BC"/>
    <w:rsid w:val="00260988"/>
    <w:rsid w:val="002609F8"/>
    <w:rsid w:val="002625B4"/>
    <w:rsid w:val="0026269F"/>
    <w:rsid w:val="002626A9"/>
    <w:rsid w:val="002627A9"/>
    <w:rsid w:val="0026287C"/>
    <w:rsid w:val="002629A4"/>
    <w:rsid w:val="00262B9D"/>
    <w:rsid w:val="00262C06"/>
    <w:rsid w:val="002634EE"/>
    <w:rsid w:val="002635FC"/>
    <w:rsid w:val="00263609"/>
    <w:rsid w:val="0026373C"/>
    <w:rsid w:val="00263B1C"/>
    <w:rsid w:val="00263B24"/>
    <w:rsid w:val="00263CB6"/>
    <w:rsid w:val="00263D86"/>
    <w:rsid w:val="00264C09"/>
    <w:rsid w:val="00264D77"/>
    <w:rsid w:val="00265266"/>
    <w:rsid w:val="00265A5F"/>
    <w:rsid w:val="0026616A"/>
    <w:rsid w:val="00266F1A"/>
    <w:rsid w:val="0026725F"/>
    <w:rsid w:val="00267552"/>
    <w:rsid w:val="002676E3"/>
    <w:rsid w:val="00267E0B"/>
    <w:rsid w:val="002700FC"/>
    <w:rsid w:val="0027043A"/>
    <w:rsid w:val="002713A9"/>
    <w:rsid w:val="00271856"/>
    <w:rsid w:val="00271E63"/>
    <w:rsid w:val="002726C1"/>
    <w:rsid w:val="00272BF5"/>
    <w:rsid w:val="00273505"/>
    <w:rsid w:val="0027372C"/>
    <w:rsid w:val="00273D50"/>
    <w:rsid w:val="0027432B"/>
    <w:rsid w:val="00274937"/>
    <w:rsid w:val="00274C74"/>
    <w:rsid w:val="00274EAE"/>
    <w:rsid w:val="002750EB"/>
    <w:rsid w:val="00275275"/>
    <w:rsid w:val="00275297"/>
    <w:rsid w:val="00276019"/>
    <w:rsid w:val="00276294"/>
    <w:rsid w:val="0027629B"/>
    <w:rsid w:val="002762FB"/>
    <w:rsid w:val="00276946"/>
    <w:rsid w:val="00276DE1"/>
    <w:rsid w:val="00276EC2"/>
    <w:rsid w:val="002774B4"/>
    <w:rsid w:val="0027761C"/>
    <w:rsid w:val="002778E1"/>
    <w:rsid w:val="002778FC"/>
    <w:rsid w:val="00280278"/>
    <w:rsid w:val="00280843"/>
    <w:rsid w:val="002808E7"/>
    <w:rsid w:val="00280EFD"/>
    <w:rsid w:val="00281D55"/>
    <w:rsid w:val="00282171"/>
    <w:rsid w:val="00282309"/>
    <w:rsid w:val="002823F7"/>
    <w:rsid w:val="0028268B"/>
    <w:rsid w:val="00282E47"/>
    <w:rsid w:val="00283130"/>
    <w:rsid w:val="00284252"/>
    <w:rsid w:val="002846BB"/>
    <w:rsid w:val="002848EF"/>
    <w:rsid w:val="00284C1E"/>
    <w:rsid w:val="00284CE1"/>
    <w:rsid w:val="00285605"/>
    <w:rsid w:val="00285C32"/>
    <w:rsid w:val="00285F6E"/>
    <w:rsid w:val="0028624C"/>
    <w:rsid w:val="002866BD"/>
    <w:rsid w:val="002866FC"/>
    <w:rsid w:val="002868BC"/>
    <w:rsid w:val="00286987"/>
    <w:rsid w:val="00286DA9"/>
    <w:rsid w:val="00286EDD"/>
    <w:rsid w:val="00287244"/>
    <w:rsid w:val="00287539"/>
    <w:rsid w:val="002878A1"/>
    <w:rsid w:val="00287A38"/>
    <w:rsid w:val="00287D2E"/>
    <w:rsid w:val="00287E85"/>
    <w:rsid w:val="00287F69"/>
    <w:rsid w:val="00287FE1"/>
    <w:rsid w:val="0029037D"/>
    <w:rsid w:val="00290AAA"/>
    <w:rsid w:val="00290F1E"/>
    <w:rsid w:val="00291F0F"/>
    <w:rsid w:val="00291FF3"/>
    <w:rsid w:val="0029228D"/>
    <w:rsid w:val="002929E6"/>
    <w:rsid w:val="00292B1D"/>
    <w:rsid w:val="00292E0C"/>
    <w:rsid w:val="00292EC3"/>
    <w:rsid w:val="00293028"/>
    <w:rsid w:val="00293299"/>
    <w:rsid w:val="002934FD"/>
    <w:rsid w:val="002937BD"/>
    <w:rsid w:val="0029486E"/>
    <w:rsid w:val="00294F7F"/>
    <w:rsid w:val="002951B9"/>
    <w:rsid w:val="00295424"/>
    <w:rsid w:val="0029588E"/>
    <w:rsid w:val="00295CB7"/>
    <w:rsid w:val="00296019"/>
    <w:rsid w:val="0029645C"/>
    <w:rsid w:val="0029665D"/>
    <w:rsid w:val="0029665E"/>
    <w:rsid w:val="0029683E"/>
    <w:rsid w:val="002973C8"/>
    <w:rsid w:val="002979F1"/>
    <w:rsid w:val="00297F95"/>
    <w:rsid w:val="002A01E4"/>
    <w:rsid w:val="002A02CE"/>
    <w:rsid w:val="002A0342"/>
    <w:rsid w:val="002A09F3"/>
    <w:rsid w:val="002A0ACE"/>
    <w:rsid w:val="002A0E63"/>
    <w:rsid w:val="002A1000"/>
    <w:rsid w:val="002A10B4"/>
    <w:rsid w:val="002A137A"/>
    <w:rsid w:val="002A1D0D"/>
    <w:rsid w:val="002A256F"/>
    <w:rsid w:val="002A2A68"/>
    <w:rsid w:val="002A2C9E"/>
    <w:rsid w:val="002A2CC7"/>
    <w:rsid w:val="002A3132"/>
    <w:rsid w:val="002A3192"/>
    <w:rsid w:val="002A32B0"/>
    <w:rsid w:val="002A337F"/>
    <w:rsid w:val="002A34BD"/>
    <w:rsid w:val="002A3553"/>
    <w:rsid w:val="002A3BE8"/>
    <w:rsid w:val="002A4096"/>
    <w:rsid w:val="002A4445"/>
    <w:rsid w:val="002A4C93"/>
    <w:rsid w:val="002A4E34"/>
    <w:rsid w:val="002A4EB8"/>
    <w:rsid w:val="002A505C"/>
    <w:rsid w:val="002A5225"/>
    <w:rsid w:val="002A52FF"/>
    <w:rsid w:val="002A532D"/>
    <w:rsid w:val="002A5848"/>
    <w:rsid w:val="002A5925"/>
    <w:rsid w:val="002A5E55"/>
    <w:rsid w:val="002A6388"/>
    <w:rsid w:val="002A6398"/>
    <w:rsid w:val="002A65A1"/>
    <w:rsid w:val="002A6C1A"/>
    <w:rsid w:val="002A6E76"/>
    <w:rsid w:val="002A7547"/>
    <w:rsid w:val="002A7BBB"/>
    <w:rsid w:val="002B0021"/>
    <w:rsid w:val="002B0174"/>
    <w:rsid w:val="002B02E5"/>
    <w:rsid w:val="002B0DF0"/>
    <w:rsid w:val="002B1382"/>
    <w:rsid w:val="002B201A"/>
    <w:rsid w:val="002B2CDA"/>
    <w:rsid w:val="002B31DD"/>
    <w:rsid w:val="002B33C1"/>
    <w:rsid w:val="002B3972"/>
    <w:rsid w:val="002B3EA7"/>
    <w:rsid w:val="002B3F41"/>
    <w:rsid w:val="002B4240"/>
    <w:rsid w:val="002B4328"/>
    <w:rsid w:val="002B4750"/>
    <w:rsid w:val="002B4960"/>
    <w:rsid w:val="002B4A23"/>
    <w:rsid w:val="002B4ACE"/>
    <w:rsid w:val="002B4D83"/>
    <w:rsid w:val="002B5590"/>
    <w:rsid w:val="002B599B"/>
    <w:rsid w:val="002B5B25"/>
    <w:rsid w:val="002B5D62"/>
    <w:rsid w:val="002B5FDC"/>
    <w:rsid w:val="002B6B1E"/>
    <w:rsid w:val="002B71A7"/>
    <w:rsid w:val="002B7666"/>
    <w:rsid w:val="002B7AEB"/>
    <w:rsid w:val="002C0296"/>
    <w:rsid w:val="002C05EC"/>
    <w:rsid w:val="002C0771"/>
    <w:rsid w:val="002C0A34"/>
    <w:rsid w:val="002C0E9B"/>
    <w:rsid w:val="002C139B"/>
    <w:rsid w:val="002C1570"/>
    <w:rsid w:val="002C159E"/>
    <w:rsid w:val="002C19C5"/>
    <w:rsid w:val="002C276A"/>
    <w:rsid w:val="002C28F9"/>
    <w:rsid w:val="002C3408"/>
    <w:rsid w:val="002C35D4"/>
    <w:rsid w:val="002C3FEF"/>
    <w:rsid w:val="002C4679"/>
    <w:rsid w:val="002C4DF5"/>
    <w:rsid w:val="002C5013"/>
    <w:rsid w:val="002C52C5"/>
    <w:rsid w:val="002C5B05"/>
    <w:rsid w:val="002C5C76"/>
    <w:rsid w:val="002C5CF9"/>
    <w:rsid w:val="002C700D"/>
    <w:rsid w:val="002D0164"/>
    <w:rsid w:val="002D01BE"/>
    <w:rsid w:val="002D0210"/>
    <w:rsid w:val="002D0D0C"/>
    <w:rsid w:val="002D3C60"/>
    <w:rsid w:val="002D4217"/>
    <w:rsid w:val="002D4815"/>
    <w:rsid w:val="002D49B0"/>
    <w:rsid w:val="002D4A3C"/>
    <w:rsid w:val="002D4BA0"/>
    <w:rsid w:val="002D4F8B"/>
    <w:rsid w:val="002D579B"/>
    <w:rsid w:val="002D5802"/>
    <w:rsid w:val="002D5CFF"/>
    <w:rsid w:val="002D5DA5"/>
    <w:rsid w:val="002D63DE"/>
    <w:rsid w:val="002D6880"/>
    <w:rsid w:val="002D6D24"/>
    <w:rsid w:val="002D6D2A"/>
    <w:rsid w:val="002D772C"/>
    <w:rsid w:val="002D7E20"/>
    <w:rsid w:val="002E0CEA"/>
    <w:rsid w:val="002E11BC"/>
    <w:rsid w:val="002E16E7"/>
    <w:rsid w:val="002E1A48"/>
    <w:rsid w:val="002E29A3"/>
    <w:rsid w:val="002E2B5C"/>
    <w:rsid w:val="002E2C41"/>
    <w:rsid w:val="002E2D85"/>
    <w:rsid w:val="002E3274"/>
    <w:rsid w:val="002E3769"/>
    <w:rsid w:val="002E396E"/>
    <w:rsid w:val="002E3C7F"/>
    <w:rsid w:val="002E3D2F"/>
    <w:rsid w:val="002E44F5"/>
    <w:rsid w:val="002E49D0"/>
    <w:rsid w:val="002E4AD9"/>
    <w:rsid w:val="002E4F37"/>
    <w:rsid w:val="002E5070"/>
    <w:rsid w:val="002E5433"/>
    <w:rsid w:val="002E5614"/>
    <w:rsid w:val="002E68D0"/>
    <w:rsid w:val="002E6960"/>
    <w:rsid w:val="002E6965"/>
    <w:rsid w:val="002E721E"/>
    <w:rsid w:val="002E7293"/>
    <w:rsid w:val="002E7A13"/>
    <w:rsid w:val="002E7AF6"/>
    <w:rsid w:val="002E7D37"/>
    <w:rsid w:val="002F0556"/>
    <w:rsid w:val="002F055D"/>
    <w:rsid w:val="002F0843"/>
    <w:rsid w:val="002F08C7"/>
    <w:rsid w:val="002F0F78"/>
    <w:rsid w:val="002F0F79"/>
    <w:rsid w:val="002F10DA"/>
    <w:rsid w:val="002F1A44"/>
    <w:rsid w:val="002F1D3B"/>
    <w:rsid w:val="002F1F5C"/>
    <w:rsid w:val="002F23DA"/>
    <w:rsid w:val="002F2A8B"/>
    <w:rsid w:val="002F2D74"/>
    <w:rsid w:val="002F3287"/>
    <w:rsid w:val="002F3B86"/>
    <w:rsid w:val="002F4436"/>
    <w:rsid w:val="002F4D76"/>
    <w:rsid w:val="002F4E7D"/>
    <w:rsid w:val="002F50F8"/>
    <w:rsid w:val="002F5C30"/>
    <w:rsid w:val="002F6371"/>
    <w:rsid w:val="002F63B8"/>
    <w:rsid w:val="002F6564"/>
    <w:rsid w:val="002F6681"/>
    <w:rsid w:val="002F69C5"/>
    <w:rsid w:val="002F6F62"/>
    <w:rsid w:val="002F72C6"/>
    <w:rsid w:val="002F7997"/>
    <w:rsid w:val="002F7C9E"/>
    <w:rsid w:val="002F7D5C"/>
    <w:rsid w:val="002F7D88"/>
    <w:rsid w:val="002F7E46"/>
    <w:rsid w:val="0030015C"/>
    <w:rsid w:val="00300266"/>
    <w:rsid w:val="003006E0"/>
    <w:rsid w:val="00300736"/>
    <w:rsid w:val="00300E6E"/>
    <w:rsid w:val="00300F18"/>
    <w:rsid w:val="00301F3E"/>
    <w:rsid w:val="00301F7B"/>
    <w:rsid w:val="003021BE"/>
    <w:rsid w:val="0030261A"/>
    <w:rsid w:val="00302AAA"/>
    <w:rsid w:val="00302D07"/>
    <w:rsid w:val="00302D18"/>
    <w:rsid w:val="00303052"/>
    <w:rsid w:val="003031BC"/>
    <w:rsid w:val="003038A0"/>
    <w:rsid w:val="00303AB5"/>
    <w:rsid w:val="00303BAE"/>
    <w:rsid w:val="00304160"/>
    <w:rsid w:val="0030458F"/>
    <w:rsid w:val="00304D30"/>
    <w:rsid w:val="00304D6A"/>
    <w:rsid w:val="003050AD"/>
    <w:rsid w:val="003051AD"/>
    <w:rsid w:val="0030557C"/>
    <w:rsid w:val="0030576C"/>
    <w:rsid w:val="003059F3"/>
    <w:rsid w:val="00305A3A"/>
    <w:rsid w:val="00305E09"/>
    <w:rsid w:val="00305EF3"/>
    <w:rsid w:val="003062EA"/>
    <w:rsid w:val="003067D0"/>
    <w:rsid w:val="00306BC1"/>
    <w:rsid w:val="00306DBB"/>
    <w:rsid w:val="003074B4"/>
    <w:rsid w:val="00307BD7"/>
    <w:rsid w:val="00307C51"/>
    <w:rsid w:val="00307F38"/>
    <w:rsid w:val="00307FDB"/>
    <w:rsid w:val="00310354"/>
    <w:rsid w:val="00310468"/>
    <w:rsid w:val="003104E6"/>
    <w:rsid w:val="00310C33"/>
    <w:rsid w:val="00310D56"/>
    <w:rsid w:val="00311412"/>
    <w:rsid w:val="003116E5"/>
    <w:rsid w:val="00311828"/>
    <w:rsid w:val="00311E77"/>
    <w:rsid w:val="00311EAA"/>
    <w:rsid w:val="003126BE"/>
    <w:rsid w:val="00312858"/>
    <w:rsid w:val="003136A9"/>
    <w:rsid w:val="00314228"/>
    <w:rsid w:val="00314929"/>
    <w:rsid w:val="00314E18"/>
    <w:rsid w:val="00314F63"/>
    <w:rsid w:val="003150E4"/>
    <w:rsid w:val="003151CB"/>
    <w:rsid w:val="003153F7"/>
    <w:rsid w:val="0031574D"/>
    <w:rsid w:val="0031617F"/>
    <w:rsid w:val="00316623"/>
    <w:rsid w:val="00316928"/>
    <w:rsid w:val="00316C5F"/>
    <w:rsid w:val="00316F73"/>
    <w:rsid w:val="003171EC"/>
    <w:rsid w:val="00317214"/>
    <w:rsid w:val="003172F2"/>
    <w:rsid w:val="003177F4"/>
    <w:rsid w:val="0031786D"/>
    <w:rsid w:val="00317920"/>
    <w:rsid w:val="00320147"/>
    <w:rsid w:val="00320278"/>
    <w:rsid w:val="00320592"/>
    <w:rsid w:val="00320754"/>
    <w:rsid w:val="00320EB2"/>
    <w:rsid w:val="00321038"/>
    <w:rsid w:val="00321083"/>
    <w:rsid w:val="00321447"/>
    <w:rsid w:val="00321592"/>
    <w:rsid w:val="00321F2C"/>
    <w:rsid w:val="00322005"/>
    <w:rsid w:val="003223AD"/>
    <w:rsid w:val="00322920"/>
    <w:rsid w:val="00322B06"/>
    <w:rsid w:val="00322B94"/>
    <w:rsid w:val="00323509"/>
    <w:rsid w:val="00323B14"/>
    <w:rsid w:val="00323BBA"/>
    <w:rsid w:val="00324B90"/>
    <w:rsid w:val="00325153"/>
    <w:rsid w:val="00325D26"/>
    <w:rsid w:val="00325D4A"/>
    <w:rsid w:val="00325F2A"/>
    <w:rsid w:val="00326E3C"/>
    <w:rsid w:val="00327882"/>
    <w:rsid w:val="003302CD"/>
    <w:rsid w:val="003302F0"/>
    <w:rsid w:val="00330AB7"/>
    <w:rsid w:val="00330B35"/>
    <w:rsid w:val="003311B7"/>
    <w:rsid w:val="003316D7"/>
    <w:rsid w:val="0033180C"/>
    <w:rsid w:val="00331F92"/>
    <w:rsid w:val="003321F7"/>
    <w:rsid w:val="0033238F"/>
    <w:rsid w:val="00332D43"/>
    <w:rsid w:val="00332FDE"/>
    <w:rsid w:val="00333319"/>
    <w:rsid w:val="00333334"/>
    <w:rsid w:val="00333652"/>
    <w:rsid w:val="003338B8"/>
    <w:rsid w:val="00333985"/>
    <w:rsid w:val="003339AC"/>
    <w:rsid w:val="00333CD5"/>
    <w:rsid w:val="00333FEA"/>
    <w:rsid w:val="0033429F"/>
    <w:rsid w:val="00334B2B"/>
    <w:rsid w:val="00334DD8"/>
    <w:rsid w:val="00335043"/>
    <w:rsid w:val="00335098"/>
    <w:rsid w:val="00335823"/>
    <w:rsid w:val="00335FF5"/>
    <w:rsid w:val="00336912"/>
    <w:rsid w:val="00336A08"/>
    <w:rsid w:val="00336C69"/>
    <w:rsid w:val="00336D54"/>
    <w:rsid w:val="00336ECA"/>
    <w:rsid w:val="00336F39"/>
    <w:rsid w:val="003374EC"/>
    <w:rsid w:val="00337582"/>
    <w:rsid w:val="003379BF"/>
    <w:rsid w:val="00340312"/>
    <w:rsid w:val="00340533"/>
    <w:rsid w:val="00340F41"/>
    <w:rsid w:val="0034135B"/>
    <w:rsid w:val="00341805"/>
    <w:rsid w:val="00341A09"/>
    <w:rsid w:val="00342193"/>
    <w:rsid w:val="00342270"/>
    <w:rsid w:val="003425C7"/>
    <w:rsid w:val="00342624"/>
    <w:rsid w:val="00342792"/>
    <w:rsid w:val="00342A70"/>
    <w:rsid w:val="00342DA8"/>
    <w:rsid w:val="00343909"/>
    <w:rsid w:val="00343962"/>
    <w:rsid w:val="00343AC2"/>
    <w:rsid w:val="00344C79"/>
    <w:rsid w:val="0034515F"/>
    <w:rsid w:val="003452AA"/>
    <w:rsid w:val="0034532E"/>
    <w:rsid w:val="00345D1F"/>
    <w:rsid w:val="00345E92"/>
    <w:rsid w:val="00345ED8"/>
    <w:rsid w:val="003463AD"/>
    <w:rsid w:val="0034681D"/>
    <w:rsid w:val="003469F1"/>
    <w:rsid w:val="00346C44"/>
    <w:rsid w:val="00346CF0"/>
    <w:rsid w:val="003475FB"/>
    <w:rsid w:val="00350634"/>
    <w:rsid w:val="00350C84"/>
    <w:rsid w:val="00351ADD"/>
    <w:rsid w:val="0035217A"/>
    <w:rsid w:val="00352226"/>
    <w:rsid w:val="003523C5"/>
    <w:rsid w:val="0035354A"/>
    <w:rsid w:val="00353DAB"/>
    <w:rsid w:val="00353E4D"/>
    <w:rsid w:val="003545E6"/>
    <w:rsid w:val="0035480D"/>
    <w:rsid w:val="003548E2"/>
    <w:rsid w:val="00354DD9"/>
    <w:rsid w:val="003556EA"/>
    <w:rsid w:val="00355DA9"/>
    <w:rsid w:val="00355EE6"/>
    <w:rsid w:val="0035627C"/>
    <w:rsid w:val="00356A24"/>
    <w:rsid w:val="00356BD8"/>
    <w:rsid w:val="003570FC"/>
    <w:rsid w:val="00357330"/>
    <w:rsid w:val="00357985"/>
    <w:rsid w:val="00357E1E"/>
    <w:rsid w:val="003600E6"/>
    <w:rsid w:val="003603A4"/>
    <w:rsid w:val="00360672"/>
    <w:rsid w:val="0036069A"/>
    <w:rsid w:val="00360784"/>
    <w:rsid w:val="00360835"/>
    <w:rsid w:val="00360949"/>
    <w:rsid w:val="00360BC5"/>
    <w:rsid w:val="00360EA8"/>
    <w:rsid w:val="00361016"/>
    <w:rsid w:val="00361AF4"/>
    <w:rsid w:val="00361BE3"/>
    <w:rsid w:val="00361C8B"/>
    <w:rsid w:val="003621D7"/>
    <w:rsid w:val="003623AF"/>
    <w:rsid w:val="00362424"/>
    <w:rsid w:val="003627E3"/>
    <w:rsid w:val="00362810"/>
    <w:rsid w:val="00362878"/>
    <w:rsid w:val="00363AE0"/>
    <w:rsid w:val="003640AA"/>
    <w:rsid w:val="00364C05"/>
    <w:rsid w:val="00364D2F"/>
    <w:rsid w:val="00364E2E"/>
    <w:rsid w:val="0036519A"/>
    <w:rsid w:val="00365519"/>
    <w:rsid w:val="00365DB3"/>
    <w:rsid w:val="00366878"/>
    <w:rsid w:val="00366987"/>
    <w:rsid w:val="00366B1B"/>
    <w:rsid w:val="0036710D"/>
    <w:rsid w:val="003674B1"/>
    <w:rsid w:val="0036788E"/>
    <w:rsid w:val="00367FBE"/>
    <w:rsid w:val="003700C3"/>
    <w:rsid w:val="00370204"/>
    <w:rsid w:val="003707A8"/>
    <w:rsid w:val="00370C0E"/>
    <w:rsid w:val="00370C16"/>
    <w:rsid w:val="003711F5"/>
    <w:rsid w:val="0037160A"/>
    <w:rsid w:val="00371768"/>
    <w:rsid w:val="00371C3B"/>
    <w:rsid w:val="0037214F"/>
    <w:rsid w:val="00372482"/>
    <w:rsid w:val="003728E6"/>
    <w:rsid w:val="00372CFF"/>
    <w:rsid w:val="00372D11"/>
    <w:rsid w:val="00372D66"/>
    <w:rsid w:val="00372DC1"/>
    <w:rsid w:val="00372EB4"/>
    <w:rsid w:val="00373120"/>
    <w:rsid w:val="003732F0"/>
    <w:rsid w:val="003733B5"/>
    <w:rsid w:val="00373894"/>
    <w:rsid w:val="00373B72"/>
    <w:rsid w:val="00373CB8"/>
    <w:rsid w:val="0037483B"/>
    <w:rsid w:val="00374CA9"/>
    <w:rsid w:val="00374DBD"/>
    <w:rsid w:val="00375392"/>
    <w:rsid w:val="003754AF"/>
    <w:rsid w:val="00375560"/>
    <w:rsid w:val="003755A3"/>
    <w:rsid w:val="00375846"/>
    <w:rsid w:val="00375A4B"/>
    <w:rsid w:val="00375AD9"/>
    <w:rsid w:val="00375E93"/>
    <w:rsid w:val="00375FE0"/>
    <w:rsid w:val="00375FF4"/>
    <w:rsid w:val="00376AB4"/>
    <w:rsid w:val="00376C43"/>
    <w:rsid w:val="00377298"/>
    <w:rsid w:val="00377D4D"/>
    <w:rsid w:val="003800D6"/>
    <w:rsid w:val="00380547"/>
    <w:rsid w:val="00380565"/>
    <w:rsid w:val="00380651"/>
    <w:rsid w:val="00380A03"/>
    <w:rsid w:val="00380E37"/>
    <w:rsid w:val="00380EC4"/>
    <w:rsid w:val="003811EA"/>
    <w:rsid w:val="003814E9"/>
    <w:rsid w:val="003817E8"/>
    <w:rsid w:val="00381AA6"/>
    <w:rsid w:val="00381CDA"/>
    <w:rsid w:val="00381EFF"/>
    <w:rsid w:val="00381F8E"/>
    <w:rsid w:val="00382AF9"/>
    <w:rsid w:val="003832DD"/>
    <w:rsid w:val="003833EA"/>
    <w:rsid w:val="00383689"/>
    <w:rsid w:val="00384E49"/>
    <w:rsid w:val="003852B6"/>
    <w:rsid w:val="00385328"/>
    <w:rsid w:val="00385508"/>
    <w:rsid w:val="00385584"/>
    <w:rsid w:val="003856A9"/>
    <w:rsid w:val="003862B6"/>
    <w:rsid w:val="0038679E"/>
    <w:rsid w:val="0038690F"/>
    <w:rsid w:val="00386E7B"/>
    <w:rsid w:val="00386FF9"/>
    <w:rsid w:val="0038785D"/>
    <w:rsid w:val="003879DC"/>
    <w:rsid w:val="00390230"/>
    <w:rsid w:val="003909B4"/>
    <w:rsid w:val="00390B8C"/>
    <w:rsid w:val="00390C40"/>
    <w:rsid w:val="00390E1C"/>
    <w:rsid w:val="00391183"/>
    <w:rsid w:val="003916E6"/>
    <w:rsid w:val="003922C9"/>
    <w:rsid w:val="00392CDA"/>
    <w:rsid w:val="00392D07"/>
    <w:rsid w:val="00392D6D"/>
    <w:rsid w:val="00392DA5"/>
    <w:rsid w:val="00393871"/>
    <w:rsid w:val="00393B47"/>
    <w:rsid w:val="00394304"/>
    <w:rsid w:val="00394696"/>
    <w:rsid w:val="00394D33"/>
    <w:rsid w:val="00395739"/>
    <w:rsid w:val="00395DBB"/>
    <w:rsid w:val="00396C55"/>
    <w:rsid w:val="003974FF"/>
    <w:rsid w:val="00397577"/>
    <w:rsid w:val="00397618"/>
    <w:rsid w:val="00397755"/>
    <w:rsid w:val="003977D9"/>
    <w:rsid w:val="00397B19"/>
    <w:rsid w:val="00397F46"/>
    <w:rsid w:val="003A01BD"/>
    <w:rsid w:val="003A0BED"/>
    <w:rsid w:val="003A1394"/>
    <w:rsid w:val="003A1E83"/>
    <w:rsid w:val="003A1FAA"/>
    <w:rsid w:val="003A2463"/>
    <w:rsid w:val="003A25D3"/>
    <w:rsid w:val="003A28E2"/>
    <w:rsid w:val="003A2BCE"/>
    <w:rsid w:val="003A2E11"/>
    <w:rsid w:val="003A33A6"/>
    <w:rsid w:val="003A3D69"/>
    <w:rsid w:val="003A3E55"/>
    <w:rsid w:val="003A42FE"/>
    <w:rsid w:val="003A4675"/>
    <w:rsid w:val="003A49C2"/>
    <w:rsid w:val="003A4ACC"/>
    <w:rsid w:val="003A4BF1"/>
    <w:rsid w:val="003A544C"/>
    <w:rsid w:val="003A5450"/>
    <w:rsid w:val="003A55A2"/>
    <w:rsid w:val="003A5A01"/>
    <w:rsid w:val="003A5C1F"/>
    <w:rsid w:val="003A615A"/>
    <w:rsid w:val="003A63D1"/>
    <w:rsid w:val="003A667F"/>
    <w:rsid w:val="003A6E3D"/>
    <w:rsid w:val="003A6E4D"/>
    <w:rsid w:val="003A7235"/>
    <w:rsid w:val="003A733E"/>
    <w:rsid w:val="003A75DA"/>
    <w:rsid w:val="003A7C39"/>
    <w:rsid w:val="003B033B"/>
    <w:rsid w:val="003B0387"/>
    <w:rsid w:val="003B044B"/>
    <w:rsid w:val="003B07CD"/>
    <w:rsid w:val="003B0812"/>
    <w:rsid w:val="003B0AAC"/>
    <w:rsid w:val="003B10D2"/>
    <w:rsid w:val="003B1529"/>
    <w:rsid w:val="003B15FC"/>
    <w:rsid w:val="003B1B2F"/>
    <w:rsid w:val="003B2648"/>
    <w:rsid w:val="003B2A81"/>
    <w:rsid w:val="003B30B5"/>
    <w:rsid w:val="003B3555"/>
    <w:rsid w:val="003B4290"/>
    <w:rsid w:val="003B46F6"/>
    <w:rsid w:val="003B4792"/>
    <w:rsid w:val="003B4E9E"/>
    <w:rsid w:val="003B5736"/>
    <w:rsid w:val="003B58F2"/>
    <w:rsid w:val="003B6088"/>
    <w:rsid w:val="003B619E"/>
    <w:rsid w:val="003B63AD"/>
    <w:rsid w:val="003B67E0"/>
    <w:rsid w:val="003B6C47"/>
    <w:rsid w:val="003B6DAB"/>
    <w:rsid w:val="003B6FA3"/>
    <w:rsid w:val="003B7EF0"/>
    <w:rsid w:val="003C005F"/>
    <w:rsid w:val="003C04B5"/>
    <w:rsid w:val="003C0596"/>
    <w:rsid w:val="003C0704"/>
    <w:rsid w:val="003C0AA9"/>
    <w:rsid w:val="003C0FE0"/>
    <w:rsid w:val="003C1B7C"/>
    <w:rsid w:val="003C2C93"/>
    <w:rsid w:val="003C2D0A"/>
    <w:rsid w:val="003C2DBC"/>
    <w:rsid w:val="003C31B8"/>
    <w:rsid w:val="003C32D5"/>
    <w:rsid w:val="003C34D5"/>
    <w:rsid w:val="003C3625"/>
    <w:rsid w:val="003C363B"/>
    <w:rsid w:val="003C3760"/>
    <w:rsid w:val="003C37A1"/>
    <w:rsid w:val="003C38B1"/>
    <w:rsid w:val="003C406A"/>
    <w:rsid w:val="003C424C"/>
    <w:rsid w:val="003C4272"/>
    <w:rsid w:val="003C4370"/>
    <w:rsid w:val="003C44B2"/>
    <w:rsid w:val="003C4726"/>
    <w:rsid w:val="003C4AFE"/>
    <w:rsid w:val="003C4BBC"/>
    <w:rsid w:val="003C4C57"/>
    <w:rsid w:val="003C5232"/>
    <w:rsid w:val="003C52B0"/>
    <w:rsid w:val="003C53E8"/>
    <w:rsid w:val="003C5790"/>
    <w:rsid w:val="003C6368"/>
    <w:rsid w:val="003C6CDE"/>
    <w:rsid w:val="003C6E1D"/>
    <w:rsid w:val="003C7048"/>
    <w:rsid w:val="003D003D"/>
    <w:rsid w:val="003D009F"/>
    <w:rsid w:val="003D0634"/>
    <w:rsid w:val="003D0852"/>
    <w:rsid w:val="003D0D96"/>
    <w:rsid w:val="003D0E21"/>
    <w:rsid w:val="003D0F0E"/>
    <w:rsid w:val="003D1925"/>
    <w:rsid w:val="003D198B"/>
    <w:rsid w:val="003D1B31"/>
    <w:rsid w:val="003D1B9B"/>
    <w:rsid w:val="003D1E7A"/>
    <w:rsid w:val="003D207A"/>
    <w:rsid w:val="003D2173"/>
    <w:rsid w:val="003D22D6"/>
    <w:rsid w:val="003D24AB"/>
    <w:rsid w:val="003D2A66"/>
    <w:rsid w:val="003D2D33"/>
    <w:rsid w:val="003D2EAD"/>
    <w:rsid w:val="003D30C1"/>
    <w:rsid w:val="003D37C1"/>
    <w:rsid w:val="003D3930"/>
    <w:rsid w:val="003D39CD"/>
    <w:rsid w:val="003D3EE7"/>
    <w:rsid w:val="003D4353"/>
    <w:rsid w:val="003D455A"/>
    <w:rsid w:val="003D4A8B"/>
    <w:rsid w:val="003D55A9"/>
    <w:rsid w:val="003D563A"/>
    <w:rsid w:val="003D58BE"/>
    <w:rsid w:val="003D5B65"/>
    <w:rsid w:val="003D5DE0"/>
    <w:rsid w:val="003D6229"/>
    <w:rsid w:val="003D644D"/>
    <w:rsid w:val="003D6573"/>
    <w:rsid w:val="003D694A"/>
    <w:rsid w:val="003D705B"/>
    <w:rsid w:val="003D74BB"/>
    <w:rsid w:val="003D7FDA"/>
    <w:rsid w:val="003E076E"/>
    <w:rsid w:val="003E0788"/>
    <w:rsid w:val="003E08E2"/>
    <w:rsid w:val="003E0A64"/>
    <w:rsid w:val="003E0CA4"/>
    <w:rsid w:val="003E0D4F"/>
    <w:rsid w:val="003E0DAA"/>
    <w:rsid w:val="003E1006"/>
    <w:rsid w:val="003E1146"/>
    <w:rsid w:val="003E1338"/>
    <w:rsid w:val="003E1B05"/>
    <w:rsid w:val="003E1BC5"/>
    <w:rsid w:val="003E2035"/>
    <w:rsid w:val="003E2170"/>
    <w:rsid w:val="003E219A"/>
    <w:rsid w:val="003E2390"/>
    <w:rsid w:val="003E2574"/>
    <w:rsid w:val="003E2AD1"/>
    <w:rsid w:val="003E2B35"/>
    <w:rsid w:val="003E2BD5"/>
    <w:rsid w:val="003E2D46"/>
    <w:rsid w:val="003E2F49"/>
    <w:rsid w:val="003E3F38"/>
    <w:rsid w:val="003E434B"/>
    <w:rsid w:val="003E44BE"/>
    <w:rsid w:val="003E4B3F"/>
    <w:rsid w:val="003E4DB6"/>
    <w:rsid w:val="003E4FCE"/>
    <w:rsid w:val="003E56DB"/>
    <w:rsid w:val="003E5AC4"/>
    <w:rsid w:val="003E6275"/>
    <w:rsid w:val="003E6B7E"/>
    <w:rsid w:val="003E6CAA"/>
    <w:rsid w:val="003E723B"/>
    <w:rsid w:val="003E7334"/>
    <w:rsid w:val="003E7A1B"/>
    <w:rsid w:val="003E7E4D"/>
    <w:rsid w:val="003E7EC0"/>
    <w:rsid w:val="003F01F5"/>
    <w:rsid w:val="003F02BD"/>
    <w:rsid w:val="003F0AC9"/>
    <w:rsid w:val="003F0E4D"/>
    <w:rsid w:val="003F1007"/>
    <w:rsid w:val="003F105E"/>
    <w:rsid w:val="003F123C"/>
    <w:rsid w:val="003F1432"/>
    <w:rsid w:val="003F16B5"/>
    <w:rsid w:val="003F1F62"/>
    <w:rsid w:val="003F2B81"/>
    <w:rsid w:val="003F3D75"/>
    <w:rsid w:val="003F3F1C"/>
    <w:rsid w:val="003F4978"/>
    <w:rsid w:val="003F4F83"/>
    <w:rsid w:val="003F56F0"/>
    <w:rsid w:val="003F5DA4"/>
    <w:rsid w:val="003F6004"/>
    <w:rsid w:val="003F635B"/>
    <w:rsid w:val="003F6801"/>
    <w:rsid w:val="003F6A1B"/>
    <w:rsid w:val="003F7053"/>
    <w:rsid w:val="003F71CE"/>
    <w:rsid w:val="003F729C"/>
    <w:rsid w:val="003F731C"/>
    <w:rsid w:val="003F7368"/>
    <w:rsid w:val="003F77C1"/>
    <w:rsid w:val="003F7AF6"/>
    <w:rsid w:val="003F7B29"/>
    <w:rsid w:val="003F7FD3"/>
    <w:rsid w:val="0040016C"/>
    <w:rsid w:val="00400303"/>
    <w:rsid w:val="00400C93"/>
    <w:rsid w:val="00401379"/>
    <w:rsid w:val="00401D6B"/>
    <w:rsid w:val="00401FC7"/>
    <w:rsid w:val="00402731"/>
    <w:rsid w:val="00402805"/>
    <w:rsid w:val="00402AE7"/>
    <w:rsid w:val="00402B04"/>
    <w:rsid w:val="004035F3"/>
    <w:rsid w:val="00403646"/>
    <w:rsid w:val="0040373C"/>
    <w:rsid w:val="00403860"/>
    <w:rsid w:val="00403BC8"/>
    <w:rsid w:val="00403D9A"/>
    <w:rsid w:val="004040DD"/>
    <w:rsid w:val="00404A8F"/>
    <w:rsid w:val="00404EA5"/>
    <w:rsid w:val="004055B3"/>
    <w:rsid w:val="004059CB"/>
    <w:rsid w:val="00405CA0"/>
    <w:rsid w:val="0040636F"/>
    <w:rsid w:val="00406622"/>
    <w:rsid w:val="00406B99"/>
    <w:rsid w:val="00407549"/>
    <w:rsid w:val="00407613"/>
    <w:rsid w:val="0040766A"/>
    <w:rsid w:val="00407985"/>
    <w:rsid w:val="00407EB9"/>
    <w:rsid w:val="004100DE"/>
    <w:rsid w:val="00410687"/>
    <w:rsid w:val="00410A4C"/>
    <w:rsid w:val="00410BED"/>
    <w:rsid w:val="00410FB8"/>
    <w:rsid w:val="004114EF"/>
    <w:rsid w:val="00411575"/>
    <w:rsid w:val="00411717"/>
    <w:rsid w:val="00411903"/>
    <w:rsid w:val="0041282A"/>
    <w:rsid w:val="00412A84"/>
    <w:rsid w:val="00412B65"/>
    <w:rsid w:val="00412B66"/>
    <w:rsid w:val="0041301F"/>
    <w:rsid w:val="0041374C"/>
    <w:rsid w:val="0041396E"/>
    <w:rsid w:val="00413C4B"/>
    <w:rsid w:val="00413C83"/>
    <w:rsid w:val="004140DF"/>
    <w:rsid w:val="0041416D"/>
    <w:rsid w:val="0041447C"/>
    <w:rsid w:val="00414A94"/>
    <w:rsid w:val="00414ABA"/>
    <w:rsid w:val="00414C16"/>
    <w:rsid w:val="004151DD"/>
    <w:rsid w:val="00415ACB"/>
    <w:rsid w:val="00415C81"/>
    <w:rsid w:val="00415D3F"/>
    <w:rsid w:val="00415D55"/>
    <w:rsid w:val="00415EC9"/>
    <w:rsid w:val="00415FCC"/>
    <w:rsid w:val="00416245"/>
    <w:rsid w:val="0041638E"/>
    <w:rsid w:val="00416830"/>
    <w:rsid w:val="004168E8"/>
    <w:rsid w:val="00416FA2"/>
    <w:rsid w:val="0041754C"/>
    <w:rsid w:val="00417963"/>
    <w:rsid w:val="00417E4A"/>
    <w:rsid w:val="00417F8A"/>
    <w:rsid w:val="0042018D"/>
    <w:rsid w:val="0042031D"/>
    <w:rsid w:val="004203C7"/>
    <w:rsid w:val="004206D6"/>
    <w:rsid w:val="00420E88"/>
    <w:rsid w:val="00420F7C"/>
    <w:rsid w:val="00421293"/>
    <w:rsid w:val="00421635"/>
    <w:rsid w:val="0042203F"/>
    <w:rsid w:val="004222EC"/>
    <w:rsid w:val="00422A2D"/>
    <w:rsid w:val="00422F1E"/>
    <w:rsid w:val="00422F41"/>
    <w:rsid w:val="00423096"/>
    <w:rsid w:val="0042338D"/>
    <w:rsid w:val="00423A1D"/>
    <w:rsid w:val="00423BDE"/>
    <w:rsid w:val="00423FB0"/>
    <w:rsid w:val="004241A2"/>
    <w:rsid w:val="0042458B"/>
    <w:rsid w:val="004245F9"/>
    <w:rsid w:val="00424625"/>
    <w:rsid w:val="00424667"/>
    <w:rsid w:val="004248B4"/>
    <w:rsid w:val="00424B97"/>
    <w:rsid w:val="00424D2F"/>
    <w:rsid w:val="00424D84"/>
    <w:rsid w:val="00424E7A"/>
    <w:rsid w:val="00424FEA"/>
    <w:rsid w:val="0042514D"/>
    <w:rsid w:val="004251D9"/>
    <w:rsid w:val="00425384"/>
    <w:rsid w:val="0042580E"/>
    <w:rsid w:val="00425AFC"/>
    <w:rsid w:val="00425EBB"/>
    <w:rsid w:val="00425ECC"/>
    <w:rsid w:val="004262C8"/>
    <w:rsid w:val="0042643F"/>
    <w:rsid w:val="00426647"/>
    <w:rsid w:val="004269E4"/>
    <w:rsid w:val="00426E53"/>
    <w:rsid w:val="004278CA"/>
    <w:rsid w:val="00427A3D"/>
    <w:rsid w:val="00427BF3"/>
    <w:rsid w:val="00427E50"/>
    <w:rsid w:val="00430705"/>
    <w:rsid w:val="00431999"/>
    <w:rsid w:val="00431BF7"/>
    <w:rsid w:val="004323BC"/>
    <w:rsid w:val="00432B11"/>
    <w:rsid w:val="00432BEF"/>
    <w:rsid w:val="00432FFB"/>
    <w:rsid w:val="00433220"/>
    <w:rsid w:val="004335D5"/>
    <w:rsid w:val="004335F4"/>
    <w:rsid w:val="0043369E"/>
    <w:rsid w:val="00433700"/>
    <w:rsid w:val="00433938"/>
    <w:rsid w:val="004339D7"/>
    <w:rsid w:val="00433C7F"/>
    <w:rsid w:val="0043447C"/>
    <w:rsid w:val="004345DC"/>
    <w:rsid w:val="00434BF8"/>
    <w:rsid w:val="00434E43"/>
    <w:rsid w:val="0043527F"/>
    <w:rsid w:val="0043546F"/>
    <w:rsid w:val="00435978"/>
    <w:rsid w:val="00435DCB"/>
    <w:rsid w:val="00435F11"/>
    <w:rsid w:val="00435F53"/>
    <w:rsid w:val="004362E5"/>
    <w:rsid w:val="00436465"/>
    <w:rsid w:val="00436478"/>
    <w:rsid w:val="00436520"/>
    <w:rsid w:val="00436A13"/>
    <w:rsid w:val="00436A88"/>
    <w:rsid w:val="00436D98"/>
    <w:rsid w:val="004375FD"/>
    <w:rsid w:val="00437607"/>
    <w:rsid w:val="004376DE"/>
    <w:rsid w:val="00437833"/>
    <w:rsid w:val="004378CD"/>
    <w:rsid w:val="004403A6"/>
    <w:rsid w:val="00440D89"/>
    <w:rsid w:val="00441059"/>
    <w:rsid w:val="00441387"/>
    <w:rsid w:val="0044171D"/>
    <w:rsid w:val="00441CE7"/>
    <w:rsid w:val="00441E7A"/>
    <w:rsid w:val="004420F0"/>
    <w:rsid w:val="00442273"/>
    <w:rsid w:val="0044236D"/>
    <w:rsid w:val="0044241A"/>
    <w:rsid w:val="004426E1"/>
    <w:rsid w:val="00443DFD"/>
    <w:rsid w:val="00443F5F"/>
    <w:rsid w:val="00443FA2"/>
    <w:rsid w:val="00444612"/>
    <w:rsid w:val="004446FD"/>
    <w:rsid w:val="0044487C"/>
    <w:rsid w:val="00444BA7"/>
    <w:rsid w:val="00444C69"/>
    <w:rsid w:val="00444EF5"/>
    <w:rsid w:val="0044524D"/>
    <w:rsid w:val="004453C9"/>
    <w:rsid w:val="0044542A"/>
    <w:rsid w:val="00445796"/>
    <w:rsid w:val="00445A37"/>
    <w:rsid w:val="00445A6F"/>
    <w:rsid w:val="00446586"/>
    <w:rsid w:val="004465F6"/>
    <w:rsid w:val="004468BC"/>
    <w:rsid w:val="00447625"/>
    <w:rsid w:val="004477F7"/>
    <w:rsid w:val="00447D50"/>
    <w:rsid w:val="00447F8A"/>
    <w:rsid w:val="00450298"/>
    <w:rsid w:val="00450316"/>
    <w:rsid w:val="00450468"/>
    <w:rsid w:val="00450BCD"/>
    <w:rsid w:val="004510E0"/>
    <w:rsid w:val="00451516"/>
    <w:rsid w:val="00451641"/>
    <w:rsid w:val="0045182D"/>
    <w:rsid w:val="00452385"/>
    <w:rsid w:val="004524B1"/>
    <w:rsid w:val="00452CCD"/>
    <w:rsid w:val="00453C72"/>
    <w:rsid w:val="00454790"/>
    <w:rsid w:val="0045498F"/>
    <w:rsid w:val="00455A29"/>
    <w:rsid w:val="00455FDB"/>
    <w:rsid w:val="0045646B"/>
    <w:rsid w:val="0045655D"/>
    <w:rsid w:val="004568C1"/>
    <w:rsid w:val="00456F00"/>
    <w:rsid w:val="00456FE9"/>
    <w:rsid w:val="00457A56"/>
    <w:rsid w:val="00457D72"/>
    <w:rsid w:val="00457F85"/>
    <w:rsid w:val="00460416"/>
    <w:rsid w:val="00460D54"/>
    <w:rsid w:val="00461171"/>
    <w:rsid w:val="00461A48"/>
    <w:rsid w:val="00461C69"/>
    <w:rsid w:val="00461DD0"/>
    <w:rsid w:val="00462120"/>
    <w:rsid w:val="00462984"/>
    <w:rsid w:val="00462A16"/>
    <w:rsid w:val="004630DC"/>
    <w:rsid w:val="00463749"/>
    <w:rsid w:val="004639E1"/>
    <w:rsid w:val="00463AE8"/>
    <w:rsid w:val="004646E5"/>
    <w:rsid w:val="004649CD"/>
    <w:rsid w:val="004654C9"/>
    <w:rsid w:val="00465798"/>
    <w:rsid w:val="00465AA9"/>
    <w:rsid w:val="00465F48"/>
    <w:rsid w:val="00466148"/>
    <w:rsid w:val="0046614C"/>
    <w:rsid w:val="00466370"/>
    <w:rsid w:val="0046642E"/>
    <w:rsid w:val="004668C2"/>
    <w:rsid w:val="00466F33"/>
    <w:rsid w:val="00467530"/>
    <w:rsid w:val="004679BF"/>
    <w:rsid w:val="00467AD3"/>
    <w:rsid w:val="00467E0A"/>
    <w:rsid w:val="00470904"/>
    <w:rsid w:val="00470A6D"/>
    <w:rsid w:val="00470C99"/>
    <w:rsid w:val="00470C9A"/>
    <w:rsid w:val="00470DC4"/>
    <w:rsid w:val="00470EFE"/>
    <w:rsid w:val="00471184"/>
    <w:rsid w:val="00471226"/>
    <w:rsid w:val="004712A7"/>
    <w:rsid w:val="004717FC"/>
    <w:rsid w:val="00471B01"/>
    <w:rsid w:val="00471F9F"/>
    <w:rsid w:val="004722A5"/>
    <w:rsid w:val="00472348"/>
    <w:rsid w:val="004723D8"/>
    <w:rsid w:val="00472482"/>
    <w:rsid w:val="00473080"/>
    <w:rsid w:val="00473125"/>
    <w:rsid w:val="004734A1"/>
    <w:rsid w:val="004735CA"/>
    <w:rsid w:val="004736AA"/>
    <w:rsid w:val="004736C2"/>
    <w:rsid w:val="00473739"/>
    <w:rsid w:val="0047383B"/>
    <w:rsid w:val="00473B89"/>
    <w:rsid w:val="00473E87"/>
    <w:rsid w:val="004742D3"/>
    <w:rsid w:val="00474522"/>
    <w:rsid w:val="00474A22"/>
    <w:rsid w:val="00474A74"/>
    <w:rsid w:val="00474F8D"/>
    <w:rsid w:val="0047557F"/>
    <w:rsid w:val="0047587D"/>
    <w:rsid w:val="00475A27"/>
    <w:rsid w:val="00475B41"/>
    <w:rsid w:val="00475C14"/>
    <w:rsid w:val="00475F63"/>
    <w:rsid w:val="004769AC"/>
    <w:rsid w:val="00477543"/>
    <w:rsid w:val="00477A03"/>
    <w:rsid w:val="00480015"/>
    <w:rsid w:val="00480113"/>
    <w:rsid w:val="0048016D"/>
    <w:rsid w:val="00480401"/>
    <w:rsid w:val="00480EB4"/>
    <w:rsid w:val="0048119E"/>
    <w:rsid w:val="00481880"/>
    <w:rsid w:val="00481E81"/>
    <w:rsid w:val="0048363E"/>
    <w:rsid w:val="00483C03"/>
    <w:rsid w:val="00484593"/>
    <w:rsid w:val="00484E0B"/>
    <w:rsid w:val="00484ECD"/>
    <w:rsid w:val="004854DE"/>
    <w:rsid w:val="004854EF"/>
    <w:rsid w:val="00485A20"/>
    <w:rsid w:val="00485A5D"/>
    <w:rsid w:val="00485D9A"/>
    <w:rsid w:val="00485F5C"/>
    <w:rsid w:val="00486872"/>
    <w:rsid w:val="00486ABA"/>
    <w:rsid w:val="00486C89"/>
    <w:rsid w:val="00487C7C"/>
    <w:rsid w:val="00487D4B"/>
    <w:rsid w:val="00487F46"/>
    <w:rsid w:val="00487FEB"/>
    <w:rsid w:val="00490157"/>
    <w:rsid w:val="00490921"/>
    <w:rsid w:val="00490EC9"/>
    <w:rsid w:val="004910E4"/>
    <w:rsid w:val="004912D1"/>
    <w:rsid w:val="00491AF9"/>
    <w:rsid w:val="00491C5F"/>
    <w:rsid w:val="00491CBE"/>
    <w:rsid w:val="00492405"/>
    <w:rsid w:val="004924EF"/>
    <w:rsid w:val="004926A2"/>
    <w:rsid w:val="00492AC3"/>
    <w:rsid w:val="00493461"/>
    <w:rsid w:val="004935C7"/>
    <w:rsid w:val="00493D19"/>
    <w:rsid w:val="00493D5F"/>
    <w:rsid w:val="004940CA"/>
    <w:rsid w:val="004948F1"/>
    <w:rsid w:val="0049494F"/>
    <w:rsid w:val="00494B17"/>
    <w:rsid w:val="00495207"/>
    <w:rsid w:val="0049584D"/>
    <w:rsid w:val="00495863"/>
    <w:rsid w:val="0049589C"/>
    <w:rsid w:val="00495BB2"/>
    <w:rsid w:val="00495DAB"/>
    <w:rsid w:val="00496251"/>
    <w:rsid w:val="00496266"/>
    <w:rsid w:val="0049655C"/>
    <w:rsid w:val="00496638"/>
    <w:rsid w:val="0049674C"/>
    <w:rsid w:val="0049701D"/>
    <w:rsid w:val="004972E1"/>
    <w:rsid w:val="0049736F"/>
    <w:rsid w:val="00497432"/>
    <w:rsid w:val="004975B3"/>
    <w:rsid w:val="004976D3"/>
    <w:rsid w:val="00497CFC"/>
    <w:rsid w:val="004A02A3"/>
    <w:rsid w:val="004A0631"/>
    <w:rsid w:val="004A0A7E"/>
    <w:rsid w:val="004A0AAC"/>
    <w:rsid w:val="004A0AB4"/>
    <w:rsid w:val="004A0B0D"/>
    <w:rsid w:val="004A0B8B"/>
    <w:rsid w:val="004A1144"/>
    <w:rsid w:val="004A1710"/>
    <w:rsid w:val="004A1832"/>
    <w:rsid w:val="004A20F1"/>
    <w:rsid w:val="004A237D"/>
    <w:rsid w:val="004A26B2"/>
    <w:rsid w:val="004A2910"/>
    <w:rsid w:val="004A36E5"/>
    <w:rsid w:val="004A3B2E"/>
    <w:rsid w:val="004A3B60"/>
    <w:rsid w:val="004A3D02"/>
    <w:rsid w:val="004A4382"/>
    <w:rsid w:val="004A466D"/>
    <w:rsid w:val="004A4690"/>
    <w:rsid w:val="004A57B0"/>
    <w:rsid w:val="004A5925"/>
    <w:rsid w:val="004A5E46"/>
    <w:rsid w:val="004A60C2"/>
    <w:rsid w:val="004A6140"/>
    <w:rsid w:val="004A6713"/>
    <w:rsid w:val="004A6857"/>
    <w:rsid w:val="004A6ACC"/>
    <w:rsid w:val="004A6B42"/>
    <w:rsid w:val="004A6D79"/>
    <w:rsid w:val="004A6DD5"/>
    <w:rsid w:val="004A700F"/>
    <w:rsid w:val="004A72EC"/>
    <w:rsid w:val="004A7380"/>
    <w:rsid w:val="004A7393"/>
    <w:rsid w:val="004A7F38"/>
    <w:rsid w:val="004A7FAC"/>
    <w:rsid w:val="004B0AEF"/>
    <w:rsid w:val="004B0D6E"/>
    <w:rsid w:val="004B1028"/>
    <w:rsid w:val="004B1238"/>
    <w:rsid w:val="004B18FF"/>
    <w:rsid w:val="004B1BF1"/>
    <w:rsid w:val="004B1DCB"/>
    <w:rsid w:val="004B2148"/>
    <w:rsid w:val="004B2EA0"/>
    <w:rsid w:val="004B3521"/>
    <w:rsid w:val="004B367A"/>
    <w:rsid w:val="004B3A96"/>
    <w:rsid w:val="004B3EA3"/>
    <w:rsid w:val="004B4337"/>
    <w:rsid w:val="004B4D27"/>
    <w:rsid w:val="004B589E"/>
    <w:rsid w:val="004B5A0D"/>
    <w:rsid w:val="004B5C09"/>
    <w:rsid w:val="004B5D98"/>
    <w:rsid w:val="004B5EB6"/>
    <w:rsid w:val="004B5F0D"/>
    <w:rsid w:val="004B5F12"/>
    <w:rsid w:val="004B5F91"/>
    <w:rsid w:val="004B5FED"/>
    <w:rsid w:val="004B639B"/>
    <w:rsid w:val="004B65A1"/>
    <w:rsid w:val="004B6737"/>
    <w:rsid w:val="004B7256"/>
    <w:rsid w:val="004B7304"/>
    <w:rsid w:val="004B774B"/>
    <w:rsid w:val="004B7B48"/>
    <w:rsid w:val="004B7DE6"/>
    <w:rsid w:val="004C0383"/>
    <w:rsid w:val="004C049B"/>
    <w:rsid w:val="004C1152"/>
    <w:rsid w:val="004C12F7"/>
    <w:rsid w:val="004C1314"/>
    <w:rsid w:val="004C1CAE"/>
    <w:rsid w:val="004C1CC6"/>
    <w:rsid w:val="004C1DB5"/>
    <w:rsid w:val="004C21B4"/>
    <w:rsid w:val="004C26DE"/>
    <w:rsid w:val="004C2BE2"/>
    <w:rsid w:val="004C2D8A"/>
    <w:rsid w:val="004C2E0D"/>
    <w:rsid w:val="004C3458"/>
    <w:rsid w:val="004C374D"/>
    <w:rsid w:val="004C3C1C"/>
    <w:rsid w:val="004C3DA8"/>
    <w:rsid w:val="004C4117"/>
    <w:rsid w:val="004C47A0"/>
    <w:rsid w:val="004C4813"/>
    <w:rsid w:val="004C4A88"/>
    <w:rsid w:val="004C4DBF"/>
    <w:rsid w:val="004C4EDB"/>
    <w:rsid w:val="004C5BAE"/>
    <w:rsid w:val="004C5F0A"/>
    <w:rsid w:val="004C5FE7"/>
    <w:rsid w:val="004C6236"/>
    <w:rsid w:val="004C70BA"/>
    <w:rsid w:val="004C7A90"/>
    <w:rsid w:val="004C7AB2"/>
    <w:rsid w:val="004D00E3"/>
    <w:rsid w:val="004D046B"/>
    <w:rsid w:val="004D0974"/>
    <w:rsid w:val="004D0EFE"/>
    <w:rsid w:val="004D0F1E"/>
    <w:rsid w:val="004D1258"/>
    <w:rsid w:val="004D15C2"/>
    <w:rsid w:val="004D1B7D"/>
    <w:rsid w:val="004D1CBB"/>
    <w:rsid w:val="004D1DAC"/>
    <w:rsid w:val="004D1F85"/>
    <w:rsid w:val="004D2BD6"/>
    <w:rsid w:val="004D3040"/>
    <w:rsid w:val="004D32CD"/>
    <w:rsid w:val="004D377E"/>
    <w:rsid w:val="004D37C1"/>
    <w:rsid w:val="004D432D"/>
    <w:rsid w:val="004D4523"/>
    <w:rsid w:val="004D47BD"/>
    <w:rsid w:val="004D4C9F"/>
    <w:rsid w:val="004D5053"/>
    <w:rsid w:val="004D51D7"/>
    <w:rsid w:val="004D5321"/>
    <w:rsid w:val="004D5647"/>
    <w:rsid w:val="004D604A"/>
    <w:rsid w:val="004D6095"/>
    <w:rsid w:val="004D6893"/>
    <w:rsid w:val="004D7C47"/>
    <w:rsid w:val="004D7CD4"/>
    <w:rsid w:val="004E060C"/>
    <w:rsid w:val="004E0B2E"/>
    <w:rsid w:val="004E0E38"/>
    <w:rsid w:val="004E1838"/>
    <w:rsid w:val="004E20A2"/>
    <w:rsid w:val="004E2366"/>
    <w:rsid w:val="004E23E4"/>
    <w:rsid w:val="004E2467"/>
    <w:rsid w:val="004E24EB"/>
    <w:rsid w:val="004E275A"/>
    <w:rsid w:val="004E30AA"/>
    <w:rsid w:val="004E3626"/>
    <w:rsid w:val="004E369B"/>
    <w:rsid w:val="004E3ADA"/>
    <w:rsid w:val="004E447C"/>
    <w:rsid w:val="004E459B"/>
    <w:rsid w:val="004E4E2E"/>
    <w:rsid w:val="004E4F7A"/>
    <w:rsid w:val="004E4FE8"/>
    <w:rsid w:val="004E5416"/>
    <w:rsid w:val="004E554D"/>
    <w:rsid w:val="004E56A3"/>
    <w:rsid w:val="004E5735"/>
    <w:rsid w:val="004E5EC0"/>
    <w:rsid w:val="004E5ED9"/>
    <w:rsid w:val="004E664D"/>
    <w:rsid w:val="004E6C47"/>
    <w:rsid w:val="004E6DB3"/>
    <w:rsid w:val="004E7255"/>
    <w:rsid w:val="004E7AC1"/>
    <w:rsid w:val="004E7B27"/>
    <w:rsid w:val="004E7FBE"/>
    <w:rsid w:val="004F0561"/>
    <w:rsid w:val="004F0764"/>
    <w:rsid w:val="004F0E28"/>
    <w:rsid w:val="004F0F57"/>
    <w:rsid w:val="004F183C"/>
    <w:rsid w:val="004F185B"/>
    <w:rsid w:val="004F19C3"/>
    <w:rsid w:val="004F1A79"/>
    <w:rsid w:val="004F1CD8"/>
    <w:rsid w:val="004F1D07"/>
    <w:rsid w:val="004F1E9B"/>
    <w:rsid w:val="004F24C2"/>
    <w:rsid w:val="004F2AD9"/>
    <w:rsid w:val="004F2ADD"/>
    <w:rsid w:val="004F2B15"/>
    <w:rsid w:val="004F2BDD"/>
    <w:rsid w:val="004F2DE6"/>
    <w:rsid w:val="004F47ED"/>
    <w:rsid w:val="004F48BB"/>
    <w:rsid w:val="004F4DD1"/>
    <w:rsid w:val="004F4ED5"/>
    <w:rsid w:val="004F5206"/>
    <w:rsid w:val="004F5E6F"/>
    <w:rsid w:val="004F63C2"/>
    <w:rsid w:val="004F67DA"/>
    <w:rsid w:val="004F6840"/>
    <w:rsid w:val="004F6C41"/>
    <w:rsid w:val="004F6C42"/>
    <w:rsid w:val="004F6D0F"/>
    <w:rsid w:val="004F6F3D"/>
    <w:rsid w:val="004F748E"/>
    <w:rsid w:val="004F74FE"/>
    <w:rsid w:val="004F781E"/>
    <w:rsid w:val="004F79D4"/>
    <w:rsid w:val="004F7ED8"/>
    <w:rsid w:val="004F7F43"/>
    <w:rsid w:val="00500245"/>
    <w:rsid w:val="00500B94"/>
    <w:rsid w:val="005013AF"/>
    <w:rsid w:val="00501C6D"/>
    <w:rsid w:val="00502460"/>
    <w:rsid w:val="0050255E"/>
    <w:rsid w:val="0050257E"/>
    <w:rsid w:val="0050275C"/>
    <w:rsid w:val="0050299F"/>
    <w:rsid w:val="005038AA"/>
    <w:rsid w:val="00503FC6"/>
    <w:rsid w:val="005042E3"/>
    <w:rsid w:val="00504854"/>
    <w:rsid w:val="00504E2E"/>
    <w:rsid w:val="0050520A"/>
    <w:rsid w:val="00505A2E"/>
    <w:rsid w:val="00505BB9"/>
    <w:rsid w:val="005065EA"/>
    <w:rsid w:val="00506619"/>
    <w:rsid w:val="00506899"/>
    <w:rsid w:val="00506991"/>
    <w:rsid w:val="00506BA1"/>
    <w:rsid w:val="00507658"/>
    <w:rsid w:val="00507C68"/>
    <w:rsid w:val="00507E2E"/>
    <w:rsid w:val="00507F74"/>
    <w:rsid w:val="00510184"/>
    <w:rsid w:val="005101AA"/>
    <w:rsid w:val="0051023E"/>
    <w:rsid w:val="00510310"/>
    <w:rsid w:val="005109B9"/>
    <w:rsid w:val="005109BC"/>
    <w:rsid w:val="005109C9"/>
    <w:rsid w:val="00510AFF"/>
    <w:rsid w:val="00510C49"/>
    <w:rsid w:val="00510E98"/>
    <w:rsid w:val="00511B4F"/>
    <w:rsid w:val="00511CFD"/>
    <w:rsid w:val="00511F2B"/>
    <w:rsid w:val="005129E3"/>
    <w:rsid w:val="00512CF4"/>
    <w:rsid w:val="0051324E"/>
    <w:rsid w:val="0051335C"/>
    <w:rsid w:val="00513388"/>
    <w:rsid w:val="005134B6"/>
    <w:rsid w:val="00513634"/>
    <w:rsid w:val="00513AA7"/>
    <w:rsid w:val="005142D9"/>
    <w:rsid w:val="00514523"/>
    <w:rsid w:val="00514FCF"/>
    <w:rsid w:val="005156DA"/>
    <w:rsid w:val="00516A62"/>
    <w:rsid w:val="0051777B"/>
    <w:rsid w:val="00517A58"/>
    <w:rsid w:val="005203CE"/>
    <w:rsid w:val="005203FA"/>
    <w:rsid w:val="005204EC"/>
    <w:rsid w:val="00520DF7"/>
    <w:rsid w:val="005210E4"/>
    <w:rsid w:val="00521228"/>
    <w:rsid w:val="00521679"/>
    <w:rsid w:val="005222E3"/>
    <w:rsid w:val="005225E3"/>
    <w:rsid w:val="00522646"/>
    <w:rsid w:val="00522E78"/>
    <w:rsid w:val="005234FF"/>
    <w:rsid w:val="00523F76"/>
    <w:rsid w:val="0052420F"/>
    <w:rsid w:val="00524323"/>
    <w:rsid w:val="005249D5"/>
    <w:rsid w:val="00525260"/>
    <w:rsid w:val="00525A41"/>
    <w:rsid w:val="00525E8A"/>
    <w:rsid w:val="0052675C"/>
    <w:rsid w:val="00526897"/>
    <w:rsid w:val="005269F7"/>
    <w:rsid w:val="00526AB1"/>
    <w:rsid w:val="00526DF4"/>
    <w:rsid w:val="00527149"/>
    <w:rsid w:val="0052732A"/>
    <w:rsid w:val="00527714"/>
    <w:rsid w:val="00527871"/>
    <w:rsid w:val="00527A07"/>
    <w:rsid w:val="00527EBA"/>
    <w:rsid w:val="0053022B"/>
    <w:rsid w:val="00530612"/>
    <w:rsid w:val="00530AFB"/>
    <w:rsid w:val="00530E5E"/>
    <w:rsid w:val="00531847"/>
    <w:rsid w:val="00531BF3"/>
    <w:rsid w:val="005321D4"/>
    <w:rsid w:val="005325F5"/>
    <w:rsid w:val="00532726"/>
    <w:rsid w:val="00532D62"/>
    <w:rsid w:val="005330F7"/>
    <w:rsid w:val="005332DE"/>
    <w:rsid w:val="00533760"/>
    <w:rsid w:val="00533B98"/>
    <w:rsid w:val="00533D97"/>
    <w:rsid w:val="0053443E"/>
    <w:rsid w:val="00534661"/>
    <w:rsid w:val="00534763"/>
    <w:rsid w:val="00534C5A"/>
    <w:rsid w:val="00534C8A"/>
    <w:rsid w:val="00534E78"/>
    <w:rsid w:val="0053516C"/>
    <w:rsid w:val="00535793"/>
    <w:rsid w:val="00535964"/>
    <w:rsid w:val="00535DA8"/>
    <w:rsid w:val="00536483"/>
    <w:rsid w:val="00536871"/>
    <w:rsid w:val="00536AFA"/>
    <w:rsid w:val="00536C1C"/>
    <w:rsid w:val="00536F4F"/>
    <w:rsid w:val="0053734E"/>
    <w:rsid w:val="005374EC"/>
    <w:rsid w:val="00537C97"/>
    <w:rsid w:val="0054050B"/>
    <w:rsid w:val="005410F0"/>
    <w:rsid w:val="0054145E"/>
    <w:rsid w:val="00542393"/>
    <w:rsid w:val="0054255F"/>
    <w:rsid w:val="0054259B"/>
    <w:rsid w:val="00542617"/>
    <w:rsid w:val="00542723"/>
    <w:rsid w:val="00542729"/>
    <w:rsid w:val="0054276E"/>
    <w:rsid w:val="005430FE"/>
    <w:rsid w:val="0054323E"/>
    <w:rsid w:val="005433AB"/>
    <w:rsid w:val="005436BB"/>
    <w:rsid w:val="00543CC2"/>
    <w:rsid w:val="00543ECA"/>
    <w:rsid w:val="005441D2"/>
    <w:rsid w:val="00544678"/>
    <w:rsid w:val="00544796"/>
    <w:rsid w:val="00544AAB"/>
    <w:rsid w:val="00544F54"/>
    <w:rsid w:val="0054513A"/>
    <w:rsid w:val="005452CD"/>
    <w:rsid w:val="0054533D"/>
    <w:rsid w:val="00545AFF"/>
    <w:rsid w:val="0054643D"/>
    <w:rsid w:val="00546A27"/>
    <w:rsid w:val="005470A4"/>
    <w:rsid w:val="00547174"/>
    <w:rsid w:val="005474B7"/>
    <w:rsid w:val="005477AA"/>
    <w:rsid w:val="00547B28"/>
    <w:rsid w:val="0055014A"/>
    <w:rsid w:val="005504CA"/>
    <w:rsid w:val="0055100C"/>
    <w:rsid w:val="0055150A"/>
    <w:rsid w:val="00551C0F"/>
    <w:rsid w:val="00551D8F"/>
    <w:rsid w:val="005521CB"/>
    <w:rsid w:val="0055262C"/>
    <w:rsid w:val="00552845"/>
    <w:rsid w:val="00552AAD"/>
    <w:rsid w:val="00552F08"/>
    <w:rsid w:val="00553432"/>
    <w:rsid w:val="005535AC"/>
    <w:rsid w:val="00553D37"/>
    <w:rsid w:val="00553D5D"/>
    <w:rsid w:val="005549A4"/>
    <w:rsid w:val="00554AD4"/>
    <w:rsid w:val="00554E8D"/>
    <w:rsid w:val="00555322"/>
    <w:rsid w:val="00555349"/>
    <w:rsid w:val="00555742"/>
    <w:rsid w:val="00555A80"/>
    <w:rsid w:val="00555C5B"/>
    <w:rsid w:val="00555F13"/>
    <w:rsid w:val="00555FDB"/>
    <w:rsid w:val="0055627D"/>
    <w:rsid w:val="00556284"/>
    <w:rsid w:val="00556517"/>
    <w:rsid w:val="00556859"/>
    <w:rsid w:val="00556D30"/>
    <w:rsid w:val="00556EB8"/>
    <w:rsid w:val="00557049"/>
    <w:rsid w:val="00557069"/>
    <w:rsid w:val="005573CD"/>
    <w:rsid w:val="005576B7"/>
    <w:rsid w:val="00557CE3"/>
    <w:rsid w:val="00557E85"/>
    <w:rsid w:val="00557FA3"/>
    <w:rsid w:val="00557FC7"/>
    <w:rsid w:val="00560043"/>
    <w:rsid w:val="0056016C"/>
    <w:rsid w:val="0056030B"/>
    <w:rsid w:val="00560C22"/>
    <w:rsid w:val="00560DD5"/>
    <w:rsid w:val="0056125D"/>
    <w:rsid w:val="005615FC"/>
    <w:rsid w:val="00561A18"/>
    <w:rsid w:val="00562086"/>
    <w:rsid w:val="005620EB"/>
    <w:rsid w:val="0056211C"/>
    <w:rsid w:val="005622BC"/>
    <w:rsid w:val="0056248E"/>
    <w:rsid w:val="005635E9"/>
    <w:rsid w:val="005637D6"/>
    <w:rsid w:val="00563DEE"/>
    <w:rsid w:val="00564348"/>
    <w:rsid w:val="00564936"/>
    <w:rsid w:val="005650D6"/>
    <w:rsid w:val="00565EB3"/>
    <w:rsid w:val="0056674D"/>
    <w:rsid w:val="005669F2"/>
    <w:rsid w:val="00567317"/>
    <w:rsid w:val="005673D4"/>
    <w:rsid w:val="005674E5"/>
    <w:rsid w:val="00567B06"/>
    <w:rsid w:val="00567B25"/>
    <w:rsid w:val="00567CBD"/>
    <w:rsid w:val="005701EB"/>
    <w:rsid w:val="00570623"/>
    <w:rsid w:val="005708C6"/>
    <w:rsid w:val="00570BB8"/>
    <w:rsid w:val="00570D7B"/>
    <w:rsid w:val="0057106B"/>
    <w:rsid w:val="005715F2"/>
    <w:rsid w:val="005716B8"/>
    <w:rsid w:val="005717E1"/>
    <w:rsid w:val="00571F67"/>
    <w:rsid w:val="00572091"/>
    <w:rsid w:val="005721B0"/>
    <w:rsid w:val="00572315"/>
    <w:rsid w:val="005728DB"/>
    <w:rsid w:val="00572AE5"/>
    <w:rsid w:val="00572C99"/>
    <w:rsid w:val="00572E0C"/>
    <w:rsid w:val="00573F11"/>
    <w:rsid w:val="00574368"/>
    <w:rsid w:val="005744BF"/>
    <w:rsid w:val="0057461A"/>
    <w:rsid w:val="00574BBC"/>
    <w:rsid w:val="00575184"/>
    <w:rsid w:val="00575E54"/>
    <w:rsid w:val="005766F0"/>
    <w:rsid w:val="00576814"/>
    <w:rsid w:val="005769D9"/>
    <w:rsid w:val="00576E2C"/>
    <w:rsid w:val="00576F8A"/>
    <w:rsid w:val="005772CB"/>
    <w:rsid w:val="00577A93"/>
    <w:rsid w:val="00577F67"/>
    <w:rsid w:val="00580038"/>
    <w:rsid w:val="005807CC"/>
    <w:rsid w:val="00580FBD"/>
    <w:rsid w:val="0058103A"/>
    <w:rsid w:val="0058103D"/>
    <w:rsid w:val="00581390"/>
    <w:rsid w:val="00581900"/>
    <w:rsid w:val="00581C4B"/>
    <w:rsid w:val="00581D61"/>
    <w:rsid w:val="00582750"/>
    <w:rsid w:val="005827DB"/>
    <w:rsid w:val="00582963"/>
    <w:rsid w:val="00583CB7"/>
    <w:rsid w:val="00583F2E"/>
    <w:rsid w:val="00584062"/>
    <w:rsid w:val="005843B1"/>
    <w:rsid w:val="0058471D"/>
    <w:rsid w:val="005848B1"/>
    <w:rsid w:val="005848D8"/>
    <w:rsid w:val="005849AF"/>
    <w:rsid w:val="00584B2D"/>
    <w:rsid w:val="00584D65"/>
    <w:rsid w:val="00584E94"/>
    <w:rsid w:val="00584EE5"/>
    <w:rsid w:val="00585B68"/>
    <w:rsid w:val="0058619A"/>
    <w:rsid w:val="005863BF"/>
    <w:rsid w:val="0058655A"/>
    <w:rsid w:val="00586C56"/>
    <w:rsid w:val="00586FD2"/>
    <w:rsid w:val="005872BA"/>
    <w:rsid w:val="00590115"/>
    <w:rsid w:val="00590805"/>
    <w:rsid w:val="0059085C"/>
    <w:rsid w:val="005908CE"/>
    <w:rsid w:val="005909B3"/>
    <w:rsid w:val="00590D78"/>
    <w:rsid w:val="00590E89"/>
    <w:rsid w:val="00590F27"/>
    <w:rsid w:val="005912B3"/>
    <w:rsid w:val="005915F7"/>
    <w:rsid w:val="00591741"/>
    <w:rsid w:val="005926B7"/>
    <w:rsid w:val="00592F70"/>
    <w:rsid w:val="0059354A"/>
    <w:rsid w:val="00593561"/>
    <w:rsid w:val="00593593"/>
    <w:rsid w:val="00593FD9"/>
    <w:rsid w:val="00593FE5"/>
    <w:rsid w:val="00593FFC"/>
    <w:rsid w:val="005940F4"/>
    <w:rsid w:val="005943CA"/>
    <w:rsid w:val="005946D3"/>
    <w:rsid w:val="005946E9"/>
    <w:rsid w:val="00594817"/>
    <w:rsid w:val="00594C73"/>
    <w:rsid w:val="00594C8F"/>
    <w:rsid w:val="00594F08"/>
    <w:rsid w:val="00594FE6"/>
    <w:rsid w:val="005955A9"/>
    <w:rsid w:val="00595769"/>
    <w:rsid w:val="00595D90"/>
    <w:rsid w:val="00596702"/>
    <w:rsid w:val="005969CE"/>
    <w:rsid w:val="00597175"/>
    <w:rsid w:val="0059752D"/>
    <w:rsid w:val="00597B77"/>
    <w:rsid w:val="00597CB8"/>
    <w:rsid w:val="005A0224"/>
    <w:rsid w:val="005A081A"/>
    <w:rsid w:val="005A096D"/>
    <w:rsid w:val="005A0E84"/>
    <w:rsid w:val="005A0EA5"/>
    <w:rsid w:val="005A0F10"/>
    <w:rsid w:val="005A1139"/>
    <w:rsid w:val="005A12D3"/>
    <w:rsid w:val="005A1792"/>
    <w:rsid w:val="005A1796"/>
    <w:rsid w:val="005A1C83"/>
    <w:rsid w:val="005A2630"/>
    <w:rsid w:val="005A2A69"/>
    <w:rsid w:val="005A2B02"/>
    <w:rsid w:val="005A3382"/>
    <w:rsid w:val="005A3679"/>
    <w:rsid w:val="005A52D9"/>
    <w:rsid w:val="005A53E0"/>
    <w:rsid w:val="005A5830"/>
    <w:rsid w:val="005A5887"/>
    <w:rsid w:val="005A6330"/>
    <w:rsid w:val="005A63CC"/>
    <w:rsid w:val="005A652E"/>
    <w:rsid w:val="005A65E6"/>
    <w:rsid w:val="005A6985"/>
    <w:rsid w:val="005A6BA3"/>
    <w:rsid w:val="005A6F09"/>
    <w:rsid w:val="005A7116"/>
    <w:rsid w:val="005A766B"/>
    <w:rsid w:val="005A79AB"/>
    <w:rsid w:val="005A7BCF"/>
    <w:rsid w:val="005B0231"/>
    <w:rsid w:val="005B059E"/>
    <w:rsid w:val="005B05F1"/>
    <w:rsid w:val="005B0615"/>
    <w:rsid w:val="005B0712"/>
    <w:rsid w:val="005B0A2A"/>
    <w:rsid w:val="005B0C22"/>
    <w:rsid w:val="005B11CA"/>
    <w:rsid w:val="005B13B9"/>
    <w:rsid w:val="005B1D57"/>
    <w:rsid w:val="005B2083"/>
    <w:rsid w:val="005B2137"/>
    <w:rsid w:val="005B217D"/>
    <w:rsid w:val="005B2800"/>
    <w:rsid w:val="005B2DA1"/>
    <w:rsid w:val="005B3599"/>
    <w:rsid w:val="005B3A0E"/>
    <w:rsid w:val="005B3BBE"/>
    <w:rsid w:val="005B3E2E"/>
    <w:rsid w:val="005B3ED7"/>
    <w:rsid w:val="005B4512"/>
    <w:rsid w:val="005B46D6"/>
    <w:rsid w:val="005B46F9"/>
    <w:rsid w:val="005B49B9"/>
    <w:rsid w:val="005B4A38"/>
    <w:rsid w:val="005B4D11"/>
    <w:rsid w:val="005B50C0"/>
    <w:rsid w:val="005B5F08"/>
    <w:rsid w:val="005B60E5"/>
    <w:rsid w:val="005B6218"/>
    <w:rsid w:val="005B6634"/>
    <w:rsid w:val="005B690B"/>
    <w:rsid w:val="005B6911"/>
    <w:rsid w:val="005B6C18"/>
    <w:rsid w:val="005B6F88"/>
    <w:rsid w:val="005B6FD5"/>
    <w:rsid w:val="005B7241"/>
    <w:rsid w:val="005B741A"/>
    <w:rsid w:val="005B77DA"/>
    <w:rsid w:val="005C03D5"/>
    <w:rsid w:val="005C05DB"/>
    <w:rsid w:val="005C1273"/>
    <w:rsid w:val="005C1446"/>
    <w:rsid w:val="005C1588"/>
    <w:rsid w:val="005C19DE"/>
    <w:rsid w:val="005C1D45"/>
    <w:rsid w:val="005C272C"/>
    <w:rsid w:val="005C294F"/>
    <w:rsid w:val="005C2DC2"/>
    <w:rsid w:val="005C2F1E"/>
    <w:rsid w:val="005C321E"/>
    <w:rsid w:val="005C3667"/>
    <w:rsid w:val="005C374E"/>
    <w:rsid w:val="005C3885"/>
    <w:rsid w:val="005C3919"/>
    <w:rsid w:val="005C3AAA"/>
    <w:rsid w:val="005C414D"/>
    <w:rsid w:val="005C453D"/>
    <w:rsid w:val="005C491F"/>
    <w:rsid w:val="005C52B7"/>
    <w:rsid w:val="005C59ED"/>
    <w:rsid w:val="005C5D4B"/>
    <w:rsid w:val="005C5ED8"/>
    <w:rsid w:val="005C6781"/>
    <w:rsid w:val="005C69BD"/>
    <w:rsid w:val="005C6AEF"/>
    <w:rsid w:val="005C6B25"/>
    <w:rsid w:val="005C7970"/>
    <w:rsid w:val="005C7B57"/>
    <w:rsid w:val="005C7F9A"/>
    <w:rsid w:val="005D004E"/>
    <w:rsid w:val="005D0219"/>
    <w:rsid w:val="005D054C"/>
    <w:rsid w:val="005D0730"/>
    <w:rsid w:val="005D0D98"/>
    <w:rsid w:val="005D103F"/>
    <w:rsid w:val="005D1630"/>
    <w:rsid w:val="005D1AA2"/>
    <w:rsid w:val="005D1D7D"/>
    <w:rsid w:val="005D21B6"/>
    <w:rsid w:val="005D254A"/>
    <w:rsid w:val="005D2677"/>
    <w:rsid w:val="005D2B7F"/>
    <w:rsid w:val="005D2D8B"/>
    <w:rsid w:val="005D325E"/>
    <w:rsid w:val="005D3290"/>
    <w:rsid w:val="005D371C"/>
    <w:rsid w:val="005D3968"/>
    <w:rsid w:val="005D3DD9"/>
    <w:rsid w:val="005D427C"/>
    <w:rsid w:val="005D450C"/>
    <w:rsid w:val="005D467C"/>
    <w:rsid w:val="005D4997"/>
    <w:rsid w:val="005D4B5E"/>
    <w:rsid w:val="005D4B6B"/>
    <w:rsid w:val="005D4E26"/>
    <w:rsid w:val="005D5A56"/>
    <w:rsid w:val="005D5D2E"/>
    <w:rsid w:val="005D5F77"/>
    <w:rsid w:val="005D5F80"/>
    <w:rsid w:val="005D6032"/>
    <w:rsid w:val="005D6035"/>
    <w:rsid w:val="005D6511"/>
    <w:rsid w:val="005D6998"/>
    <w:rsid w:val="005D711B"/>
    <w:rsid w:val="005D72C9"/>
    <w:rsid w:val="005D77D1"/>
    <w:rsid w:val="005E00A8"/>
    <w:rsid w:val="005E0590"/>
    <w:rsid w:val="005E1090"/>
    <w:rsid w:val="005E16DE"/>
    <w:rsid w:val="005E1734"/>
    <w:rsid w:val="005E17AB"/>
    <w:rsid w:val="005E17D2"/>
    <w:rsid w:val="005E1B6F"/>
    <w:rsid w:val="005E1ED9"/>
    <w:rsid w:val="005E2121"/>
    <w:rsid w:val="005E284F"/>
    <w:rsid w:val="005E31B8"/>
    <w:rsid w:val="005E32CF"/>
    <w:rsid w:val="005E3763"/>
    <w:rsid w:val="005E37B8"/>
    <w:rsid w:val="005E4983"/>
    <w:rsid w:val="005E5AE8"/>
    <w:rsid w:val="005E6702"/>
    <w:rsid w:val="005E6AAC"/>
    <w:rsid w:val="005E6EBB"/>
    <w:rsid w:val="005E6F2D"/>
    <w:rsid w:val="005E6F71"/>
    <w:rsid w:val="005E704E"/>
    <w:rsid w:val="005E733F"/>
    <w:rsid w:val="005E7F09"/>
    <w:rsid w:val="005F0519"/>
    <w:rsid w:val="005F0596"/>
    <w:rsid w:val="005F09CB"/>
    <w:rsid w:val="005F0D2B"/>
    <w:rsid w:val="005F181A"/>
    <w:rsid w:val="005F18BF"/>
    <w:rsid w:val="005F1A28"/>
    <w:rsid w:val="005F1F1F"/>
    <w:rsid w:val="005F2697"/>
    <w:rsid w:val="005F284C"/>
    <w:rsid w:val="005F28B8"/>
    <w:rsid w:val="005F295B"/>
    <w:rsid w:val="005F2E91"/>
    <w:rsid w:val="005F3018"/>
    <w:rsid w:val="005F3022"/>
    <w:rsid w:val="005F3201"/>
    <w:rsid w:val="005F351D"/>
    <w:rsid w:val="005F3623"/>
    <w:rsid w:val="005F36A2"/>
    <w:rsid w:val="005F48B2"/>
    <w:rsid w:val="005F4AC6"/>
    <w:rsid w:val="005F4B65"/>
    <w:rsid w:val="005F4FD7"/>
    <w:rsid w:val="005F5263"/>
    <w:rsid w:val="005F53F9"/>
    <w:rsid w:val="005F57A8"/>
    <w:rsid w:val="005F5A5C"/>
    <w:rsid w:val="005F612D"/>
    <w:rsid w:val="005F6197"/>
    <w:rsid w:val="005F61BE"/>
    <w:rsid w:val="005F643D"/>
    <w:rsid w:val="005F6FF8"/>
    <w:rsid w:val="005F71BF"/>
    <w:rsid w:val="005F71E0"/>
    <w:rsid w:val="005F7277"/>
    <w:rsid w:val="005F7A09"/>
    <w:rsid w:val="005F7A53"/>
    <w:rsid w:val="005F7EAE"/>
    <w:rsid w:val="00600322"/>
    <w:rsid w:val="00600757"/>
    <w:rsid w:val="00600997"/>
    <w:rsid w:val="00600C68"/>
    <w:rsid w:val="0060118B"/>
    <w:rsid w:val="00601754"/>
    <w:rsid w:val="00601FA4"/>
    <w:rsid w:val="0060200F"/>
    <w:rsid w:val="00602112"/>
    <w:rsid w:val="0060226B"/>
    <w:rsid w:val="00602289"/>
    <w:rsid w:val="0060290A"/>
    <w:rsid w:val="00602A1A"/>
    <w:rsid w:val="006036BE"/>
    <w:rsid w:val="0060462B"/>
    <w:rsid w:val="006046F9"/>
    <w:rsid w:val="006049A9"/>
    <w:rsid w:val="00604DC8"/>
    <w:rsid w:val="00604DF8"/>
    <w:rsid w:val="00605019"/>
    <w:rsid w:val="0060509E"/>
    <w:rsid w:val="00605168"/>
    <w:rsid w:val="006061B8"/>
    <w:rsid w:val="006066B6"/>
    <w:rsid w:val="006066D2"/>
    <w:rsid w:val="006070B8"/>
    <w:rsid w:val="0060721A"/>
    <w:rsid w:val="00607BDD"/>
    <w:rsid w:val="006101C2"/>
    <w:rsid w:val="006102B6"/>
    <w:rsid w:val="00610CB4"/>
    <w:rsid w:val="00610D53"/>
    <w:rsid w:val="00610F88"/>
    <w:rsid w:val="00611B07"/>
    <w:rsid w:val="00611D8D"/>
    <w:rsid w:val="006123F8"/>
    <w:rsid w:val="00612514"/>
    <w:rsid w:val="006127CE"/>
    <w:rsid w:val="00612BC9"/>
    <w:rsid w:val="00613368"/>
    <w:rsid w:val="00613783"/>
    <w:rsid w:val="00613ED6"/>
    <w:rsid w:val="0061402D"/>
    <w:rsid w:val="00614681"/>
    <w:rsid w:val="006146DE"/>
    <w:rsid w:val="00614755"/>
    <w:rsid w:val="00614B43"/>
    <w:rsid w:val="00615EE2"/>
    <w:rsid w:val="00615F6F"/>
    <w:rsid w:val="00616E49"/>
    <w:rsid w:val="00616EA4"/>
    <w:rsid w:val="00617212"/>
    <w:rsid w:val="0061750F"/>
    <w:rsid w:val="00617530"/>
    <w:rsid w:val="00617A53"/>
    <w:rsid w:val="00617B74"/>
    <w:rsid w:val="00617DC8"/>
    <w:rsid w:val="006206DF"/>
    <w:rsid w:val="00620C66"/>
    <w:rsid w:val="00621612"/>
    <w:rsid w:val="006219A7"/>
    <w:rsid w:val="0062249E"/>
    <w:rsid w:val="0062262B"/>
    <w:rsid w:val="00622E24"/>
    <w:rsid w:val="0062316A"/>
    <w:rsid w:val="00623551"/>
    <w:rsid w:val="00623EEC"/>
    <w:rsid w:val="00624073"/>
    <w:rsid w:val="006244C6"/>
    <w:rsid w:val="0062486F"/>
    <w:rsid w:val="006249ED"/>
    <w:rsid w:val="00624DD1"/>
    <w:rsid w:val="00624E1B"/>
    <w:rsid w:val="00624E1C"/>
    <w:rsid w:val="00624F0A"/>
    <w:rsid w:val="006251BB"/>
    <w:rsid w:val="00625422"/>
    <w:rsid w:val="00625850"/>
    <w:rsid w:val="00626664"/>
    <w:rsid w:val="00626C6D"/>
    <w:rsid w:val="0062755C"/>
    <w:rsid w:val="00627AAC"/>
    <w:rsid w:val="00627DB7"/>
    <w:rsid w:val="00627F3F"/>
    <w:rsid w:val="006301E7"/>
    <w:rsid w:val="00630561"/>
    <w:rsid w:val="0063084B"/>
    <w:rsid w:val="00630A42"/>
    <w:rsid w:val="00630CCF"/>
    <w:rsid w:val="00630FD4"/>
    <w:rsid w:val="00631491"/>
    <w:rsid w:val="00631D44"/>
    <w:rsid w:val="006323F2"/>
    <w:rsid w:val="006326CD"/>
    <w:rsid w:val="00632843"/>
    <w:rsid w:val="006329EC"/>
    <w:rsid w:val="00632C81"/>
    <w:rsid w:val="00632C8D"/>
    <w:rsid w:val="00633F39"/>
    <w:rsid w:val="00633FE8"/>
    <w:rsid w:val="006344AD"/>
    <w:rsid w:val="0063497D"/>
    <w:rsid w:val="00634B34"/>
    <w:rsid w:val="00634BC9"/>
    <w:rsid w:val="00634C93"/>
    <w:rsid w:val="00635473"/>
    <w:rsid w:val="00635485"/>
    <w:rsid w:val="00636025"/>
    <w:rsid w:val="006366A6"/>
    <w:rsid w:val="006369FC"/>
    <w:rsid w:val="00636EB0"/>
    <w:rsid w:val="00636EE2"/>
    <w:rsid w:val="006374CB"/>
    <w:rsid w:val="0063759E"/>
    <w:rsid w:val="00640534"/>
    <w:rsid w:val="00640668"/>
    <w:rsid w:val="006406B1"/>
    <w:rsid w:val="006408B8"/>
    <w:rsid w:val="00640A9C"/>
    <w:rsid w:val="006411F8"/>
    <w:rsid w:val="00641201"/>
    <w:rsid w:val="006414E5"/>
    <w:rsid w:val="00641527"/>
    <w:rsid w:val="00642A27"/>
    <w:rsid w:val="00642A67"/>
    <w:rsid w:val="00642AA1"/>
    <w:rsid w:val="00642FFE"/>
    <w:rsid w:val="006431E5"/>
    <w:rsid w:val="00643503"/>
    <w:rsid w:val="006439F5"/>
    <w:rsid w:val="00644256"/>
    <w:rsid w:val="0064446D"/>
    <w:rsid w:val="00644689"/>
    <w:rsid w:val="00644733"/>
    <w:rsid w:val="00644BAB"/>
    <w:rsid w:val="0064541A"/>
    <w:rsid w:val="00645485"/>
    <w:rsid w:val="006454A1"/>
    <w:rsid w:val="0064593F"/>
    <w:rsid w:val="0064619D"/>
    <w:rsid w:val="00646689"/>
    <w:rsid w:val="006467DF"/>
    <w:rsid w:val="00646FAC"/>
    <w:rsid w:val="006470A5"/>
    <w:rsid w:val="0064710E"/>
    <w:rsid w:val="0064746D"/>
    <w:rsid w:val="0064790C"/>
    <w:rsid w:val="00647A70"/>
    <w:rsid w:val="00647DEF"/>
    <w:rsid w:val="00650339"/>
    <w:rsid w:val="00650744"/>
    <w:rsid w:val="00650B33"/>
    <w:rsid w:val="00650C5F"/>
    <w:rsid w:val="00651282"/>
    <w:rsid w:val="00651963"/>
    <w:rsid w:val="00651C5F"/>
    <w:rsid w:val="00651EE0"/>
    <w:rsid w:val="006524F7"/>
    <w:rsid w:val="0065284B"/>
    <w:rsid w:val="006528C8"/>
    <w:rsid w:val="00652B5C"/>
    <w:rsid w:val="00652B87"/>
    <w:rsid w:val="0065313C"/>
    <w:rsid w:val="006535B5"/>
    <w:rsid w:val="006537C8"/>
    <w:rsid w:val="006537DF"/>
    <w:rsid w:val="00653999"/>
    <w:rsid w:val="00653A08"/>
    <w:rsid w:val="00653A09"/>
    <w:rsid w:val="00653EB3"/>
    <w:rsid w:val="0065410B"/>
    <w:rsid w:val="0065462C"/>
    <w:rsid w:val="00654B37"/>
    <w:rsid w:val="00654DA6"/>
    <w:rsid w:val="00654E46"/>
    <w:rsid w:val="00655914"/>
    <w:rsid w:val="00655A3C"/>
    <w:rsid w:val="00655A4E"/>
    <w:rsid w:val="006564A1"/>
    <w:rsid w:val="0065685B"/>
    <w:rsid w:val="00656D41"/>
    <w:rsid w:val="006577EB"/>
    <w:rsid w:val="00657907"/>
    <w:rsid w:val="00657CB6"/>
    <w:rsid w:val="00657D1D"/>
    <w:rsid w:val="00660AFD"/>
    <w:rsid w:val="00661722"/>
    <w:rsid w:val="00662B67"/>
    <w:rsid w:val="0066349B"/>
    <w:rsid w:val="00663805"/>
    <w:rsid w:val="006639B2"/>
    <w:rsid w:val="00664246"/>
    <w:rsid w:val="006643F9"/>
    <w:rsid w:val="006644DE"/>
    <w:rsid w:val="00664570"/>
    <w:rsid w:val="006645DA"/>
    <w:rsid w:val="00664E37"/>
    <w:rsid w:val="00664F02"/>
    <w:rsid w:val="00665025"/>
    <w:rsid w:val="006653ED"/>
    <w:rsid w:val="0066553F"/>
    <w:rsid w:val="00665B9C"/>
    <w:rsid w:val="00665CEE"/>
    <w:rsid w:val="00665D4B"/>
    <w:rsid w:val="00665E5E"/>
    <w:rsid w:val="006662BD"/>
    <w:rsid w:val="00666447"/>
    <w:rsid w:val="00666674"/>
    <w:rsid w:val="00666946"/>
    <w:rsid w:val="006669B4"/>
    <w:rsid w:val="00666C39"/>
    <w:rsid w:val="00667451"/>
    <w:rsid w:val="00667F63"/>
    <w:rsid w:val="0067002A"/>
    <w:rsid w:val="00670212"/>
    <w:rsid w:val="0067023E"/>
    <w:rsid w:val="00670C50"/>
    <w:rsid w:val="00670C8D"/>
    <w:rsid w:val="00670F45"/>
    <w:rsid w:val="006715B1"/>
    <w:rsid w:val="0067172F"/>
    <w:rsid w:val="00671F98"/>
    <w:rsid w:val="006722C7"/>
    <w:rsid w:val="006729F0"/>
    <w:rsid w:val="00672A79"/>
    <w:rsid w:val="00673060"/>
    <w:rsid w:val="006733B2"/>
    <w:rsid w:val="006733B6"/>
    <w:rsid w:val="006733F7"/>
    <w:rsid w:val="0067366A"/>
    <w:rsid w:val="006739E6"/>
    <w:rsid w:val="00673F17"/>
    <w:rsid w:val="006742D8"/>
    <w:rsid w:val="006742E5"/>
    <w:rsid w:val="0067432E"/>
    <w:rsid w:val="006747B5"/>
    <w:rsid w:val="00674F4F"/>
    <w:rsid w:val="00674FED"/>
    <w:rsid w:val="0067579F"/>
    <w:rsid w:val="00675D6B"/>
    <w:rsid w:val="00676629"/>
    <w:rsid w:val="006766CB"/>
    <w:rsid w:val="006769B7"/>
    <w:rsid w:val="00676BFC"/>
    <w:rsid w:val="006777DE"/>
    <w:rsid w:val="00677CFD"/>
    <w:rsid w:val="0068023B"/>
    <w:rsid w:val="00680494"/>
    <w:rsid w:val="00680667"/>
    <w:rsid w:val="006807AD"/>
    <w:rsid w:val="006808CB"/>
    <w:rsid w:val="00680C3A"/>
    <w:rsid w:val="00681F2D"/>
    <w:rsid w:val="00682003"/>
    <w:rsid w:val="006820A8"/>
    <w:rsid w:val="0068250D"/>
    <w:rsid w:val="00682C6B"/>
    <w:rsid w:val="00683333"/>
    <w:rsid w:val="0068355B"/>
    <w:rsid w:val="00683AF8"/>
    <w:rsid w:val="00683CF4"/>
    <w:rsid w:val="00684151"/>
    <w:rsid w:val="0068449D"/>
    <w:rsid w:val="006851A5"/>
    <w:rsid w:val="0068528B"/>
    <w:rsid w:val="00685887"/>
    <w:rsid w:val="006859CF"/>
    <w:rsid w:val="00685B3F"/>
    <w:rsid w:val="00686342"/>
    <w:rsid w:val="00686515"/>
    <w:rsid w:val="00686B7B"/>
    <w:rsid w:val="00686C85"/>
    <w:rsid w:val="00686EFF"/>
    <w:rsid w:val="0068705F"/>
    <w:rsid w:val="006870F7"/>
    <w:rsid w:val="0068730D"/>
    <w:rsid w:val="0068751C"/>
    <w:rsid w:val="00687667"/>
    <w:rsid w:val="0068791C"/>
    <w:rsid w:val="0069024B"/>
    <w:rsid w:val="00690270"/>
    <w:rsid w:val="006902A8"/>
    <w:rsid w:val="0069071A"/>
    <w:rsid w:val="006909D1"/>
    <w:rsid w:val="00691400"/>
    <w:rsid w:val="0069191F"/>
    <w:rsid w:val="00691AF8"/>
    <w:rsid w:val="00692613"/>
    <w:rsid w:val="0069278D"/>
    <w:rsid w:val="00693A67"/>
    <w:rsid w:val="00693AA0"/>
    <w:rsid w:val="00693DD9"/>
    <w:rsid w:val="00693EA6"/>
    <w:rsid w:val="0069404A"/>
    <w:rsid w:val="006944F8"/>
    <w:rsid w:val="006945F1"/>
    <w:rsid w:val="006954F0"/>
    <w:rsid w:val="00695549"/>
    <w:rsid w:val="0069599C"/>
    <w:rsid w:val="00696945"/>
    <w:rsid w:val="006969EF"/>
    <w:rsid w:val="00696EA3"/>
    <w:rsid w:val="0069715B"/>
    <w:rsid w:val="006972B6"/>
    <w:rsid w:val="0069758A"/>
    <w:rsid w:val="00697884"/>
    <w:rsid w:val="00697D4F"/>
    <w:rsid w:val="006A01FB"/>
    <w:rsid w:val="006A0FB7"/>
    <w:rsid w:val="006A1135"/>
    <w:rsid w:val="006A1288"/>
    <w:rsid w:val="006A1438"/>
    <w:rsid w:val="006A193F"/>
    <w:rsid w:val="006A1B2A"/>
    <w:rsid w:val="006A2533"/>
    <w:rsid w:val="006A2BCE"/>
    <w:rsid w:val="006A2EE7"/>
    <w:rsid w:val="006A301C"/>
    <w:rsid w:val="006A3332"/>
    <w:rsid w:val="006A347F"/>
    <w:rsid w:val="006A37A7"/>
    <w:rsid w:val="006A437A"/>
    <w:rsid w:val="006A4CCB"/>
    <w:rsid w:val="006A574C"/>
    <w:rsid w:val="006A5BCC"/>
    <w:rsid w:val="006A6564"/>
    <w:rsid w:val="006A662D"/>
    <w:rsid w:val="006A6AA9"/>
    <w:rsid w:val="006A6B0B"/>
    <w:rsid w:val="006A7323"/>
    <w:rsid w:val="006A76CB"/>
    <w:rsid w:val="006A7890"/>
    <w:rsid w:val="006A79DD"/>
    <w:rsid w:val="006A7A56"/>
    <w:rsid w:val="006A7CC8"/>
    <w:rsid w:val="006B043A"/>
    <w:rsid w:val="006B0E05"/>
    <w:rsid w:val="006B0FB6"/>
    <w:rsid w:val="006B1695"/>
    <w:rsid w:val="006B180E"/>
    <w:rsid w:val="006B1E25"/>
    <w:rsid w:val="006B27E8"/>
    <w:rsid w:val="006B2887"/>
    <w:rsid w:val="006B34D4"/>
    <w:rsid w:val="006B3904"/>
    <w:rsid w:val="006B3C02"/>
    <w:rsid w:val="006B3C4A"/>
    <w:rsid w:val="006B3F94"/>
    <w:rsid w:val="006B4256"/>
    <w:rsid w:val="006B48C2"/>
    <w:rsid w:val="006B4DA2"/>
    <w:rsid w:val="006B51A8"/>
    <w:rsid w:val="006B5B15"/>
    <w:rsid w:val="006B5BCC"/>
    <w:rsid w:val="006B5C67"/>
    <w:rsid w:val="006B5FDF"/>
    <w:rsid w:val="006B6014"/>
    <w:rsid w:val="006B60E9"/>
    <w:rsid w:val="006B72DE"/>
    <w:rsid w:val="006B7860"/>
    <w:rsid w:val="006B7F74"/>
    <w:rsid w:val="006C0100"/>
    <w:rsid w:val="006C0199"/>
    <w:rsid w:val="006C01CB"/>
    <w:rsid w:val="006C0853"/>
    <w:rsid w:val="006C1362"/>
    <w:rsid w:val="006C138F"/>
    <w:rsid w:val="006C1ADC"/>
    <w:rsid w:val="006C1F62"/>
    <w:rsid w:val="006C2018"/>
    <w:rsid w:val="006C298C"/>
    <w:rsid w:val="006C34C1"/>
    <w:rsid w:val="006C35D9"/>
    <w:rsid w:val="006C37D9"/>
    <w:rsid w:val="006C3865"/>
    <w:rsid w:val="006C407A"/>
    <w:rsid w:val="006C49A3"/>
    <w:rsid w:val="006C4D32"/>
    <w:rsid w:val="006C4DF6"/>
    <w:rsid w:val="006C5550"/>
    <w:rsid w:val="006C5D91"/>
    <w:rsid w:val="006C5E77"/>
    <w:rsid w:val="006C64D4"/>
    <w:rsid w:val="006C67AD"/>
    <w:rsid w:val="006C69C1"/>
    <w:rsid w:val="006C6D3C"/>
    <w:rsid w:val="006C71AD"/>
    <w:rsid w:val="006C729F"/>
    <w:rsid w:val="006C72D0"/>
    <w:rsid w:val="006C7346"/>
    <w:rsid w:val="006C776F"/>
    <w:rsid w:val="006C7A40"/>
    <w:rsid w:val="006D003A"/>
    <w:rsid w:val="006D0702"/>
    <w:rsid w:val="006D09A3"/>
    <w:rsid w:val="006D0F2B"/>
    <w:rsid w:val="006D16CF"/>
    <w:rsid w:val="006D1940"/>
    <w:rsid w:val="006D289D"/>
    <w:rsid w:val="006D2924"/>
    <w:rsid w:val="006D30E0"/>
    <w:rsid w:val="006D3835"/>
    <w:rsid w:val="006D3895"/>
    <w:rsid w:val="006D38E0"/>
    <w:rsid w:val="006D3A79"/>
    <w:rsid w:val="006D3CEC"/>
    <w:rsid w:val="006D403B"/>
    <w:rsid w:val="006D42DB"/>
    <w:rsid w:val="006D4347"/>
    <w:rsid w:val="006D4480"/>
    <w:rsid w:val="006D465B"/>
    <w:rsid w:val="006D466F"/>
    <w:rsid w:val="006D4A6F"/>
    <w:rsid w:val="006D4C3E"/>
    <w:rsid w:val="006D5328"/>
    <w:rsid w:val="006D5692"/>
    <w:rsid w:val="006D56E0"/>
    <w:rsid w:val="006D57B9"/>
    <w:rsid w:val="006D5CC7"/>
    <w:rsid w:val="006D6278"/>
    <w:rsid w:val="006D65C3"/>
    <w:rsid w:val="006D6778"/>
    <w:rsid w:val="006D67A5"/>
    <w:rsid w:val="006D6902"/>
    <w:rsid w:val="006D70B2"/>
    <w:rsid w:val="006D73C8"/>
    <w:rsid w:val="006D74CA"/>
    <w:rsid w:val="006D75FB"/>
    <w:rsid w:val="006D77C7"/>
    <w:rsid w:val="006D7D9B"/>
    <w:rsid w:val="006E0153"/>
    <w:rsid w:val="006E0447"/>
    <w:rsid w:val="006E06A5"/>
    <w:rsid w:val="006E080E"/>
    <w:rsid w:val="006E09E7"/>
    <w:rsid w:val="006E0EE3"/>
    <w:rsid w:val="006E10C3"/>
    <w:rsid w:val="006E1527"/>
    <w:rsid w:val="006E1756"/>
    <w:rsid w:val="006E1BFA"/>
    <w:rsid w:val="006E1CEF"/>
    <w:rsid w:val="006E1D66"/>
    <w:rsid w:val="006E1D83"/>
    <w:rsid w:val="006E1DB6"/>
    <w:rsid w:val="006E1DD7"/>
    <w:rsid w:val="006E20AD"/>
    <w:rsid w:val="006E2D01"/>
    <w:rsid w:val="006E33CF"/>
    <w:rsid w:val="006E341C"/>
    <w:rsid w:val="006E3AE8"/>
    <w:rsid w:val="006E3B5C"/>
    <w:rsid w:val="006E430F"/>
    <w:rsid w:val="006E4520"/>
    <w:rsid w:val="006E4DF8"/>
    <w:rsid w:val="006E4E6D"/>
    <w:rsid w:val="006E5266"/>
    <w:rsid w:val="006E5755"/>
    <w:rsid w:val="006E587B"/>
    <w:rsid w:val="006E5BF7"/>
    <w:rsid w:val="006E70DD"/>
    <w:rsid w:val="006E73FD"/>
    <w:rsid w:val="006E7712"/>
    <w:rsid w:val="006E7718"/>
    <w:rsid w:val="006E7725"/>
    <w:rsid w:val="006E7CF3"/>
    <w:rsid w:val="006F04AF"/>
    <w:rsid w:val="006F05E8"/>
    <w:rsid w:val="006F05FE"/>
    <w:rsid w:val="006F0737"/>
    <w:rsid w:val="006F09D4"/>
    <w:rsid w:val="006F0D14"/>
    <w:rsid w:val="006F0FEF"/>
    <w:rsid w:val="006F1191"/>
    <w:rsid w:val="006F1227"/>
    <w:rsid w:val="006F128A"/>
    <w:rsid w:val="006F145A"/>
    <w:rsid w:val="006F1DB2"/>
    <w:rsid w:val="006F1DD2"/>
    <w:rsid w:val="006F2449"/>
    <w:rsid w:val="006F2CEC"/>
    <w:rsid w:val="006F307E"/>
    <w:rsid w:val="006F35E8"/>
    <w:rsid w:val="006F3622"/>
    <w:rsid w:val="006F3A44"/>
    <w:rsid w:val="006F3AC9"/>
    <w:rsid w:val="006F3B78"/>
    <w:rsid w:val="006F3C6D"/>
    <w:rsid w:val="006F47F2"/>
    <w:rsid w:val="006F5093"/>
    <w:rsid w:val="006F5657"/>
    <w:rsid w:val="006F5959"/>
    <w:rsid w:val="006F5D95"/>
    <w:rsid w:val="006F5E1B"/>
    <w:rsid w:val="006F5F93"/>
    <w:rsid w:val="006F61AF"/>
    <w:rsid w:val="006F6358"/>
    <w:rsid w:val="006F6814"/>
    <w:rsid w:val="006F6DC7"/>
    <w:rsid w:val="006F7195"/>
    <w:rsid w:val="006F740F"/>
    <w:rsid w:val="006F78BA"/>
    <w:rsid w:val="006F79CB"/>
    <w:rsid w:val="00700293"/>
    <w:rsid w:val="007004F8"/>
    <w:rsid w:val="00700624"/>
    <w:rsid w:val="0070089F"/>
    <w:rsid w:val="00700C09"/>
    <w:rsid w:val="00700CC6"/>
    <w:rsid w:val="00701109"/>
    <w:rsid w:val="0070143C"/>
    <w:rsid w:val="007016EB"/>
    <w:rsid w:val="00701840"/>
    <w:rsid w:val="00701D80"/>
    <w:rsid w:val="00701E9E"/>
    <w:rsid w:val="007029D7"/>
    <w:rsid w:val="00702EED"/>
    <w:rsid w:val="0070380E"/>
    <w:rsid w:val="00703880"/>
    <w:rsid w:val="00703AB5"/>
    <w:rsid w:val="00703B22"/>
    <w:rsid w:val="00703FC0"/>
    <w:rsid w:val="00704189"/>
    <w:rsid w:val="0070423C"/>
    <w:rsid w:val="0070439D"/>
    <w:rsid w:val="0070447C"/>
    <w:rsid w:val="00704664"/>
    <w:rsid w:val="00704809"/>
    <w:rsid w:val="00704A66"/>
    <w:rsid w:val="00704B84"/>
    <w:rsid w:val="0070519B"/>
    <w:rsid w:val="0070597E"/>
    <w:rsid w:val="00705E12"/>
    <w:rsid w:val="00705E86"/>
    <w:rsid w:val="00706229"/>
    <w:rsid w:val="00706353"/>
    <w:rsid w:val="007065BF"/>
    <w:rsid w:val="0070681D"/>
    <w:rsid w:val="00707294"/>
    <w:rsid w:val="007072EB"/>
    <w:rsid w:val="007100DE"/>
    <w:rsid w:val="00710BA2"/>
    <w:rsid w:val="00710E68"/>
    <w:rsid w:val="007113C0"/>
    <w:rsid w:val="00711B55"/>
    <w:rsid w:val="00711C3C"/>
    <w:rsid w:val="00711D47"/>
    <w:rsid w:val="00711F7E"/>
    <w:rsid w:val="00712F82"/>
    <w:rsid w:val="007130AC"/>
    <w:rsid w:val="00713109"/>
    <w:rsid w:val="0071341F"/>
    <w:rsid w:val="007137C7"/>
    <w:rsid w:val="00713910"/>
    <w:rsid w:val="007139B9"/>
    <w:rsid w:val="00713BB1"/>
    <w:rsid w:val="00713C88"/>
    <w:rsid w:val="007141EF"/>
    <w:rsid w:val="007143F9"/>
    <w:rsid w:val="0071441E"/>
    <w:rsid w:val="00714DFD"/>
    <w:rsid w:val="0071608F"/>
    <w:rsid w:val="00716381"/>
    <w:rsid w:val="00716806"/>
    <w:rsid w:val="007168D0"/>
    <w:rsid w:val="00716901"/>
    <w:rsid w:val="00716F54"/>
    <w:rsid w:val="0071727D"/>
    <w:rsid w:val="00717DE4"/>
    <w:rsid w:val="00720B0B"/>
    <w:rsid w:val="00720BE9"/>
    <w:rsid w:val="0072106D"/>
    <w:rsid w:val="00721194"/>
    <w:rsid w:val="0072142C"/>
    <w:rsid w:val="0072166F"/>
    <w:rsid w:val="00721A26"/>
    <w:rsid w:val="00721B00"/>
    <w:rsid w:val="00721DCA"/>
    <w:rsid w:val="00722113"/>
    <w:rsid w:val="00722163"/>
    <w:rsid w:val="007225ED"/>
    <w:rsid w:val="00722D68"/>
    <w:rsid w:val="00722EDF"/>
    <w:rsid w:val="0072372A"/>
    <w:rsid w:val="00724C2F"/>
    <w:rsid w:val="00724C40"/>
    <w:rsid w:val="00724DF2"/>
    <w:rsid w:val="00725448"/>
    <w:rsid w:val="00725AEB"/>
    <w:rsid w:val="00725E93"/>
    <w:rsid w:val="00726236"/>
    <w:rsid w:val="007266F4"/>
    <w:rsid w:val="00726FCC"/>
    <w:rsid w:val="007270BD"/>
    <w:rsid w:val="00727910"/>
    <w:rsid w:val="00727A0F"/>
    <w:rsid w:val="00727A94"/>
    <w:rsid w:val="00727AA7"/>
    <w:rsid w:val="00727B0C"/>
    <w:rsid w:val="00727D0A"/>
    <w:rsid w:val="0073029F"/>
    <w:rsid w:val="00730D2A"/>
    <w:rsid w:val="00731183"/>
    <w:rsid w:val="0073139A"/>
    <w:rsid w:val="00731AF3"/>
    <w:rsid w:val="00731B01"/>
    <w:rsid w:val="00731ECC"/>
    <w:rsid w:val="00731F3C"/>
    <w:rsid w:val="00732202"/>
    <w:rsid w:val="007323AA"/>
    <w:rsid w:val="0073248B"/>
    <w:rsid w:val="007327CB"/>
    <w:rsid w:val="00732952"/>
    <w:rsid w:val="00732E67"/>
    <w:rsid w:val="00732F15"/>
    <w:rsid w:val="0073301B"/>
    <w:rsid w:val="007336F7"/>
    <w:rsid w:val="00733D9C"/>
    <w:rsid w:val="00734504"/>
    <w:rsid w:val="00734608"/>
    <w:rsid w:val="00734B7D"/>
    <w:rsid w:val="007353CD"/>
    <w:rsid w:val="0073543E"/>
    <w:rsid w:val="00735CF8"/>
    <w:rsid w:val="00736046"/>
    <w:rsid w:val="00736093"/>
    <w:rsid w:val="007362A1"/>
    <w:rsid w:val="00736337"/>
    <w:rsid w:val="0073663F"/>
    <w:rsid w:val="007368CC"/>
    <w:rsid w:val="00736A6C"/>
    <w:rsid w:val="00736CC2"/>
    <w:rsid w:val="00736E5E"/>
    <w:rsid w:val="00736FAF"/>
    <w:rsid w:val="00737205"/>
    <w:rsid w:val="007372C2"/>
    <w:rsid w:val="007402CF"/>
    <w:rsid w:val="0074049B"/>
    <w:rsid w:val="007404FB"/>
    <w:rsid w:val="007409A1"/>
    <w:rsid w:val="00740A89"/>
    <w:rsid w:val="00740AB9"/>
    <w:rsid w:val="0074109A"/>
    <w:rsid w:val="007410DB"/>
    <w:rsid w:val="00741283"/>
    <w:rsid w:val="00741878"/>
    <w:rsid w:val="00741E09"/>
    <w:rsid w:val="00741F49"/>
    <w:rsid w:val="007428E4"/>
    <w:rsid w:val="007429C5"/>
    <w:rsid w:val="00743727"/>
    <w:rsid w:val="0074430E"/>
    <w:rsid w:val="00744613"/>
    <w:rsid w:val="007449FD"/>
    <w:rsid w:val="00745398"/>
    <w:rsid w:val="0074542A"/>
    <w:rsid w:val="00745718"/>
    <w:rsid w:val="00745AC4"/>
    <w:rsid w:val="0074615B"/>
    <w:rsid w:val="0074654B"/>
    <w:rsid w:val="00746577"/>
    <w:rsid w:val="007465C6"/>
    <w:rsid w:val="007467A9"/>
    <w:rsid w:val="0074681F"/>
    <w:rsid w:val="007469FB"/>
    <w:rsid w:val="00746B56"/>
    <w:rsid w:val="00746D17"/>
    <w:rsid w:val="00746D89"/>
    <w:rsid w:val="00746F32"/>
    <w:rsid w:val="00747D8D"/>
    <w:rsid w:val="007506CC"/>
    <w:rsid w:val="00750AC4"/>
    <w:rsid w:val="00750ECD"/>
    <w:rsid w:val="00751050"/>
    <w:rsid w:val="0075177C"/>
    <w:rsid w:val="00751AD6"/>
    <w:rsid w:val="00752169"/>
    <w:rsid w:val="00752516"/>
    <w:rsid w:val="0075256E"/>
    <w:rsid w:val="007525BA"/>
    <w:rsid w:val="007527D2"/>
    <w:rsid w:val="00752C36"/>
    <w:rsid w:val="00752DD6"/>
    <w:rsid w:val="00752EED"/>
    <w:rsid w:val="00752F0A"/>
    <w:rsid w:val="00752FB0"/>
    <w:rsid w:val="007531B7"/>
    <w:rsid w:val="00753342"/>
    <w:rsid w:val="00753372"/>
    <w:rsid w:val="007533A8"/>
    <w:rsid w:val="007540F2"/>
    <w:rsid w:val="00754ECD"/>
    <w:rsid w:val="00755366"/>
    <w:rsid w:val="00755A9C"/>
    <w:rsid w:val="00755C05"/>
    <w:rsid w:val="00756113"/>
    <w:rsid w:val="007564BD"/>
    <w:rsid w:val="00756BAC"/>
    <w:rsid w:val="00756C16"/>
    <w:rsid w:val="00756C39"/>
    <w:rsid w:val="0075728F"/>
    <w:rsid w:val="00757C3D"/>
    <w:rsid w:val="00757EE2"/>
    <w:rsid w:val="00757F7D"/>
    <w:rsid w:val="007603AA"/>
    <w:rsid w:val="007604BD"/>
    <w:rsid w:val="0076086C"/>
    <w:rsid w:val="00760C22"/>
    <w:rsid w:val="00760C88"/>
    <w:rsid w:val="00761098"/>
    <w:rsid w:val="0076282A"/>
    <w:rsid w:val="00762D8E"/>
    <w:rsid w:val="00762E7E"/>
    <w:rsid w:val="00762E85"/>
    <w:rsid w:val="00763128"/>
    <w:rsid w:val="00763152"/>
    <w:rsid w:val="007631B7"/>
    <w:rsid w:val="00763247"/>
    <w:rsid w:val="00763405"/>
    <w:rsid w:val="00763847"/>
    <w:rsid w:val="00763ED3"/>
    <w:rsid w:val="00764068"/>
    <w:rsid w:val="007641E5"/>
    <w:rsid w:val="00764489"/>
    <w:rsid w:val="0076493D"/>
    <w:rsid w:val="00764AAB"/>
    <w:rsid w:val="00764AAD"/>
    <w:rsid w:val="00764DDD"/>
    <w:rsid w:val="0076508F"/>
    <w:rsid w:val="0076525D"/>
    <w:rsid w:val="007653A5"/>
    <w:rsid w:val="007657DE"/>
    <w:rsid w:val="00765F9C"/>
    <w:rsid w:val="00765FA2"/>
    <w:rsid w:val="0076605F"/>
    <w:rsid w:val="007664BC"/>
    <w:rsid w:val="007667F6"/>
    <w:rsid w:val="00766B5C"/>
    <w:rsid w:val="00766BAA"/>
    <w:rsid w:val="00767069"/>
    <w:rsid w:val="00767182"/>
    <w:rsid w:val="007671C5"/>
    <w:rsid w:val="007675CF"/>
    <w:rsid w:val="00767CED"/>
    <w:rsid w:val="00767E8D"/>
    <w:rsid w:val="00770301"/>
    <w:rsid w:val="00770BFD"/>
    <w:rsid w:val="00771913"/>
    <w:rsid w:val="00771A19"/>
    <w:rsid w:val="00771DE9"/>
    <w:rsid w:val="007721E5"/>
    <w:rsid w:val="0077287B"/>
    <w:rsid w:val="00772DB7"/>
    <w:rsid w:val="00773110"/>
    <w:rsid w:val="007733DB"/>
    <w:rsid w:val="00773B73"/>
    <w:rsid w:val="00773D81"/>
    <w:rsid w:val="00774720"/>
    <w:rsid w:val="00774AE5"/>
    <w:rsid w:val="00774F24"/>
    <w:rsid w:val="00775033"/>
    <w:rsid w:val="007750B9"/>
    <w:rsid w:val="007758F7"/>
    <w:rsid w:val="0077659A"/>
    <w:rsid w:val="00776CD0"/>
    <w:rsid w:val="00776E69"/>
    <w:rsid w:val="00777665"/>
    <w:rsid w:val="0077794B"/>
    <w:rsid w:val="00777ED7"/>
    <w:rsid w:val="00780146"/>
    <w:rsid w:val="007803C9"/>
    <w:rsid w:val="00780939"/>
    <w:rsid w:val="00780CC4"/>
    <w:rsid w:val="00781008"/>
    <w:rsid w:val="007813A9"/>
    <w:rsid w:val="007817B6"/>
    <w:rsid w:val="00781868"/>
    <w:rsid w:val="0078193E"/>
    <w:rsid w:val="00781B95"/>
    <w:rsid w:val="00781CC0"/>
    <w:rsid w:val="00782C1D"/>
    <w:rsid w:val="00782E74"/>
    <w:rsid w:val="00783143"/>
    <w:rsid w:val="0078321F"/>
    <w:rsid w:val="0078322A"/>
    <w:rsid w:val="0078322D"/>
    <w:rsid w:val="007833F7"/>
    <w:rsid w:val="00783858"/>
    <w:rsid w:val="0078385F"/>
    <w:rsid w:val="007849AF"/>
    <w:rsid w:val="00784AE4"/>
    <w:rsid w:val="00784C0C"/>
    <w:rsid w:val="00784E07"/>
    <w:rsid w:val="0078522D"/>
    <w:rsid w:val="00785BA4"/>
    <w:rsid w:val="00785C43"/>
    <w:rsid w:val="00786050"/>
    <w:rsid w:val="00786219"/>
    <w:rsid w:val="007862B2"/>
    <w:rsid w:val="00786848"/>
    <w:rsid w:val="00786A8D"/>
    <w:rsid w:val="00786F1A"/>
    <w:rsid w:val="00787465"/>
    <w:rsid w:val="00787818"/>
    <w:rsid w:val="00787C2D"/>
    <w:rsid w:val="00787EDE"/>
    <w:rsid w:val="00790222"/>
    <w:rsid w:val="00790573"/>
    <w:rsid w:val="00790622"/>
    <w:rsid w:val="0079125E"/>
    <w:rsid w:val="007912D4"/>
    <w:rsid w:val="00791329"/>
    <w:rsid w:val="007913CE"/>
    <w:rsid w:val="007917EB"/>
    <w:rsid w:val="00791938"/>
    <w:rsid w:val="00791A93"/>
    <w:rsid w:val="00791FDD"/>
    <w:rsid w:val="00792006"/>
    <w:rsid w:val="007921A3"/>
    <w:rsid w:val="007924AC"/>
    <w:rsid w:val="007928EB"/>
    <w:rsid w:val="00792FDF"/>
    <w:rsid w:val="0079307F"/>
    <w:rsid w:val="007933C0"/>
    <w:rsid w:val="007937DE"/>
    <w:rsid w:val="007937E7"/>
    <w:rsid w:val="007938D5"/>
    <w:rsid w:val="007943F4"/>
    <w:rsid w:val="00794563"/>
    <w:rsid w:val="00795029"/>
    <w:rsid w:val="00795260"/>
    <w:rsid w:val="00795368"/>
    <w:rsid w:val="00795761"/>
    <w:rsid w:val="007959CD"/>
    <w:rsid w:val="00795C1B"/>
    <w:rsid w:val="0079604C"/>
    <w:rsid w:val="0079608A"/>
    <w:rsid w:val="00796425"/>
    <w:rsid w:val="007964FE"/>
    <w:rsid w:val="00796868"/>
    <w:rsid w:val="007968A3"/>
    <w:rsid w:val="00796E45"/>
    <w:rsid w:val="00797644"/>
    <w:rsid w:val="0079781F"/>
    <w:rsid w:val="00797CA5"/>
    <w:rsid w:val="007A0038"/>
    <w:rsid w:val="007A0BAA"/>
    <w:rsid w:val="007A0F44"/>
    <w:rsid w:val="007A1683"/>
    <w:rsid w:val="007A16C7"/>
    <w:rsid w:val="007A1CA9"/>
    <w:rsid w:val="007A1CAE"/>
    <w:rsid w:val="007A2404"/>
    <w:rsid w:val="007A26E3"/>
    <w:rsid w:val="007A3255"/>
    <w:rsid w:val="007A3269"/>
    <w:rsid w:val="007A3AF0"/>
    <w:rsid w:val="007A3D23"/>
    <w:rsid w:val="007A3D5E"/>
    <w:rsid w:val="007A4556"/>
    <w:rsid w:val="007A4599"/>
    <w:rsid w:val="007A47AF"/>
    <w:rsid w:val="007A482F"/>
    <w:rsid w:val="007A4844"/>
    <w:rsid w:val="007A4BDA"/>
    <w:rsid w:val="007A520C"/>
    <w:rsid w:val="007A5652"/>
    <w:rsid w:val="007A58B1"/>
    <w:rsid w:val="007A5AF3"/>
    <w:rsid w:val="007A6018"/>
    <w:rsid w:val="007A635A"/>
    <w:rsid w:val="007A6505"/>
    <w:rsid w:val="007A65CF"/>
    <w:rsid w:val="007A6894"/>
    <w:rsid w:val="007A7AE2"/>
    <w:rsid w:val="007A7D46"/>
    <w:rsid w:val="007B01F4"/>
    <w:rsid w:val="007B08B3"/>
    <w:rsid w:val="007B0D2C"/>
    <w:rsid w:val="007B14E7"/>
    <w:rsid w:val="007B1CBA"/>
    <w:rsid w:val="007B26AB"/>
    <w:rsid w:val="007B3793"/>
    <w:rsid w:val="007B39C2"/>
    <w:rsid w:val="007B3AF7"/>
    <w:rsid w:val="007B3B45"/>
    <w:rsid w:val="007B45DF"/>
    <w:rsid w:val="007B47ED"/>
    <w:rsid w:val="007B4D2D"/>
    <w:rsid w:val="007B4E59"/>
    <w:rsid w:val="007B4EA1"/>
    <w:rsid w:val="007B5B6F"/>
    <w:rsid w:val="007B5BD3"/>
    <w:rsid w:val="007B5FE2"/>
    <w:rsid w:val="007B652C"/>
    <w:rsid w:val="007B653C"/>
    <w:rsid w:val="007B6992"/>
    <w:rsid w:val="007B76E3"/>
    <w:rsid w:val="007B7806"/>
    <w:rsid w:val="007B7ACA"/>
    <w:rsid w:val="007B7C31"/>
    <w:rsid w:val="007B7E48"/>
    <w:rsid w:val="007C00E5"/>
    <w:rsid w:val="007C0983"/>
    <w:rsid w:val="007C0991"/>
    <w:rsid w:val="007C0DDD"/>
    <w:rsid w:val="007C0DEC"/>
    <w:rsid w:val="007C12CA"/>
    <w:rsid w:val="007C134C"/>
    <w:rsid w:val="007C181A"/>
    <w:rsid w:val="007C2928"/>
    <w:rsid w:val="007C2939"/>
    <w:rsid w:val="007C3BA6"/>
    <w:rsid w:val="007C405A"/>
    <w:rsid w:val="007C43E6"/>
    <w:rsid w:val="007C45A5"/>
    <w:rsid w:val="007C4AC8"/>
    <w:rsid w:val="007C4B94"/>
    <w:rsid w:val="007C4FF8"/>
    <w:rsid w:val="007C57C3"/>
    <w:rsid w:val="007C5CDE"/>
    <w:rsid w:val="007C5EBF"/>
    <w:rsid w:val="007C6206"/>
    <w:rsid w:val="007C6558"/>
    <w:rsid w:val="007C6949"/>
    <w:rsid w:val="007C698B"/>
    <w:rsid w:val="007C6D8A"/>
    <w:rsid w:val="007C72E9"/>
    <w:rsid w:val="007C746E"/>
    <w:rsid w:val="007C75BA"/>
    <w:rsid w:val="007C7F9A"/>
    <w:rsid w:val="007D017A"/>
    <w:rsid w:val="007D022F"/>
    <w:rsid w:val="007D052F"/>
    <w:rsid w:val="007D0BED"/>
    <w:rsid w:val="007D0CEB"/>
    <w:rsid w:val="007D1092"/>
    <w:rsid w:val="007D195D"/>
    <w:rsid w:val="007D1BE0"/>
    <w:rsid w:val="007D1D80"/>
    <w:rsid w:val="007D1E36"/>
    <w:rsid w:val="007D2DC0"/>
    <w:rsid w:val="007D2E89"/>
    <w:rsid w:val="007D381B"/>
    <w:rsid w:val="007D3B39"/>
    <w:rsid w:val="007D46F2"/>
    <w:rsid w:val="007D4ECC"/>
    <w:rsid w:val="007D52F0"/>
    <w:rsid w:val="007D5935"/>
    <w:rsid w:val="007D5ADC"/>
    <w:rsid w:val="007D62C2"/>
    <w:rsid w:val="007D6537"/>
    <w:rsid w:val="007D668F"/>
    <w:rsid w:val="007D69EF"/>
    <w:rsid w:val="007D6A79"/>
    <w:rsid w:val="007D6C02"/>
    <w:rsid w:val="007D6C45"/>
    <w:rsid w:val="007D6E05"/>
    <w:rsid w:val="007D6E4A"/>
    <w:rsid w:val="007D70C7"/>
    <w:rsid w:val="007D7372"/>
    <w:rsid w:val="007D7822"/>
    <w:rsid w:val="007D7DE7"/>
    <w:rsid w:val="007D7ECB"/>
    <w:rsid w:val="007E022F"/>
    <w:rsid w:val="007E04D5"/>
    <w:rsid w:val="007E0C64"/>
    <w:rsid w:val="007E0C6E"/>
    <w:rsid w:val="007E0DD8"/>
    <w:rsid w:val="007E0E60"/>
    <w:rsid w:val="007E12DD"/>
    <w:rsid w:val="007E13AE"/>
    <w:rsid w:val="007E17FE"/>
    <w:rsid w:val="007E190F"/>
    <w:rsid w:val="007E19A9"/>
    <w:rsid w:val="007E1CDD"/>
    <w:rsid w:val="007E1DBF"/>
    <w:rsid w:val="007E268A"/>
    <w:rsid w:val="007E2AD4"/>
    <w:rsid w:val="007E2F15"/>
    <w:rsid w:val="007E3357"/>
    <w:rsid w:val="007E35A1"/>
    <w:rsid w:val="007E35B5"/>
    <w:rsid w:val="007E3BB6"/>
    <w:rsid w:val="007E3BBB"/>
    <w:rsid w:val="007E4065"/>
    <w:rsid w:val="007E4332"/>
    <w:rsid w:val="007E4470"/>
    <w:rsid w:val="007E48F2"/>
    <w:rsid w:val="007E4BAD"/>
    <w:rsid w:val="007E4C6E"/>
    <w:rsid w:val="007E4D41"/>
    <w:rsid w:val="007E4EE8"/>
    <w:rsid w:val="007E65FA"/>
    <w:rsid w:val="007E68AB"/>
    <w:rsid w:val="007E6EAA"/>
    <w:rsid w:val="007E7030"/>
    <w:rsid w:val="007E730D"/>
    <w:rsid w:val="007E760F"/>
    <w:rsid w:val="007E767F"/>
    <w:rsid w:val="007E7A6A"/>
    <w:rsid w:val="007F02D8"/>
    <w:rsid w:val="007F0659"/>
    <w:rsid w:val="007F0B82"/>
    <w:rsid w:val="007F0D09"/>
    <w:rsid w:val="007F10D8"/>
    <w:rsid w:val="007F1571"/>
    <w:rsid w:val="007F16A8"/>
    <w:rsid w:val="007F1769"/>
    <w:rsid w:val="007F218A"/>
    <w:rsid w:val="007F21DD"/>
    <w:rsid w:val="007F22F7"/>
    <w:rsid w:val="007F23A2"/>
    <w:rsid w:val="007F251A"/>
    <w:rsid w:val="007F2A22"/>
    <w:rsid w:val="007F2BF3"/>
    <w:rsid w:val="007F2D0F"/>
    <w:rsid w:val="007F2D14"/>
    <w:rsid w:val="007F2D98"/>
    <w:rsid w:val="007F3993"/>
    <w:rsid w:val="007F3B53"/>
    <w:rsid w:val="007F3F1A"/>
    <w:rsid w:val="007F3FB5"/>
    <w:rsid w:val="007F401B"/>
    <w:rsid w:val="007F4115"/>
    <w:rsid w:val="007F4810"/>
    <w:rsid w:val="007F4926"/>
    <w:rsid w:val="007F4C96"/>
    <w:rsid w:val="007F4CCC"/>
    <w:rsid w:val="007F4F35"/>
    <w:rsid w:val="007F593F"/>
    <w:rsid w:val="007F597E"/>
    <w:rsid w:val="007F6544"/>
    <w:rsid w:val="007F6735"/>
    <w:rsid w:val="007F6B04"/>
    <w:rsid w:val="007F6CB3"/>
    <w:rsid w:val="007F6E08"/>
    <w:rsid w:val="007F6E21"/>
    <w:rsid w:val="007F7EB1"/>
    <w:rsid w:val="00800446"/>
    <w:rsid w:val="0080101B"/>
    <w:rsid w:val="00801D35"/>
    <w:rsid w:val="00801DE9"/>
    <w:rsid w:val="00801FD8"/>
    <w:rsid w:val="0080240A"/>
    <w:rsid w:val="008029B3"/>
    <w:rsid w:val="008029DE"/>
    <w:rsid w:val="00802BED"/>
    <w:rsid w:val="00802CFB"/>
    <w:rsid w:val="00802E96"/>
    <w:rsid w:val="008033FF"/>
    <w:rsid w:val="00803EDF"/>
    <w:rsid w:val="008046D3"/>
    <w:rsid w:val="00805386"/>
    <w:rsid w:val="0080568B"/>
    <w:rsid w:val="00805C24"/>
    <w:rsid w:val="008061EE"/>
    <w:rsid w:val="00806249"/>
    <w:rsid w:val="008064C0"/>
    <w:rsid w:val="0080682A"/>
    <w:rsid w:val="00806A23"/>
    <w:rsid w:val="008076B0"/>
    <w:rsid w:val="008076D3"/>
    <w:rsid w:val="00807D33"/>
    <w:rsid w:val="00807DB8"/>
    <w:rsid w:val="00807EA4"/>
    <w:rsid w:val="008102F3"/>
    <w:rsid w:val="008103D5"/>
    <w:rsid w:val="00810646"/>
    <w:rsid w:val="008109D8"/>
    <w:rsid w:val="00810E3A"/>
    <w:rsid w:val="00811AFF"/>
    <w:rsid w:val="00811CAD"/>
    <w:rsid w:val="0081271E"/>
    <w:rsid w:val="00812BD7"/>
    <w:rsid w:val="00812E82"/>
    <w:rsid w:val="00812F8A"/>
    <w:rsid w:val="00813029"/>
    <w:rsid w:val="00813FB0"/>
    <w:rsid w:val="008142EB"/>
    <w:rsid w:val="008147A5"/>
    <w:rsid w:val="00814AD4"/>
    <w:rsid w:val="00814F66"/>
    <w:rsid w:val="0081557D"/>
    <w:rsid w:val="00815A4A"/>
    <w:rsid w:val="00815A5D"/>
    <w:rsid w:val="00815CD5"/>
    <w:rsid w:val="00815F5F"/>
    <w:rsid w:val="008160BB"/>
    <w:rsid w:val="008162C6"/>
    <w:rsid w:val="0081638E"/>
    <w:rsid w:val="00816645"/>
    <w:rsid w:val="00816719"/>
    <w:rsid w:val="00816E30"/>
    <w:rsid w:val="00817800"/>
    <w:rsid w:val="00817C81"/>
    <w:rsid w:val="00817EC0"/>
    <w:rsid w:val="00820142"/>
    <w:rsid w:val="0082029D"/>
    <w:rsid w:val="00820890"/>
    <w:rsid w:val="00821219"/>
    <w:rsid w:val="00821C8C"/>
    <w:rsid w:val="00821F02"/>
    <w:rsid w:val="008223BC"/>
    <w:rsid w:val="008224A5"/>
    <w:rsid w:val="00822865"/>
    <w:rsid w:val="00822DB1"/>
    <w:rsid w:val="0082335C"/>
    <w:rsid w:val="0082445D"/>
    <w:rsid w:val="008247CB"/>
    <w:rsid w:val="008248BF"/>
    <w:rsid w:val="0082492D"/>
    <w:rsid w:val="00824C3B"/>
    <w:rsid w:val="00824C83"/>
    <w:rsid w:val="00824C9A"/>
    <w:rsid w:val="00824CA0"/>
    <w:rsid w:val="00824E99"/>
    <w:rsid w:val="008257E0"/>
    <w:rsid w:val="008259D4"/>
    <w:rsid w:val="00826244"/>
    <w:rsid w:val="00826784"/>
    <w:rsid w:val="00826AE7"/>
    <w:rsid w:val="008270AD"/>
    <w:rsid w:val="0082751F"/>
    <w:rsid w:val="0083006F"/>
    <w:rsid w:val="00830F4F"/>
    <w:rsid w:val="0083120D"/>
    <w:rsid w:val="00831E03"/>
    <w:rsid w:val="00832106"/>
    <w:rsid w:val="00832875"/>
    <w:rsid w:val="00832B55"/>
    <w:rsid w:val="008332FC"/>
    <w:rsid w:val="00833E01"/>
    <w:rsid w:val="00834582"/>
    <w:rsid w:val="00834A7A"/>
    <w:rsid w:val="00834DEC"/>
    <w:rsid w:val="0083538F"/>
    <w:rsid w:val="0083554A"/>
    <w:rsid w:val="00835630"/>
    <w:rsid w:val="00835A45"/>
    <w:rsid w:val="008361A3"/>
    <w:rsid w:val="00836506"/>
    <w:rsid w:val="00836708"/>
    <w:rsid w:val="00836967"/>
    <w:rsid w:val="00837A10"/>
    <w:rsid w:val="00837A8F"/>
    <w:rsid w:val="00837BF3"/>
    <w:rsid w:val="00837C2A"/>
    <w:rsid w:val="00840CA0"/>
    <w:rsid w:val="00841484"/>
    <w:rsid w:val="008415CE"/>
    <w:rsid w:val="00841914"/>
    <w:rsid w:val="008419A1"/>
    <w:rsid w:val="00841C7F"/>
    <w:rsid w:val="00841DE3"/>
    <w:rsid w:val="00842B7D"/>
    <w:rsid w:val="008430DF"/>
    <w:rsid w:val="0084411A"/>
    <w:rsid w:val="00844533"/>
    <w:rsid w:val="008449D3"/>
    <w:rsid w:val="00844A56"/>
    <w:rsid w:val="00844A9F"/>
    <w:rsid w:val="00844BBB"/>
    <w:rsid w:val="00844E2F"/>
    <w:rsid w:val="00845133"/>
    <w:rsid w:val="00845625"/>
    <w:rsid w:val="0084571A"/>
    <w:rsid w:val="00845982"/>
    <w:rsid w:val="00845DBC"/>
    <w:rsid w:val="0084608C"/>
    <w:rsid w:val="00846730"/>
    <w:rsid w:val="008467B5"/>
    <w:rsid w:val="0084710E"/>
    <w:rsid w:val="00847486"/>
    <w:rsid w:val="00847583"/>
    <w:rsid w:val="00847E14"/>
    <w:rsid w:val="00847F7E"/>
    <w:rsid w:val="00847FB5"/>
    <w:rsid w:val="0085055A"/>
    <w:rsid w:val="00850E03"/>
    <w:rsid w:val="0085104B"/>
    <w:rsid w:val="00852080"/>
    <w:rsid w:val="008529FA"/>
    <w:rsid w:val="00852A6B"/>
    <w:rsid w:val="00852AF1"/>
    <w:rsid w:val="00852B10"/>
    <w:rsid w:val="00852E87"/>
    <w:rsid w:val="00852FAD"/>
    <w:rsid w:val="008533B4"/>
    <w:rsid w:val="0085348D"/>
    <w:rsid w:val="00853E68"/>
    <w:rsid w:val="008545C2"/>
    <w:rsid w:val="00854665"/>
    <w:rsid w:val="00854960"/>
    <w:rsid w:val="00854977"/>
    <w:rsid w:val="00854B71"/>
    <w:rsid w:val="008552F3"/>
    <w:rsid w:val="0085558B"/>
    <w:rsid w:val="00855807"/>
    <w:rsid w:val="00855B6B"/>
    <w:rsid w:val="00855E30"/>
    <w:rsid w:val="00855E55"/>
    <w:rsid w:val="008561F2"/>
    <w:rsid w:val="008565B8"/>
    <w:rsid w:val="008565FA"/>
    <w:rsid w:val="00856A6D"/>
    <w:rsid w:val="00856BB3"/>
    <w:rsid w:val="00856FE0"/>
    <w:rsid w:val="0085711C"/>
    <w:rsid w:val="00857371"/>
    <w:rsid w:val="0085742C"/>
    <w:rsid w:val="0085763A"/>
    <w:rsid w:val="008600DE"/>
    <w:rsid w:val="00860696"/>
    <w:rsid w:val="0086070B"/>
    <w:rsid w:val="00860D1C"/>
    <w:rsid w:val="00860D6A"/>
    <w:rsid w:val="00860F28"/>
    <w:rsid w:val="0086218F"/>
    <w:rsid w:val="0086297E"/>
    <w:rsid w:val="00862DA9"/>
    <w:rsid w:val="0086307A"/>
    <w:rsid w:val="00863686"/>
    <w:rsid w:val="00863854"/>
    <w:rsid w:val="00863C1E"/>
    <w:rsid w:val="00864899"/>
    <w:rsid w:val="00864A97"/>
    <w:rsid w:val="00864CDB"/>
    <w:rsid w:val="00864F79"/>
    <w:rsid w:val="0086515B"/>
    <w:rsid w:val="008651D3"/>
    <w:rsid w:val="00865391"/>
    <w:rsid w:val="00865F68"/>
    <w:rsid w:val="0086609F"/>
    <w:rsid w:val="00866481"/>
    <w:rsid w:val="00866AE8"/>
    <w:rsid w:val="008703C9"/>
    <w:rsid w:val="00870D5C"/>
    <w:rsid w:val="008710A7"/>
    <w:rsid w:val="0087110A"/>
    <w:rsid w:val="00871B87"/>
    <w:rsid w:val="00871C87"/>
    <w:rsid w:val="0087259D"/>
    <w:rsid w:val="00872685"/>
    <w:rsid w:val="00872C94"/>
    <w:rsid w:val="008734A3"/>
    <w:rsid w:val="008734EF"/>
    <w:rsid w:val="0087380F"/>
    <w:rsid w:val="00873B53"/>
    <w:rsid w:val="00874072"/>
    <w:rsid w:val="00874E96"/>
    <w:rsid w:val="0087515E"/>
    <w:rsid w:val="008751E4"/>
    <w:rsid w:val="008754BE"/>
    <w:rsid w:val="00875A60"/>
    <w:rsid w:val="00875D0E"/>
    <w:rsid w:val="00875DDD"/>
    <w:rsid w:val="00875FB0"/>
    <w:rsid w:val="0087632F"/>
    <w:rsid w:val="008764BF"/>
    <w:rsid w:val="00876545"/>
    <w:rsid w:val="008765F9"/>
    <w:rsid w:val="008766AC"/>
    <w:rsid w:val="008767B5"/>
    <w:rsid w:val="008769DF"/>
    <w:rsid w:val="008769F8"/>
    <w:rsid w:val="00876E97"/>
    <w:rsid w:val="00876EC7"/>
    <w:rsid w:val="00877880"/>
    <w:rsid w:val="008779FB"/>
    <w:rsid w:val="00877C79"/>
    <w:rsid w:val="00877D44"/>
    <w:rsid w:val="00877FE7"/>
    <w:rsid w:val="00880493"/>
    <w:rsid w:val="00880622"/>
    <w:rsid w:val="00881423"/>
    <w:rsid w:val="0088154A"/>
    <w:rsid w:val="00881D2C"/>
    <w:rsid w:val="00881FE1"/>
    <w:rsid w:val="008824DE"/>
    <w:rsid w:val="00882834"/>
    <w:rsid w:val="0088283C"/>
    <w:rsid w:val="00882AB3"/>
    <w:rsid w:val="0088354D"/>
    <w:rsid w:val="0088361F"/>
    <w:rsid w:val="008837C4"/>
    <w:rsid w:val="00883E27"/>
    <w:rsid w:val="00883EFC"/>
    <w:rsid w:val="00883F98"/>
    <w:rsid w:val="008843F0"/>
    <w:rsid w:val="00884433"/>
    <w:rsid w:val="00884703"/>
    <w:rsid w:val="00884A48"/>
    <w:rsid w:val="008850AA"/>
    <w:rsid w:val="008853D0"/>
    <w:rsid w:val="008853DE"/>
    <w:rsid w:val="00885AF6"/>
    <w:rsid w:val="00886555"/>
    <w:rsid w:val="008867F2"/>
    <w:rsid w:val="00886CC1"/>
    <w:rsid w:val="00886E4A"/>
    <w:rsid w:val="00886E77"/>
    <w:rsid w:val="00887872"/>
    <w:rsid w:val="00887F40"/>
    <w:rsid w:val="00890060"/>
    <w:rsid w:val="008912ED"/>
    <w:rsid w:val="0089154F"/>
    <w:rsid w:val="00891558"/>
    <w:rsid w:val="00891BCD"/>
    <w:rsid w:val="008928A0"/>
    <w:rsid w:val="00892FF4"/>
    <w:rsid w:val="00893213"/>
    <w:rsid w:val="00893274"/>
    <w:rsid w:val="008933B5"/>
    <w:rsid w:val="00893A5F"/>
    <w:rsid w:val="00894754"/>
    <w:rsid w:val="00894AD3"/>
    <w:rsid w:val="00895451"/>
    <w:rsid w:val="0089550F"/>
    <w:rsid w:val="008961AA"/>
    <w:rsid w:val="008961B1"/>
    <w:rsid w:val="00896586"/>
    <w:rsid w:val="008966A9"/>
    <w:rsid w:val="00896761"/>
    <w:rsid w:val="00896BD1"/>
    <w:rsid w:val="00897CD8"/>
    <w:rsid w:val="008A019E"/>
    <w:rsid w:val="008A0730"/>
    <w:rsid w:val="008A0905"/>
    <w:rsid w:val="008A0BF6"/>
    <w:rsid w:val="008A0C92"/>
    <w:rsid w:val="008A0D5C"/>
    <w:rsid w:val="008A0D99"/>
    <w:rsid w:val="008A111B"/>
    <w:rsid w:val="008A1621"/>
    <w:rsid w:val="008A1ACF"/>
    <w:rsid w:val="008A1B3B"/>
    <w:rsid w:val="008A1D88"/>
    <w:rsid w:val="008A223A"/>
    <w:rsid w:val="008A28B1"/>
    <w:rsid w:val="008A2DCD"/>
    <w:rsid w:val="008A2EC5"/>
    <w:rsid w:val="008A2ED9"/>
    <w:rsid w:val="008A3020"/>
    <w:rsid w:val="008A310D"/>
    <w:rsid w:val="008A3343"/>
    <w:rsid w:val="008A3578"/>
    <w:rsid w:val="008A3ADF"/>
    <w:rsid w:val="008A4639"/>
    <w:rsid w:val="008A464B"/>
    <w:rsid w:val="008A4765"/>
    <w:rsid w:val="008A48B8"/>
    <w:rsid w:val="008A49AC"/>
    <w:rsid w:val="008A4B9A"/>
    <w:rsid w:val="008A502F"/>
    <w:rsid w:val="008A5156"/>
    <w:rsid w:val="008A5D3A"/>
    <w:rsid w:val="008A662C"/>
    <w:rsid w:val="008A688F"/>
    <w:rsid w:val="008A6B29"/>
    <w:rsid w:val="008A6B2C"/>
    <w:rsid w:val="008A6C09"/>
    <w:rsid w:val="008A72B9"/>
    <w:rsid w:val="008B0010"/>
    <w:rsid w:val="008B059F"/>
    <w:rsid w:val="008B07A5"/>
    <w:rsid w:val="008B082E"/>
    <w:rsid w:val="008B08D8"/>
    <w:rsid w:val="008B14AA"/>
    <w:rsid w:val="008B16E8"/>
    <w:rsid w:val="008B1CEB"/>
    <w:rsid w:val="008B20DD"/>
    <w:rsid w:val="008B2160"/>
    <w:rsid w:val="008B2497"/>
    <w:rsid w:val="008B266D"/>
    <w:rsid w:val="008B2B65"/>
    <w:rsid w:val="008B2E02"/>
    <w:rsid w:val="008B3A82"/>
    <w:rsid w:val="008B3ECF"/>
    <w:rsid w:val="008B408C"/>
    <w:rsid w:val="008B4252"/>
    <w:rsid w:val="008B43C7"/>
    <w:rsid w:val="008B4885"/>
    <w:rsid w:val="008B4A20"/>
    <w:rsid w:val="008B4A70"/>
    <w:rsid w:val="008B4BA8"/>
    <w:rsid w:val="008B5351"/>
    <w:rsid w:val="008B5650"/>
    <w:rsid w:val="008B5976"/>
    <w:rsid w:val="008B616B"/>
    <w:rsid w:val="008B6355"/>
    <w:rsid w:val="008B64ED"/>
    <w:rsid w:val="008B7088"/>
    <w:rsid w:val="008B7249"/>
    <w:rsid w:val="008B7832"/>
    <w:rsid w:val="008B7835"/>
    <w:rsid w:val="008C0BA3"/>
    <w:rsid w:val="008C0FBB"/>
    <w:rsid w:val="008C16CB"/>
    <w:rsid w:val="008C16CD"/>
    <w:rsid w:val="008C1A04"/>
    <w:rsid w:val="008C1A06"/>
    <w:rsid w:val="008C1AB1"/>
    <w:rsid w:val="008C1ACF"/>
    <w:rsid w:val="008C1D28"/>
    <w:rsid w:val="008C2167"/>
    <w:rsid w:val="008C25A2"/>
    <w:rsid w:val="008C2608"/>
    <w:rsid w:val="008C26E3"/>
    <w:rsid w:val="008C272F"/>
    <w:rsid w:val="008C2BFF"/>
    <w:rsid w:val="008C2D8E"/>
    <w:rsid w:val="008C2FA4"/>
    <w:rsid w:val="008C3241"/>
    <w:rsid w:val="008C384F"/>
    <w:rsid w:val="008C3A67"/>
    <w:rsid w:val="008C3B99"/>
    <w:rsid w:val="008C457F"/>
    <w:rsid w:val="008C5085"/>
    <w:rsid w:val="008C54B6"/>
    <w:rsid w:val="008C5730"/>
    <w:rsid w:val="008C5BD1"/>
    <w:rsid w:val="008C67E2"/>
    <w:rsid w:val="008C6884"/>
    <w:rsid w:val="008C6ED3"/>
    <w:rsid w:val="008C7597"/>
    <w:rsid w:val="008C7A24"/>
    <w:rsid w:val="008C7D00"/>
    <w:rsid w:val="008C7D0B"/>
    <w:rsid w:val="008C7D3E"/>
    <w:rsid w:val="008C7FE9"/>
    <w:rsid w:val="008D014F"/>
    <w:rsid w:val="008D01B3"/>
    <w:rsid w:val="008D0399"/>
    <w:rsid w:val="008D0D06"/>
    <w:rsid w:val="008D0F0D"/>
    <w:rsid w:val="008D0F1A"/>
    <w:rsid w:val="008D0F42"/>
    <w:rsid w:val="008D1903"/>
    <w:rsid w:val="008D2350"/>
    <w:rsid w:val="008D24A6"/>
    <w:rsid w:val="008D2624"/>
    <w:rsid w:val="008D2E2A"/>
    <w:rsid w:val="008D3436"/>
    <w:rsid w:val="008D38A4"/>
    <w:rsid w:val="008D39BB"/>
    <w:rsid w:val="008D3DEE"/>
    <w:rsid w:val="008D406D"/>
    <w:rsid w:val="008D45A0"/>
    <w:rsid w:val="008D48BD"/>
    <w:rsid w:val="008D5060"/>
    <w:rsid w:val="008D52A6"/>
    <w:rsid w:val="008D52FF"/>
    <w:rsid w:val="008D5344"/>
    <w:rsid w:val="008D5603"/>
    <w:rsid w:val="008D5889"/>
    <w:rsid w:val="008D5B2A"/>
    <w:rsid w:val="008D60B7"/>
    <w:rsid w:val="008D61A6"/>
    <w:rsid w:val="008D6332"/>
    <w:rsid w:val="008D645B"/>
    <w:rsid w:val="008D6B26"/>
    <w:rsid w:val="008D6B89"/>
    <w:rsid w:val="008D6CA7"/>
    <w:rsid w:val="008D6F58"/>
    <w:rsid w:val="008D71B8"/>
    <w:rsid w:val="008D7319"/>
    <w:rsid w:val="008D738C"/>
    <w:rsid w:val="008D73D5"/>
    <w:rsid w:val="008D73D7"/>
    <w:rsid w:val="008D798C"/>
    <w:rsid w:val="008D7F61"/>
    <w:rsid w:val="008E00E6"/>
    <w:rsid w:val="008E09DE"/>
    <w:rsid w:val="008E0EB1"/>
    <w:rsid w:val="008E1146"/>
    <w:rsid w:val="008E11DC"/>
    <w:rsid w:val="008E15F0"/>
    <w:rsid w:val="008E214D"/>
    <w:rsid w:val="008E224F"/>
    <w:rsid w:val="008E22F2"/>
    <w:rsid w:val="008E2A5B"/>
    <w:rsid w:val="008E2F9C"/>
    <w:rsid w:val="008E30E3"/>
    <w:rsid w:val="008E37F9"/>
    <w:rsid w:val="008E4051"/>
    <w:rsid w:val="008E42D9"/>
    <w:rsid w:val="008E4EED"/>
    <w:rsid w:val="008E5026"/>
    <w:rsid w:val="008E506B"/>
    <w:rsid w:val="008E56DF"/>
    <w:rsid w:val="008E5899"/>
    <w:rsid w:val="008E5A4B"/>
    <w:rsid w:val="008E6201"/>
    <w:rsid w:val="008E67AA"/>
    <w:rsid w:val="008E749C"/>
    <w:rsid w:val="008E7E45"/>
    <w:rsid w:val="008E7E67"/>
    <w:rsid w:val="008F010E"/>
    <w:rsid w:val="008F109C"/>
    <w:rsid w:val="008F12A5"/>
    <w:rsid w:val="008F141F"/>
    <w:rsid w:val="008F1F0D"/>
    <w:rsid w:val="008F21A4"/>
    <w:rsid w:val="008F2B3B"/>
    <w:rsid w:val="008F2B4B"/>
    <w:rsid w:val="008F2C54"/>
    <w:rsid w:val="008F2F2E"/>
    <w:rsid w:val="008F2F80"/>
    <w:rsid w:val="008F30C5"/>
    <w:rsid w:val="008F31A6"/>
    <w:rsid w:val="008F3846"/>
    <w:rsid w:val="008F3F94"/>
    <w:rsid w:val="008F4000"/>
    <w:rsid w:val="008F466F"/>
    <w:rsid w:val="008F46F7"/>
    <w:rsid w:val="008F4AAC"/>
    <w:rsid w:val="008F4AAF"/>
    <w:rsid w:val="008F4B4E"/>
    <w:rsid w:val="008F4F05"/>
    <w:rsid w:val="008F572F"/>
    <w:rsid w:val="008F5A94"/>
    <w:rsid w:val="008F6270"/>
    <w:rsid w:val="008F6375"/>
    <w:rsid w:val="008F6634"/>
    <w:rsid w:val="008F7BC7"/>
    <w:rsid w:val="008F7C18"/>
    <w:rsid w:val="0090060D"/>
    <w:rsid w:val="009008DB"/>
    <w:rsid w:val="00900975"/>
    <w:rsid w:val="00900A46"/>
    <w:rsid w:val="009010B7"/>
    <w:rsid w:val="00901931"/>
    <w:rsid w:val="0090238D"/>
    <w:rsid w:val="00902A2B"/>
    <w:rsid w:val="00902AA0"/>
    <w:rsid w:val="00902B04"/>
    <w:rsid w:val="00902D2F"/>
    <w:rsid w:val="00902F9A"/>
    <w:rsid w:val="00903023"/>
    <w:rsid w:val="00903070"/>
    <w:rsid w:val="0090370C"/>
    <w:rsid w:val="00903BF8"/>
    <w:rsid w:val="00904298"/>
    <w:rsid w:val="00904747"/>
    <w:rsid w:val="00904C90"/>
    <w:rsid w:val="00904EE2"/>
    <w:rsid w:val="00904F56"/>
    <w:rsid w:val="00905585"/>
    <w:rsid w:val="009055C2"/>
    <w:rsid w:val="00905769"/>
    <w:rsid w:val="00905E3E"/>
    <w:rsid w:val="00905F82"/>
    <w:rsid w:val="00906364"/>
    <w:rsid w:val="00906615"/>
    <w:rsid w:val="00906841"/>
    <w:rsid w:val="00906B46"/>
    <w:rsid w:val="00906B7F"/>
    <w:rsid w:val="0090725E"/>
    <w:rsid w:val="0090746A"/>
    <w:rsid w:val="00907484"/>
    <w:rsid w:val="0090760F"/>
    <w:rsid w:val="009076DE"/>
    <w:rsid w:val="009076ED"/>
    <w:rsid w:val="0090783F"/>
    <w:rsid w:val="0090790B"/>
    <w:rsid w:val="0091004C"/>
    <w:rsid w:val="00910078"/>
    <w:rsid w:val="009103DD"/>
    <w:rsid w:val="0091049D"/>
    <w:rsid w:val="0091051E"/>
    <w:rsid w:val="0091076A"/>
    <w:rsid w:val="00910AE1"/>
    <w:rsid w:val="00910C68"/>
    <w:rsid w:val="00910D6C"/>
    <w:rsid w:val="0091123F"/>
    <w:rsid w:val="00911977"/>
    <w:rsid w:val="00911A95"/>
    <w:rsid w:val="00911B06"/>
    <w:rsid w:val="00911CB8"/>
    <w:rsid w:val="00911D3A"/>
    <w:rsid w:val="00912746"/>
    <w:rsid w:val="00912A12"/>
    <w:rsid w:val="00912ACD"/>
    <w:rsid w:val="009133A0"/>
    <w:rsid w:val="00913BA3"/>
    <w:rsid w:val="0091448F"/>
    <w:rsid w:val="00914C8A"/>
    <w:rsid w:val="00914E99"/>
    <w:rsid w:val="00914F03"/>
    <w:rsid w:val="00915516"/>
    <w:rsid w:val="00915FEC"/>
    <w:rsid w:val="009168E6"/>
    <w:rsid w:val="00916B48"/>
    <w:rsid w:val="009172DF"/>
    <w:rsid w:val="00917709"/>
    <w:rsid w:val="009177D7"/>
    <w:rsid w:val="00917BE3"/>
    <w:rsid w:val="00917DA7"/>
    <w:rsid w:val="009203BB"/>
    <w:rsid w:val="009205A3"/>
    <w:rsid w:val="009210A6"/>
    <w:rsid w:val="009211FA"/>
    <w:rsid w:val="0092133D"/>
    <w:rsid w:val="00921349"/>
    <w:rsid w:val="00921847"/>
    <w:rsid w:val="00922152"/>
    <w:rsid w:val="00923490"/>
    <w:rsid w:val="00923A87"/>
    <w:rsid w:val="00923B2F"/>
    <w:rsid w:val="00923C69"/>
    <w:rsid w:val="00923DCC"/>
    <w:rsid w:val="00923E83"/>
    <w:rsid w:val="009242AD"/>
    <w:rsid w:val="0092544E"/>
    <w:rsid w:val="00925AAC"/>
    <w:rsid w:val="00925BDE"/>
    <w:rsid w:val="00926DC2"/>
    <w:rsid w:val="00926E2A"/>
    <w:rsid w:val="00927207"/>
    <w:rsid w:val="009273A5"/>
    <w:rsid w:val="00927580"/>
    <w:rsid w:val="009275F3"/>
    <w:rsid w:val="009301E3"/>
    <w:rsid w:val="009301FC"/>
    <w:rsid w:val="00930506"/>
    <w:rsid w:val="0093094B"/>
    <w:rsid w:val="00930D04"/>
    <w:rsid w:val="00931388"/>
    <w:rsid w:val="0093200D"/>
    <w:rsid w:val="0093211E"/>
    <w:rsid w:val="009321E0"/>
    <w:rsid w:val="00932305"/>
    <w:rsid w:val="0093286B"/>
    <w:rsid w:val="00932BA5"/>
    <w:rsid w:val="0093354B"/>
    <w:rsid w:val="009335F6"/>
    <w:rsid w:val="00933E10"/>
    <w:rsid w:val="00933F94"/>
    <w:rsid w:val="009347B3"/>
    <w:rsid w:val="00934C14"/>
    <w:rsid w:val="00934E19"/>
    <w:rsid w:val="009353B2"/>
    <w:rsid w:val="00935BA5"/>
    <w:rsid w:val="00936A3D"/>
    <w:rsid w:val="00936DD1"/>
    <w:rsid w:val="009375FE"/>
    <w:rsid w:val="00937676"/>
    <w:rsid w:val="009377BF"/>
    <w:rsid w:val="00940014"/>
    <w:rsid w:val="0094003D"/>
    <w:rsid w:val="0094051A"/>
    <w:rsid w:val="0094065B"/>
    <w:rsid w:val="009407F0"/>
    <w:rsid w:val="00941138"/>
    <w:rsid w:val="009413B9"/>
    <w:rsid w:val="00941582"/>
    <w:rsid w:val="00941BDB"/>
    <w:rsid w:val="00942405"/>
    <w:rsid w:val="00942658"/>
    <w:rsid w:val="009427A5"/>
    <w:rsid w:val="00942C36"/>
    <w:rsid w:val="00942CF8"/>
    <w:rsid w:val="009434E8"/>
    <w:rsid w:val="00943531"/>
    <w:rsid w:val="00943B19"/>
    <w:rsid w:val="00943F89"/>
    <w:rsid w:val="0094435D"/>
    <w:rsid w:val="00944708"/>
    <w:rsid w:val="00944A94"/>
    <w:rsid w:val="00944C94"/>
    <w:rsid w:val="009450D8"/>
    <w:rsid w:val="0094513A"/>
    <w:rsid w:val="009461D7"/>
    <w:rsid w:val="00946494"/>
    <w:rsid w:val="00946753"/>
    <w:rsid w:val="00947349"/>
    <w:rsid w:val="0094762C"/>
    <w:rsid w:val="00947F3B"/>
    <w:rsid w:val="00947FE8"/>
    <w:rsid w:val="00950C64"/>
    <w:rsid w:val="00950FA4"/>
    <w:rsid w:val="0095111F"/>
    <w:rsid w:val="009516A0"/>
    <w:rsid w:val="00951DBD"/>
    <w:rsid w:val="0095252E"/>
    <w:rsid w:val="00952912"/>
    <w:rsid w:val="00952969"/>
    <w:rsid w:val="00952ED9"/>
    <w:rsid w:val="00952F6C"/>
    <w:rsid w:val="00953169"/>
    <w:rsid w:val="009531A2"/>
    <w:rsid w:val="00953D76"/>
    <w:rsid w:val="00953DCD"/>
    <w:rsid w:val="00953EB6"/>
    <w:rsid w:val="009543F6"/>
    <w:rsid w:val="00954595"/>
    <w:rsid w:val="00954CA4"/>
    <w:rsid w:val="00954ED0"/>
    <w:rsid w:val="00955EBF"/>
    <w:rsid w:val="0095649C"/>
    <w:rsid w:val="009564BE"/>
    <w:rsid w:val="00956A32"/>
    <w:rsid w:val="00956A67"/>
    <w:rsid w:val="00956C63"/>
    <w:rsid w:val="00956F78"/>
    <w:rsid w:val="00957254"/>
    <w:rsid w:val="009579BA"/>
    <w:rsid w:val="009602B0"/>
    <w:rsid w:val="00960360"/>
    <w:rsid w:val="00960A50"/>
    <w:rsid w:val="00960DD0"/>
    <w:rsid w:val="00960FF7"/>
    <w:rsid w:val="00961126"/>
    <w:rsid w:val="0096150F"/>
    <w:rsid w:val="00961E87"/>
    <w:rsid w:val="00962113"/>
    <w:rsid w:val="009623C1"/>
    <w:rsid w:val="00962E7F"/>
    <w:rsid w:val="00962F1E"/>
    <w:rsid w:val="009633D9"/>
    <w:rsid w:val="0096346F"/>
    <w:rsid w:val="0096386D"/>
    <w:rsid w:val="00964061"/>
    <w:rsid w:val="00964A1C"/>
    <w:rsid w:val="00964A7E"/>
    <w:rsid w:val="00964D9B"/>
    <w:rsid w:val="00965DA2"/>
    <w:rsid w:val="00966059"/>
    <w:rsid w:val="00966338"/>
    <w:rsid w:val="00966E68"/>
    <w:rsid w:val="00966FA3"/>
    <w:rsid w:val="009674A4"/>
    <w:rsid w:val="0096759C"/>
    <w:rsid w:val="0097004C"/>
    <w:rsid w:val="00970455"/>
    <w:rsid w:val="009705CA"/>
    <w:rsid w:val="00970C2E"/>
    <w:rsid w:val="00971105"/>
    <w:rsid w:val="00971735"/>
    <w:rsid w:val="00971BEA"/>
    <w:rsid w:val="00971C22"/>
    <w:rsid w:val="00971CF2"/>
    <w:rsid w:val="009722C0"/>
    <w:rsid w:val="00972704"/>
    <w:rsid w:val="00972BC9"/>
    <w:rsid w:val="00972C14"/>
    <w:rsid w:val="00972C9D"/>
    <w:rsid w:val="00972CEC"/>
    <w:rsid w:val="009730B2"/>
    <w:rsid w:val="0097358A"/>
    <w:rsid w:val="00973647"/>
    <w:rsid w:val="00973960"/>
    <w:rsid w:val="00973AF1"/>
    <w:rsid w:val="009744C1"/>
    <w:rsid w:val="0097490F"/>
    <w:rsid w:val="00975682"/>
    <w:rsid w:val="00975BAF"/>
    <w:rsid w:val="00975EA0"/>
    <w:rsid w:val="00975F2F"/>
    <w:rsid w:val="00976358"/>
    <w:rsid w:val="00976A8A"/>
    <w:rsid w:val="00976B59"/>
    <w:rsid w:val="00977111"/>
    <w:rsid w:val="00977318"/>
    <w:rsid w:val="009778AF"/>
    <w:rsid w:val="00977CE9"/>
    <w:rsid w:val="00977E32"/>
    <w:rsid w:val="009801FF"/>
    <w:rsid w:val="009809BC"/>
    <w:rsid w:val="00980F94"/>
    <w:rsid w:val="00981017"/>
    <w:rsid w:val="00981079"/>
    <w:rsid w:val="00981460"/>
    <w:rsid w:val="00982130"/>
    <w:rsid w:val="0098227C"/>
    <w:rsid w:val="00982875"/>
    <w:rsid w:val="00982E35"/>
    <w:rsid w:val="009848E7"/>
    <w:rsid w:val="00984B1F"/>
    <w:rsid w:val="00984B99"/>
    <w:rsid w:val="00984DC6"/>
    <w:rsid w:val="00985089"/>
    <w:rsid w:val="009852C1"/>
    <w:rsid w:val="00985EE1"/>
    <w:rsid w:val="00985F3E"/>
    <w:rsid w:val="00986A55"/>
    <w:rsid w:val="00986B85"/>
    <w:rsid w:val="00986F53"/>
    <w:rsid w:val="009870CD"/>
    <w:rsid w:val="0098733D"/>
    <w:rsid w:val="00987A96"/>
    <w:rsid w:val="00987BEA"/>
    <w:rsid w:val="00987D2A"/>
    <w:rsid w:val="00987F69"/>
    <w:rsid w:val="00990647"/>
    <w:rsid w:val="0099086E"/>
    <w:rsid w:val="00990F04"/>
    <w:rsid w:val="00991226"/>
    <w:rsid w:val="0099168E"/>
    <w:rsid w:val="00991ACA"/>
    <w:rsid w:val="009928DD"/>
    <w:rsid w:val="00992CCB"/>
    <w:rsid w:val="00993038"/>
    <w:rsid w:val="0099357A"/>
    <w:rsid w:val="0099408A"/>
    <w:rsid w:val="009943EF"/>
    <w:rsid w:val="00994539"/>
    <w:rsid w:val="009949BC"/>
    <w:rsid w:val="0099506B"/>
    <w:rsid w:val="009951AB"/>
    <w:rsid w:val="009959AD"/>
    <w:rsid w:val="00995B83"/>
    <w:rsid w:val="00995B96"/>
    <w:rsid w:val="00995BDF"/>
    <w:rsid w:val="009964EF"/>
    <w:rsid w:val="00996661"/>
    <w:rsid w:val="00996778"/>
    <w:rsid w:val="00996838"/>
    <w:rsid w:val="00996DAC"/>
    <w:rsid w:val="0099724C"/>
    <w:rsid w:val="00997647"/>
    <w:rsid w:val="009978BF"/>
    <w:rsid w:val="009979A1"/>
    <w:rsid w:val="009979F3"/>
    <w:rsid w:val="00997FA8"/>
    <w:rsid w:val="009A017A"/>
    <w:rsid w:val="009A0268"/>
    <w:rsid w:val="009A041D"/>
    <w:rsid w:val="009A0A2E"/>
    <w:rsid w:val="009A1736"/>
    <w:rsid w:val="009A17BD"/>
    <w:rsid w:val="009A2052"/>
    <w:rsid w:val="009A22F6"/>
    <w:rsid w:val="009A2336"/>
    <w:rsid w:val="009A2611"/>
    <w:rsid w:val="009A2621"/>
    <w:rsid w:val="009A2850"/>
    <w:rsid w:val="009A2ABF"/>
    <w:rsid w:val="009A2B3D"/>
    <w:rsid w:val="009A2C8B"/>
    <w:rsid w:val="009A2DB0"/>
    <w:rsid w:val="009A3446"/>
    <w:rsid w:val="009A3C42"/>
    <w:rsid w:val="009A3E24"/>
    <w:rsid w:val="009A4400"/>
    <w:rsid w:val="009A510B"/>
    <w:rsid w:val="009A58D4"/>
    <w:rsid w:val="009A5B5F"/>
    <w:rsid w:val="009A5E1C"/>
    <w:rsid w:val="009A64B7"/>
    <w:rsid w:val="009A6576"/>
    <w:rsid w:val="009A6608"/>
    <w:rsid w:val="009A6E10"/>
    <w:rsid w:val="009A6EF7"/>
    <w:rsid w:val="009A75A2"/>
    <w:rsid w:val="009A76A4"/>
    <w:rsid w:val="009A7BF1"/>
    <w:rsid w:val="009A7C5F"/>
    <w:rsid w:val="009A7EE3"/>
    <w:rsid w:val="009A7F13"/>
    <w:rsid w:val="009B01B9"/>
    <w:rsid w:val="009B031A"/>
    <w:rsid w:val="009B0489"/>
    <w:rsid w:val="009B0630"/>
    <w:rsid w:val="009B0AC2"/>
    <w:rsid w:val="009B12CB"/>
    <w:rsid w:val="009B137D"/>
    <w:rsid w:val="009B1A8A"/>
    <w:rsid w:val="009B1CF0"/>
    <w:rsid w:val="009B1EA3"/>
    <w:rsid w:val="009B23D3"/>
    <w:rsid w:val="009B245D"/>
    <w:rsid w:val="009B24DF"/>
    <w:rsid w:val="009B2694"/>
    <w:rsid w:val="009B27A4"/>
    <w:rsid w:val="009B2A22"/>
    <w:rsid w:val="009B3518"/>
    <w:rsid w:val="009B361A"/>
    <w:rsid w:val="009B3AD4"/>
    <w:rsid w:val="009B4221"/>
    <w:rsid w:val="009B4606"/>
    <w:rsid w:val="009B470C"/>
    <w:rsid w:val="009B487F"/>
    <w:rsid w:val="009B493B"/>
    <w:rsid w:val="009B4CB7"/>
    <w:rsid w:val="009B4DDC"/>
    <w:rsid w:val="009B4FE4"/>
    <w:rsid w:val="009B540E"/>
    <w:rsid w:val="009B5463"/>
    <w:rsid w:val="009B5558"/>
    <w:rsid w:val="009B5AB3"/>
    <w:rsid w:val="009B6A53"/>
    <w:rsid w:val="009B6A75"/>
    <w:rsid w:val="009B6DD8"/>
    <w:rsid w:val="009B6ED7"/>
    <w:rsid w:val="009B7489"/>
    <w:rsid w:val="009B75F4"/>
    <w:rsid w:val="009B7804"/>
    <w:rsid w:val="009B792D"/>
    <w:rsid w:val="009B7BFF"/>
    <w:rsid w:val="009B7F59"/>
    <w:rsid w:val="009B7FB4"/>
    <w:rsid w:val="009B7FD9"/>
    <w:rsid w:val="009C00F6"/>
    <w:rsid w:val="009C03FC"/>
    <w:rsid w:val="009C06E9"/>
    <w:rsid w:val="009C0819"/>
    <w:rsid w:val="009C1A48"/>
    <w:rsid w:val="009C1AB1"/>
    <w:rsid w:val="009C1BFE"/>
    <w:rsid w:val="009C1C10"/>
    <w:rsid w:val="009C1F8B"/>
    <w:rsid w:val="009C1FF0"/>
    <w:rsid w:val="009C29E6"/>
    <w:rsid w:val="009C2DF4"/>
    <w:rsid w:val="009C3B9E"/>
    <w:rsid w:val="009C434C"/>
    <w:rsid w:val="009C4367"/>
    <w:rsid w:val="009C4373"/>
    <w:rsid w:val="009C462A"/>
    <w:rsid w:val="009C4B6D"/>
    <w:rsid w:val="009C519C"/>
    <w:rsid w:val="009C5648"/>
    <w:rsid w:val="009C67CE"/>
    <w:rsid w:val="009C750B"/>
    <w:rsid w:val="009C771D"/>
    <w:rsid w:val="009C7CFB"/>
    <w:rsid w:val="009D0134"/>
    <w:rsid w:val="009D0414"/>
    <w:rsid w:val="009D0557"/>
    <w:rsid w:val="009D08AA"/>
    <w:rsid w:val="009D092B"/>
    <w:rsid w:val="009D0CD4"/>
    <w:rsid w:val="009D1338"/>
    <w:rsid w:val="009D133E"/>
    <w:rsid w:val="009D158B"/>
    <w:rsid w:val="009D1736"/>
    <w:rsid w:val="009D1AE5"/>
    <w:rsid w:val="009D1F57"/>
    <w:rsid w:val="009D21D5"/>
    <w:rsid w:val="009D228E"/>
    <w:rsid w:val="009D288F"/>
    <w:rsid w:val="009D28DB"/>
    <w:rsid w:val="009D39F2"/>
    <w:rsid w:val="009D461A"/>
    <w:rsid w:val="009D4A6A"/>
    <w:rsid w:val="009D5073"/>
    <w:rsid w:val="009D6056"/>
    <w:rsid w:val="009D65A2"/>
    <w:rsid w:val="009D6900"/>
    <w:rsid w:val="009D6BC6"/>
    <w:rsid w:val="009D6DF6"/>
    <w:rsid w:val="009E023D"/>
    <w:rsid w:val="009E028D"/>
    <w:rsid w:val="009E0622"/>
    <w:rsid w:val="009E0B1A"/>
    <w:rsid w:val="009E0BD4"/>
    <w:rsid w:val="009E12A9"/>
    <w:rsid w:val="009E18CB"/>
    <w:rsid w:val="009E1AF0"/>
    <w:rsid w:val="009E2565"/>
    <w:rsid w:val="009E26C3"/>
    <w:rsid w:val="009E2D49"/>
    <w:rsid w:val="009E3693"/>
    <w:rsid w:val="009E3918"/>
    <w:rsid w:val="009E3A81"/>
    <w:rsid w:val="009E3C69"/>
    <w:rsid w:val="009E3EF5"/>
    <w:rsid w:val="009E4818"/>
    <w:rsid w:val="009E4B8E"/>
    <w:rsid w:val="009E4E29"/>
    <w:rsid w:val="009E5012"/>
    <w:rsid w:val="009E521D"/>
    <w:rsid w:val="009E5244"/>
    <w:rsid w:val="009E5519"/>
    <w:rsid w:val="009E5729"/>
    <w:rsid w:val="009E5916"/>
    <w:rsid w:val="009E5DFA"/>
    <w:rsid w:val="009E68BB"/>
    <w:rsid w:val="009E6B3F"/>
    <w:rsid w:val="009E6F40"/>
    <w:rsid w:val="009E7316"/>
    <w:rsid w:val="009E77B7"/>
    <w:rsid w:val="009E7845"/>
    <w:rsid w:val="009E78CE"/>
    <w:rsid w:val="009E7E7C"/>
    <w:rsid w:val="009F1048"/>
    <w:rsid w:val="009F1104"/>
    <w:rsid w:val="009F1C88"/>
    <w:rsid w:val="009F1E7F"/>
    <w:rsid w:val="009F1EAB"/>
    <w:rsid w:val="009F1EED"/>
    <w:rsid w:val="009F2571"/>
    <w:rsid w:val="009F2E06"/>
    <w:rsid w:val="009F31C9"/>
    <w:rsid w:val="009F3606"/>
    <w:rsid w:val="009F378B"/>
    <w:rsid w:val="009F3989"/>
    <w:rsid w:val="009F3EFE"/>
    <w:rsid w:val="009F4284"/>
    <w:rsid w:val="009F4627"/>
    <w:rsid w:val="009F5BD7"/>
    <w:rsid w:val="009F5D35"/>
    <w:rsid w:val="009F5D45"/>
    <w:rsid w:val="009F6139"/>
    <w:rsid w:val="009F6212"/>
    <w:rsid w:val="009F628E"/>
    <w:rsid w:val="009F6379"/>
    <w:rsid w:val="009F648A"/>
    <w:rsid w:val="009F68B6"/>
    <w:rsid w:val="009F6DF3"/>
    <w:rsid w:val="009F72E6"/>
    <w:rsid w:val="009F79F2"/>
    <w:rsid w:val="00A00012"/>
    <w:rsid w:val="00A00377"/>
    <w:rsid w:val="00A003F9"/>
    <w:rsid w:val="00A00809"/>
    <w:rsid w:val="00A01010"/>
    <w:rsid w:val="00A01091"/>
    <w:rsid w:val="00A02259"/>
    <w:rsid w:val="00A023A6"/>
    <w:rsid w:val="00A02B17"/>
    <w:rsid w:val="00A033F1"/>
    <w:rsid w:val="00A03805"/>
    <w:rsid w:val="00A03A9A"/>
    <w:rsid w:val="00A03BF0"/>
    <w:rsid w:val="00A04241"/>
    <w:rsid w:val="00A042F8"/>
    <w:rsid w:val="00A0430C"/>
    <w:rsid w:val="00A04943"/>
    <w:rsid w:val="00A04BC6"/>
    <w:rsid w:val="00A0550A"/>
    <w:rsid w:val="00A05612"/>
    <w:rsid w:val="00A05C61"/>
    <w:rsid w:val="00A06031"/>
    <w:rsid w:val="00A067DE"/>
    <w:rsid w:val="00A06A4B"/>
    <w:rsid w:val="00A06F51"/>
    <w:rsid w:val="00A0707D"/>
    <w:rsid w:val="00A07B7E"/>
    <w:rsid w:val="00A07D3A"/>
    <w:rsid w:val="00A07D5A"/>
    <w:rsid w:val="00A07F71"/>
    <w:rsid w:val="00A07FBA"/>
    <w:rsid w:val="00A10051"/>
    <w:rsid w:val="00A109DF"/>
    <w:rsid w:val="00A10A4E"/>
    <w:rsid w:val="00A10D40"/>
    <w:rsid w:val="00A11020"/>
    <w:rsid w:val="00A11365"/>
    <w:rsid w:val="00A113AD"/>
    <w:rsid w:val="00A11CDA"/>
    <w:rsid w:val="00A11E37"/>
    <w:rsid w:val="00A12150"/>
    <w:rsid w:val="00A127EE"/>
    <w:rsid w:val="00A12905"/>
    <w:rsid w:val="00A12B9A"/>
    <w:rsid w:val="00A12CDF"/>
    <w:rsid w:val="00A136F4"/>
    <w:rsid w:val="00A13BF3"/>
    <w:rsid w:val="00A1491C"/>
    <w:rsid w:val="00A14D92"/>
    <w:rsid w:val="00A1542C"/>
    <w:rsid w:val="00A15973"/>
    <w:rsid w:val="00A15A54"/>
    <w:rsid w:val="00A16391"/>
    <w:rsid w:val="00A16DCA"/>
    <w:rsid w:val="00A16E01"/>
    <w:rsid w:val="00A16F95"/>
    <w:rsid w:val="00A170A6"/>
    <w:rsid w:val="00A17264"/>
    <w:rsid w:val="00A173EE"/>
    <w:rsid w:val="00A173FB"/>
    <w:rsid w:val="00A1751D"/>
    <w:rsid w:val="00A1774F"/>
    <w:rsid w:val="00A17C45"/>
    <w:rsid w:val="00A203A8"/>
    <w:rsid w:val="00A21457"/>
    <w:rsid w:val="00A214CF"/>
    <w:rsid w:val="00A216D9"/>
    <w:rsid w:val="00A21C63"/>
    <w:rsid w:val="00A21D82"/>
    <w:rsid w:val="00A222F0"/>
    <w:rsid w:val="00A22576"/>
    <w:rsid w:val="00A22689"/>
    <w:rsid w:val="00A2286A"/>
    <w:rsid w:val="00A22975"/>
    <w:rsid w:val="00A22B84"/>
    <w:rsid w:val="00A22BA1"/>
    <w:rsid w:val="00A22BA4"/>
    <w:rsid w:val="00A22FE2"/>
    <w:rsid w:val="00A232A0"/>
    <w:rsid w:val="00A23405"/>
    <w:rsid w:val="00A23797"/>
    <w:rsid w:val="00A23B51"/>
    <w:rsid w:val="00A23B65"/>
    <w:rsid w:val="00A23BAF"/>
    <w:rsid w:val="00A23E82"/>
    <w:rsid w:val="00A23FED"/>
    <w:rsid w:val="00A243B8"/>
    <w:rsid w:val="00A2482C"/>
    <w:rsid w:val="00A249FA"/>
    <w:rsid w:val="00A258B8"/>
    <w:rsid w:val="00A25E54"/>
    <w:rsid w:val="00A26063"/>
    <w:rsid w:val="00A26320"/>
    <w:rsid w:val="00A26347"/>
    <w:rsid w:val="00A26536"/>
    <w:rsid w:val="00A26A2B"/>
    <w:rsid w:val="00A26C61"/>
    <w:rsid w:val="00A2731F"/>
    <w:rsid w:val="00A27510"/>
    <w:rsid w:val="00A27AC6"/>
    <w:rsid w:val="00A27DC4"/>
    <w:rsid w:val="00A27EBC"/>
    <w:rsid w:val="00A30CB7"/>
    <w:rsid w:val="00A30DFF"/>
    <w:rsid w:val="00A30E2A"/>
    <w:rsid w:val="00A30F11"/>
    <w:rsid w:val="00A3112A"/>
    <w:rsid w:val="00A31619"/>
    <w:rsid w:val="00A317A1"/>
    <w:rsid w:val="00A31A7D"/>
    <w:rsid w:val="00A31CFB"/>
    <w:rsid w:val="00A31D23"/>
    <w:rsid w:val="00A3254B"/>
    <w:rsid w:val="00A32AB6"/>
    <w:rsid w:val="00A32B36"/>
    <w:rsid w:val="00A32C60"/>
    <w:rsid w:val="00A32D5F"/>
    <w:rsid w:val="00A330B3"/>
    <w:rsid w:val="00A335EC"/>
    <w:rsid w:val="00A3399E"/>
    <w:rsid w:val="00A34215"/>
    <w:rsid w:val="00A34342"/>
    <w:rsid w:val="00A34579"/>
    <w:rsid w:val="00A34596"/>
    <w:rsid w:val="00A355FA"/>
    <w:rsid w:val="00A35672"/>
    <w:rsid w:val="00A35A1D"/>
    <w:rsid w:val="00A35B51"/>
    <w:rsid w:val="00A35BF5"/>
    <w:rsid w:val="00A35BFF"/>
    <w:rsid w:val="00A36107"/>
    <w:rsid w:val="00A36CFE"/>
    <w:rsid w:val="00A37294"/>
    <w:rsid w:val="00A37340"/>
    <w:rsid w:val="00A376E5"/>
    <w:rsid w:val="00A37734"/>
    <w:rsid w:val="00A37B54"/>
    <w:rsid w:val="00A37F55"/>
    <w:rsid w:val="00A40D0A"/>
    <w:rsid w:val="00A41246"/>
    <w:rsid w:val="00A41AA7"/>
    <w:rsid w:val="00A421B7"/>
    <w:rsid w:val="00A42317"/>
    <w:rsid w:val="00A42432"/>
    <w:rsid w:val="00A42CDC"/>
    <w:rsid w:val="00A4410B"/>
    <w:rsid w:val="00A4498D"/>
    <w:rsid w:val="00A44AFE"/>
    <w:rsid w:val="00A44B0C"/>
    <w:rsid w:val="00A453E4"/>
    <w:rsid w:val="00A456CD"/>
    <w:rsid w:val="00A45921"/>
    <w:rsid w:val="00A45ADF"/>
    <w:rsid w:val="00A45DA5"/>
    <w:rsid w:val="00A4604F"/>
    <w:rsid w:val="00A46226"/>
    <w:rsid w:val="00A4651B"/>
    <w:rsid w:val="00A465CC"/>
    <w:rsid w:val="00A465D4"/>
    <w:rsid w:val="00A46879"/>
    <w:rsid w:val="00A46D3A"/>
    <w:rsid w:val="00A473D7"/>
    <w:rsid w:val="00A47681"/>
    <w:rsid w:val="00A476DA"/>
    <w:rsid w:val="00A47817"/>
    <w:rsid w:val="00A47965"/>
    <w:rsid w:val="00A47AC6"/>
    <w:rsid w:val="00A47B3E"/>
    <w:rsid w:val="00A47D54"/>
    <w:rsid w:val="00A5014B"/>
    <w:rsid w:val="00A506D1"/>
    <w:rsid w:val="00A51D35"/>
    <w:rsid w:val="00A51E30"/>
    <w:rsid w:val="00A533EA"/>
    <w:rsid w:val="00A533FC"/>
    <w:rsid w:val="00A538DC"/>
    <w:rsid w:val="00A53F9C"/>
    <w:rsid w:val="00A53FB6"/>
    <w:rsid w:val="00A542F1"/>
    <w:rsid w:val="00A54805"/>
    <w:rsid w:val="00A550D9"/>
    <w:rsid w:val="00A5555D"/>
    <w:rsid w:val="00A5580E"/>
    <w:rsid w:val="00A55A33"/>
    <w:rsid w:val="00A55ABE"/>
    <w:rsid w:val="00A55CAD"/>
    <w:rsid w:val="00A55F9D"/>
    <w:rsid w:val="00A5619A"/>
    <w:rsid w:val="00A561CA"/>
    <w:rsid w:val="00A5683B"/>
    <w:rsid w:val="00A56890"/>
    <w:rsid w:val="00A56B7B"/>
    <w:rsid w:val="00A56E8C"/>
    <w:rsid w:val="00A57013"/>
    <w:rsid w:val="00A57D72"/>
    <w:rsid w:val="00A57E6A"/>
    <w:rsid w:val="00A60522"/>
    <w:rsid w:val="00A6072E"/>
    <w:rsid w:val="00A6081D"/>
    <w:rsid w:val="00A60A87"/>
    <w:rsid w:val="00A60C37"/>
    <w:rsid w:val="00A611B9"/>
    <w:rsid w:val="00A61427"/>
    <w:rsid w:val="00A61A55"/>
    <w:rsid w:val="00A620D0"/>
    <w:rsid w:val="00A62232"/>
    <w:rsid w:val="00A6267C"/>
    <w:rsid w:val="00A628CB"/>
    <w:rsid w:val="00A63097"/>
    <w:rsid w:val="00A63422"/>
    <w:rsid w:val="00A63D51"/>
    <w:rsid w:val="00A63FA3"/>
    <w:rsid w:val="00A64B17"/>
    <w:rsid w:val="00A6503A"/>
    <w:rsid w:val="00A653CA"/>
    <w:rsid w:val="00A65B18"/>
    <w:rsid w:val="00A65B6D"/>
    <w:rsid w:val="00A65FB0"/>
    <w:rsid w:val="00A6618B"/>
    <w:rsid w:val="00A6647A"/>
    <w:rsid w:val="00A667FF"/>
    <w:rsid w:val="00A66CE5"/>
    <w:rsid w:val="00A66F4C"/>
    <w:rsid w:val="00A676C0"/>
    <w:rsid w:val="00A677A9"/>
    <w:rsid w:val="00A703EF"/>
    <w:rsid w:val="00A70612"/>
    <w:rsid w:val="00A70B28"/>
    <w:rsid w:val="00A70CA7"/>
    <w:rsid w:val="00A713B3"/>
    <w:rsid w:val="00A71AAF"/>
    <w:rsid w:val="00A72142"/>
    <w:rsid w:val="00A72578"/>
    <w:rsid w:val="00A72D3C"/>
    <w:rsid w:val="00A72ED7"/>
    <w:rsid w:val="00A72F71"/>
    <w:rsid w:val="00A7337F"/>
    <w:rsid w:val="00A733BF"/>
    <w:rsid w:val="00A73537"/>
    <w:rsid w:val="00A73E0C"/>
    <w:rsid w:val="00A73F77"/>
    <w:rsid w:val="00A74452"/>
    <w:rsid w:val="00A74B8C"/>
    <w:rsid w:val="00A74EC9"/>
    <w:rsid w:val="00A7522B"/>
    <w:rsid w:val="00A7543D"/>
    <w:rsid w:val="00A75D28"/>
    <w:rsid w:val="00A76197"/>
    <w:rsid w:val="00A76352"/>
    <w:rsid w:val="00A76585"/>
    <w:rsid w:val="00A765F0"/>
    <w:rsid w:val="00A771D9"/>
    <w:rsid w:val="00A776EB"/>
    <w:rsid w:val="00A77895"/>
    <w:rsid w:val="00A80369"/>
    <w:rsid w:val="00A8076A"/>
    <w:rsid w:val="00A8091F"/>
    <w:rsid w:val="00A80954"/>
    <w:rsid w:val="00A80D15"/>
    <w:rsid w:val="00A8119C"/>
    <w:rsid w:val="00A81645"/>
    <w:rsid w:val="00A8180A"/>
    <w:rsid w:val="00A8188A"/>
    <w:rsid w:val="00A8188E"/>
    <w:rsid w:val="00A81A5D"/>
    <w:rsid w:val="00A81A78"/>
    <w:rsid w:val="00A81CD3"/>
    <w:rsid w:val="00A8234F"/>
    <w:rsid w:val="00A828E1"/>
    <w:rsid w:val="00A82CEA"/>
    <w:rsid w:val="00A82DEA"/>
    <w:rsid w:val="00A83533"/>
    <w:rsid w:val="00A838E4"/>
    <w:rsid w:val="00A83FB6"/>
    <w:rsid w:val="00A841F3"/>
    <w:rsid w:val="00A8442F"/>
    <w:rsid w:val="00A8498A"/>
    <w:rsid w:val="00A84A73"/>
    <w:rsid w:val="00A84A8D"/>
    <w:rsid w:val="00A84C0A"/>
    <w:rsid w:val="00A84C16"/>
    <w:rsid w:val="00A8524E"/>
    <w:rsid w:val="00A857C6"/>
    <w:rsid w:val="00A85C2A"/>
    <w:rsid w:val="00A8639D"/>
    <w:rsid w:val="00A872A4"/>
    <w:rsid w:val="00A87547"/>
    <w:rsid w:val="00A87594"/>
    <w:rsid w:val="00A87F87"/>
    <w:rsid w:val="00A9083C"/>
    <w:rsid w:val="00A909F2"/>
    <w:rsid w:val="00A90D05"/>
    <w:rsid w:val="00A91448"/>
    <w:rsid w:val="00A91533"/>
    <w:rsid w:val="00A928F3"/>
    <w:rsid w:val="00A92C51"/>
    <w:rsid w:val="00A93797"/>
    <w:rsid w:val="00A938A0"/>
    <w:rsid w:val="00A93D44"/>
    <w:rsid w:val="00A9406D"/>
    <w:rsid w:val="00A94195"/>
    <w:rsid w:val="00A945A5"/>
    <w:rsid w:val="00A94EEF"/>
    <w:rsid w:val="00A95106"/>
    <w:rsid w:val="00A9521F"/>
    <w:rsid w:val="00A9539D"/>
    <w:rsid w:val="00A95B0B"/>
    <w:rsid w:val="00A95B19"/>
    <w:rsid w:val="00A96634"/>
    <w:rsid w:val="00A969C4"/>
    <w:rsid w:val="00A970CE"/>
    <w:rsid w:val="00AA081E"/>
    <w:rsid w:val="00AA08FB"/>
    <w:rsid w:val="00AA0ABD"/>
    <w:rsid w:val="00AA0B17"/>
    <w:rsid w:val="00AA0F41"/>
    <w:rsid w:val="00AA1112"/>
    <w:rsid w:val="00AA1484"/>
    <w:rsid w:val="00AA1534"/>
    <w:rsid w:val="00AA16D2"/>
    <w:rsid w:val="00AA1E3E"/>
    <w:rsid w:val="00AA1E60"/>
    <w:rsid w:val="00AA215B"/>
    <w:rsid w:val="00AA24F7"/>
    <w:rsid w:val="00AA24FB"/>
    <w:rsid w:val="00AA29BD"/>
    <w:rsid w:val="00AA2F59"/>
    <w:rsid w:val="00AA3764"/>
    <w:rsid w:val="00AA39B6"/>
    <w:rsid w:val="00AA3CD5"/>
    <w:rsid w:val="00AA3D06"/>
    <w:rsid w:val="00AA4297"/>
    <w:rsid w:val="00AA433D"/>
    <w:rsid w:val="00AA45BC"/>
    <w:rsid w:val="00AA4811"/>
    <w:rsid w:val="00AA4B0E"/>
    <w:rsid w:val="00AA4D9F"/>
    <w:rsid w:val="00AA5A92"/>
    <w:rsid w:val="00AA63BD"/>
    <w:rsid w:val="00AA68C0"/>
    <w:rsid w:val="00AA6ADE"/>
    <w:rsid w:val="00AA6F19"/>
    <w:rsid w:val="00AA703E"/>
    <w:rsid w:val="00AA7BF1"/>
    <w:rsid w:val="00AA7C0F"/>
    <w:rsid w:val="00AA7D6F"/>
    <w:rsid w:val="00AA7F3A"/>
    <w:rsid w:val="00AB0778"/>
    <w:rsid w:val="00AB0CC9"/>
    <w:rsid w:val="00AB1127"/>
    <w:rsid w:val="00AB12B6"/>
    <w:rsid w:val="00AB14EA"/>
    <w:rsid w:val="00AB150D"/>
    <w:rsid w:val="00AB1844"/>
    <w:rsid w:val="00AB1C5B"/>
    <w:rsid w:val="00AB1EC0"/>
    <w:rsid w:val="00AB21A2"/>
    <w:rsid w:val="00AB2A6F"/>
    <w:rsid w:val="00AB2DC7"/>
    <w:rsid w:val="00AB3016"/>
    <w:rsid w:val="00AB313E"/>
    <w:rsid w:val="00AB3B56"/>
    <w:rsid w:val="00AB3BBF"/>
    <w:rsid w:val="00AB4088"/>
    <w:rsid w:val="00AB4413"/>
    <w:rsid w:val="00AB534D"/>
    <w:rsid w:val="00AB54BA"/>
    <w:rsid w:val="00AB588A"/>
    <w:rsid w:val="00AB59A2"/>
    <w:rsid w:val="00AB75BC"/>
    <w:rsid w:val="00AB76D1"/>
    <w:rsid w:val="00AC0034"/>
    <w:rsid w:val="00AC049C"/>
    <w:rsid w:val="00AC0568"/>
    <w:rsid w:val="00AC0748"/>
    <w:rsid w:val="00AC09EB"/>
    <w:rsid w:val="00AC12F9"/>
    <w:rsid w:val="00AC17AF"/>
    <w:rsid w:val="00AC190A"/>
    <w:rsid w:val="00AC1BA8"/>
    <w:rsid w:val="00AC26CB"/>
    <w:rsid w:val="00AC2973"/>
    <w:rsid w:val="00AC2C2A"/>
    <w:rsid w:val="00AC2F26"/>
    <w:rsid w:val="00AC3712"/>
    <w:rsid w:val="00AC42AA"/>
    <w:rsid w:val="00AC4368"/>
    <w:rsid w:val="00AC4544"/>
    <w:rsid w:val="00AC4BE1"/>
    <w:rsid w:val="00AC5225"/>
    <w:rsid w:val="00AC5346"/>
    <w:rsid w:val="00AC54F9"/>
    <w:rsid w:val="00AC5655"/>
    <w:rsid w:val="00AC5B7E"/>
    <w:rsid w:val="00AC5FD2"/>
    <w:rsid w:val="00AC6087"/>
    <w:rsid w:val="00AC6D95"/>
    <w:rsid w:val="00AC7242"/>
    <w:rsid w:val="00AC72A9"/>
    <w:rsid w:val="00AC7C42"/>
    <w:rsid w:val="00AC7D8D"/>
    <w:rsid w:val="00AD0257"/>
    <w:rsid w:val="00AD02A9"/>
    <w:rsid w:val="00AD0765"/>
    <w:rsid w:val="00AD08B8"/>
    <w:rsid w:val="00AD12DB"/>
    <w:rsid w:val="00AD13E7"/>
    <w:rsid w:val="00AD1C88"/>
    <w:rsid w:val="00AD1ED2"/>
    <w:rsid w:val="00AD20FA"/>
    <w:rsid w:val="00AD21B9"/>
    <w:rsid w:val="00AD252A"/>
    <w:rsid w:val="00AD364E"/>
    <w:rsid w:val="00AD381B"/>
    <w:rsid w:val="00AD385B"/>
    <w:rsid w:val="00AD3A71"/>
    <w:rsid w:val="00AD3BAC"/>
    <w:rsid w:val="00AD3C82"/>
    <w:rsid w:val="00AD3CCF"/>
    <w:rsid w:val="00AD3D1E"/>
    <w:rsid w:val="00AD3F81"/>
    <w:rsid w:val="00AD40E0"/>
    <w:rsid w:val="00AD4D05"/>
    <w:rsid w:val="00AD641D"/>
    <w:rsid w:val="00AD6EE6"/>
    <w:rsid w:val="00AD7055"/>
    <w:rsid w:val="00AD71D1"/>
    <w:rsid w:val="00AD7C37"/>
    <w:rsid w:val="00AD7E16"/>
    <w:rsid w:val="00AE094E"/>
    <w:rsid w:val="00AE1770"/>
    <w:rsid w:val="00AE1878"/>
    <w:rsid w:val="00AE1AB3"/>
    <w:rsid w:val="00AE1B2E"/>
    <w:rsid w:val="00AE1FF8"/>
    <w:rsid w:val="00AE20B5"/>
    <w:rsid w:val="00AE22A9"/>
    <w:rsid w:val="00AE2346"/>
    <w:rsid w:val="00AE25E6"/>
    <w:rsid w:val="00AE2D7A"/>
    <w:rsid w:val="00AE3136"/>
    <w:rsid w:val="00AE36A7"/>
    <w:rsid w:val="00AE381D"/>
    <w:rsid w:val="00AE4209"/>
    <w:rsid w:val="00AE4228"/>
    <w:rsid w:val="00AE4885"/>
    <w:rsid w:val="00AE4FE2"/>
    <w:rsid w:val="00AE5058"/>
    <w:rsid w:val="00AE5219"/>
    <w:rsid w:val="00AE54A8"/>
    <w:rsid w:val="00AE55E9"/>
    <w:rsid w:val="00AE57FF"/>
    <w:rsid w:val="00AE595A"/>
    <w:rsid w:val="00AE5B28"/>
    <w:rsid w:val="00AE5BB9"/>
    <w:rsid w:val="00AE5C61"/>
    <w:rsid w:val="00AE5D79"/>
    <w:rsid w:val="00AE61F1"/>
    <w:rsid w:val="00AE6312"/>
    <w:rsid w:val="00AE6A0E"/>
    <w:rsid w:val="00AE6A5D"/>
    <w:rsid w:val="00AE6DC7"/>
    <w:rsid w:val="00AE7211"/>
    <w:rsid w:val="00AE735E"/>
    <w:rsid w:val="00AE76B4"/>
    <w:rsid w:val="00AE7A21"/>
    <w:rsid w:val="00AF00F7"/>
    <w:rsid w:val="00AF05F5"/>
    <w:rsid w:val="00AF09A6"/>
    <w:rsid w:val="00AF0BF2"/>
    <w:rsid w:val="00AF0EA5"/>
    <w:rsid w:val="00AF10BF"/>
    <w:rsid w:val="00AF1110"/>
    <w:rsid w:val="00AF1756"/>
    <w:rsid w:val="00AF195C"/>
    <w:rsid w:val="00AF1E7E"/>
    <w:rsid w:val="00AF1F74"/>
    <w:rsid w:val="00AF2093"/>
    <w:rsid w:val="00AF2172"/>
    <w:rsid w:val="00AF257E"/>
    <w:rsid w:val="00AF260F"/>
    <w:rsid w:val="00AF28F8"/>
    <w:rsid w:val="00AF2A53"/>
    <w:rsid w:val="00AF2FD1"/>
    <w:rsid w:val="00AF3061"/>
    <w:rsid w:val="00AF309C"/>
    <w:rsid w:val="00AF315F"/>
    <w:rsid w:val="00AF34A1"/>
    <w:rsid w:val="00AF3852"/>
    <w:rsid w:val="00AF3B5F"/>
    <w:rsid w:val="00AF3C6F"/>
    <w:rsid w:val="00AF4240"/>
    <w:rsid w:val="00AF4331"/>
    <w:rsid w:val="00AF495F"/>
    <w:rsid w:val="00AF528D"/>
    <w:rsid w:val="00AF5313"/>
    <w:rsid w:val="00AF5C65"/>
    <w:rsid w:val="00AF5F62"/>
    <w:rsid w:val="00AF6321"/>
    <w:rsid w:val="00AF690E"/>
    <w:rsid w:val="00AF69BC"/>
    <w:rsid w:val="00AF6FC2"/>
    <w:rsid w:val="00AF7769"/>
    <w:rsid w:val="00AF7A11"/>
    <w:rsid w:val="00B00412"/>
    <w:rsid w:val="00B00813"/>
    <w:rsid w:val="00B008AA"/>
    <w:rsid w:val="00B00A17"/>
    <w:rsid w:val="00B00BB2"/>
    <w:rsid w:val="00B00BE5"/>
    <w:rsid w:val="00B00E0F"/>
    <w:rsid w:val="00B00E19"/>
    <w:rsid w:val="00B0100F"/>
    <w:rsid w:val="00B01137"/>
    <w:rsid w:val="00B011A7"/>
    <w:rsid w:val="00B016EC"/>
    <w:rsid w:val="00B0198D"/>
    <w:rsid w:val="00B01A21"/>
    <w:rsid w:val="00B01A90"/>
    <w:rsid w:val="00B01EE7"/>
    <w:rsid w:val="00B02111"/>
    <w:rsid w:val="00B02500"/>
    <w:rsid w:val="00B02641"/>
    <w:rsid w:val="00B02959"/>
    <w:rsid w:val="00B02A5F"/>
    <w:rsid w:val="00B03160"/>
    <w:rsid w:val="00B03660"/>
    <w:rsid w:val="00B03791"/>
    <w:rsid w:val="00B038A3"/>
    <w:rsid w:val="00B039E0"/>
    <w:rsid w:val="00B03BFC"/>
    <w:rsid w:val="00B03E53"/>
    <w:rsid w:val="00B048D1"/>
    <w:rsid w:val="00B04B76"/>
    <w:rsid w:val="00B04CBB"/>
    <w:rsid w:val="00B04D52"/>
    <w:rsid w:val="00B054F2"/>
    <w:rsid w:val="00B05571"/>
    <w:rsid w:val="00B055DF"/>
    <w:rsid w:val="00B0596A"/>
    <w:rsid w:val="00B05F12"/>
    <w:rsid w:val="00B05FDE"/>
    <w:rsid w:val="00B069E3"/>
    <w:rsid w:val="00B06BF7"/>
    <w:rsid w:val="00B06FDA"/>
    <w:rsid w:val="00B0717B"/>
    <w:rsid w:val="00B072C2"/>
    <w:rsid w:val="00B072C3"/>
    <w:rsid w:val="00B076A1"/>
    <w:rsid w:val="00B07B29"/>
    <w:rsid w:val="00B07E5A"/>
    <w:rsid w:val="00B103F4"/>
    <w:rsid w:val="00B103F6"/>
    <w:rsid w:val="00B10661"/>
    <w:rsid w:val="00B10910"/>
    <w:rsid w:val="00B10AAF"/>
    <w:rsid w:val="00B11328"/>
    <w:rsid w:val="00B113B8"/>
    <w:rsid w:val="00B11589"/>
    <w:rsid w:val="00B11A58"/>
    <w:rsid w:val="00B11B55"/>
    <w:rsid w:val="00B11E89"/>
    <w:rsid w:val="00B122AF"/>
    <w:rsid w:val="00B122C5"/>
    <w:rsid w:val="00B124FD"/>
    <w:rsid w:val="00B12F69"/>
    <w:rsid w:val="00B1312F"/>
    <w:rsid w:val="00B1318E"/>
    <w:rsid w:val="00B13216"/>
    <w:rsid w:val="00B135F0"/>
    <w:rsid w:val="00B13B49"/>
    <w:rsid w:val="00B141B2"/>
    <w:rsid w:val="00B145D8"/>
    <w:rsid w:val="00B15871"/>
    <w:rsid w:val="00B15B79"/>
    <w:rsid w:val="00B166F4"/>
    <w:rsid w:val="00B16878"/>
    <w:rsid w:val="00B17415"/>
    <w:rsid w:val="00B17A10"/>
    <w:rsid w:val="00B17C4C"/>
    <w:rsid w:val="00B207F7"/>
    <w:rsid w:val="00B2089C"/>
    <w:rsid w:val="00B20A34"/>
    <w:rsid w:val="00B20AC5"/>
    <w:rsid w:val="00B20B47"/>
    <w:rsid w:val="00B20FB3"/>
    <w:rsid w:val="00B20FB5"/>
    <w:rsid w:val="00B2154B"/>
    <w:rsid w:val="00B21BC9"/>
    <w:rsid w:val="00B21CDA"/>
    <w:rsid w:val="00B22681"/>
    <w:rsid w:val="00B228F3"/>
    <w:rsid w:val="00B22BAD"/>
    <w:rsid w:val="00B23139"/>
    <w:rsid w:val="00B23313"/>
    <w:rsid w:val="00B2374B"/>
    <w:rsid w:val="00B24229"/>
    <w:rsid w:val="00B246A1"/>
    <w:rsid w:val="00B24C13"/>
    <w:rsid w:val="00B2572E"/>
    <w:rsid w:val="00B25985"/>
    <w:rsid w:val="00B25C7D"/>
    <w:rsid w:val="00B25E00"/>
    <w:rsid w:val="00B2603F"/>
    <w:rsid w:val="00B260D2"/>
    <w:rsid w:val="00B26313"/>
    <w:rsid w:val="00B2702E"/>
    <w:rsid w:val="00B271CC"/>
    <w:rsid w:val="00B275E4"/>
    <w:rsid w:val="00B27B8F"/>
    <w:rsid w:val="00B27E66"/>
    <w:rsid w:val="00B27EC2"/>
    <w:rsid w:val="00B301F9"/>
    <w:rsid w:val="00B302A2"/>
    <w:rsid w:val="00B30436"/>
    <w:rsid w:val="00B30A44"/>
    <w:rsid w:val="00B30DBD"/>
    <w:rsid w:val="00B30FBA"/>
    <w:rsid w:val="00B311AC"/>
    <w:rsid w:val="00B31291"/>
    <w:rsid w:val="00B312DF"/>
    <w:rsid w:val="00B313BC"/>
    <w:rsid w:val="00B315E9"/>
    <w:rsid w:val="00B31997"/>
    <w:rsid w:val="00B3219D"/>
    <w:rsid w:val="00B32323"/>
    <w:rsid w:val="00B32874"/>
    <w:rsid w:val="00B32C59"/>
    <w:rsid w:val="00B32E4C"/>
    <w:rsid w:val="00B32F76"/>
    <w:rsid w:val="00B33E2C"/>
    <w:rsid w:val="00B34018"/>
    <w:rsid w:val="00B340F8"/>
    <w:rsid w:val="00B34445"/>
    <w:rsid w:val="00B344DA"/>
    <w:rsid w:val="00B345C0"/>
    <w:rsid w:val="00B346AE"/>
    <w:rsid w:val="00B34985"/>
    <w:rsid w:val="00B349A1"/>
    <w:rsid w:val="00B34CEB"/>
    <w:rsid w:val="00B35326"/>
    <w:rsid w:val="00B3553D"/>
    <w:rsid w:val="00B35A1B"/>
    <w:rsid w:val="00B35C18"/>
    <w:rsid w:val="00B35CD8"/>
    <w:rsid w:val="00B35D93"/>
    <w:rsid w:val="00B3607F"/>
    <w:rsid w:val="00B3658B"/>
    <w:rsid w:val="00B36CD1"/>
    <w:rsid w:val="00B3735D"/>
    <w:rsid w:val="00B37874"/>
    <w:rsid w:val="00B378C7"/>
    <w:rsid w:val="00B37A0E"/>
    <w:rsid w:val="00B4016C"/>
    <w:rsid w:val="00B40833"/>
    <w:rsid w:val="00B414E6"/>
    <w:rsid w:val="00B41F0F"/>
    <w:rsid w:val="00B41FE8"/>
    <w:rsid w:val="00B4233B"/>
    <w:rsid w:val="00B42382"/>
    <w:rsid w:val="00B425DA"/>
    <w:rsid w:val="00B42646"/>
    <w:rsid w:val="00B42BF8"/>
    <w:rsid w:val="00B42C10"/>
    <w:rsid w:val="00B42FAF"/>
    <w:rsid w:val="00B43255"/>
    <w:rsid w:val="00B43BF7"/>
    <w:rsid w:val="00B442EF"/>
    <w:rsid w:val="00B460A1"/>
    <w:rsid w:val="00B462C3"/>
    <w:rsid w:val="00B46715"/>
    <w:rsid w:val="00B46FF3"/>
    <w:rsid w:val="00B475BD"/>
    <w:rsid w:val="00B4771B"/>
    <w:rsid w:val="00B47774"/>
    <w:rsid w:val="00B50C25"/>
    <w:rsid w:val="00B51230"/>
    <w:rsid w:val="00B51662"/>
    <w:rsid w:val="00B516C4"/>
    <w:rsid w:val="00B51A22"/>
    <w:rsid w:val="00B51BA0"/>
    <w:rsid w:val="00B51E54"/>
    <w:rsid w:val="00B52006"/>
    <w:rsid w:val="00B52219"/>
    <w:rsid w:val="00B52576"/>
    <w:rsid w:val="00B52AB1"/>
    <w:rsid w:val="00B52CB9"/>
    <w:rsid w:val="00B532EF"/>
    <w:rsid w:val="00B532FC"/>
    <w:rsid w:val="00B53496"/>
    <w:rsid w:val="00B53B1C"/>
    <w:rsid w:val="00B53BD6"/>
    <w:rsid w:val="00B53BE4"/>
    <w:rsid w:val="00B53FF7"/>
    <w:rsid w:val="00B543A9"/>
    <w:rsid w:val="00B543C5"/>
    <w:rsid w:val="00B5475E"/>
    <w:rsid w:val="00B54A55"/>
    <w:rsid w:val="00B54ACD"/>
    <w:rsid w:val="00B55371"/>
    <w:rsid w:val="00B55C43"/>
    <w:rsid w:val="00B5628F"/>
    <w:rsid w:val="00B566E4"/>
    <w:rsid w:val="00B569EC"/>
    <w:rsid w:val="00B574E3"/>
    <w:rsid w:val="00B57633"/>
    <w:rsid w:val="00B576DA"/>
    <w:rsid w:val="00B577AF"/>
    <w:rsid w:val="00B57839"/>
    <w:rsid w:val="00B57EA7"/>
    <w:rsid w:val="00B57EF5"/>
    <w:rsid w:val="00B60176"/>
    <w:rsid w:val="00B605D4"/>
    <w:rsid w:val="00B6135C"/>
    <w:rsid w:val="00B61563"/>
    <w:rsid w:val="00B62407"/>
    <w:rsid w:val="00B627E2"/>
    <w:rsid w:val="00B628E3"/>
    <w:rsid w:val="00B62D07"/>
    <w:rsid w:val="00B63027"/>
    <w:rsid w:val="00B632E6"/>
    <w:rsid w:val="00B637BB"/>
    <w:rsid w:val="00B63D89"/>
    <w:rsid w:val="00B63FC9"/>
    <w:rsid w:val="00B64079"/>
    <w:rsid w:val="00B6429D"/>
    <w:rsid w:val="00B64370"/>
    <w:rsid w:val="00B64EE9"/>
    <w:rsid w:val="00B65094"/>
    <w:rsid w:val="00B65177"/>
    <w:rsid w:val="00B65C66"/>
    <w:rsid w:val="00B65E50"/>
    <w:rsid w:val="00B65F17"/>
    <w:rsid w:val="00B660F0"/>
    <w:rsid w:val="00B661A5"/>
    <w:rsid w:val="00B66A37"/>
    <w:rsid w:val="00B66B2E"/>
    <w:rsid w:val="00B66D10"/>
    <w:rsid w:val="00B66D30"/>
    <w:rsid w:val="00B66EA9"/>
    <w:rsid w:val="00B67622"/>
    <w:rsid w:val="00B676D3"/>
    <w:rsid w:val="00B67FE2"/>
    <w:rsid w:val="00B704F8"/>
    <w:rsid w:val="00B715C0"/>
    <w:rsid w:val="00B71787"/>
    <w:rsid w:val="00B71A90"/>
    <w:rsid w:val="00B71CF6"/>
    <w:rsid w:val="00B72008"/>
    <w:rsid w:val="00B72273"/>
    <w:rsid w:val="00B72A17"/>
    <w:rsid w:val="00B72B7A"/>
    <w:rsid w:val="00B733F8"/>
    <w:rsid w:val="00B7366D"/>
    <w:rsid w:val="00B73AB4"/>
    <w:rsid w:val="00B73AFA"/>
    <w:rsid w:val="00B73E87"/>
    <w:rsid w:val="00B73E95"/>
    <w:rsid w:val="00B74058"/>
    <w:rsid w:val="00B743AA"/>
    <w:rsid w:val="00B74A4E"/>
    <w:rsid w:val="00B74B2F"/>
    <w:rsid w:val="00B74E1C"/>
    <w:rsid w:val="00B74FEB"/>
    <w:rsid w:val="00B75072"/>
    <w:rsid w:val="00B75FA4"/>
    <w:rsid w:val="00B76B5B"/>
    <w:rsid w:val="00B76E4D"/>
    <w:rsid w:val="00B7709D"/>
    <w:rsid w:val="00B77547"/>
    <w:rsid w:val="00B7798D"/>
    <w:rsid w:val="00B77C8F"/>
    <w:rsid w:val="00B77D88"/>
    <w:rsid w:val="00B77F42"/>
    <w:rsid w:val="00B8031C"/>
    <w:rsid w:val="00B80411"/>
    <w:rsid w:val="00B80C37"/>
    <w:rsid w:val="00B80CAC"/>
    <w:rsid w:val="00B80F16"/>
    <w:rsid w:val="00B80F87"/>
    <w:rsid w:val="00B8109A"/>
    <w:rsid w:val="00B810F1"/>
    <w:rsid w:val="00B81653"/>
    <w:rsid w:val="00B81D45"/>
    <w:rsid w:val="00B8248E"/>
    <w:rsid w:val="00B825D2"/>
    <w:rsid w:val="00B828AD"/>
    <w:rsid w:val="00B83015"/>
    <w:rsid w:val="00B83807"/>
    <w:rsid w:val="00B83DEA"/>
    <w:rsid w:val="00B842A4"/>
    <w:rsid w:val="00B8443C"/>
    <w:rsid w:val="00B846EC"/>
    <w:rsid w:val="00B84789"/>
    <w:rsid w:val="00B8488F"/>
    <w:rsid w:val="00B84BB2"/>
    <w:rsid w:val="00B84F7A"/>
    <w:rsid w:val="00B85602"/>
    <w:rsid w:val="00B85813"/>
    <w:rsid w:val="00B85A60"/>
    <w:rsid w:val="00B85C18"/>
    <w:rsid w:val="00B86001"/>
    <w:rsid w:val="00B86371"/>
    <w:rsid w:val="00B866F1"/>
    <w:rsid w:val="00B86B08"/>
    <w:rsid w:val="00B86D95"/>
    <w:rsid w:val="00B86F40"/>
    <w:rsid w:val="00B879E3"/>
    <w:rsid w:val="00B87CCC"/>
    <w:rsid w:val="00B90396"/>
    <w:rsid w:val="00B904A1"/>
    <w:rsid w:val="00B9076D"/>
    <w:rsid w:val="00B909AE"/>
    <w:rsid w:val="00B913D1"/>
    <w:rsid w:val="00B915BF"/>
    <w:rsid w:val="00B91B60"/>
    <w:rsid w:val="00B91C66"/>
    <w:rsid w:val="00B91E0B"/>
    <w:rsid w:val="00B91F6B"/>
    <w:rsid w:val="00B921B0"/>
    <w:rsid w:val="00B92580"/>
    <w:rsid w:val="00B92C81"/>
    <w:rsid w:val="00B935DB"/>
    <w:rsid w:val="00B93797"/>
    <w:rsid w:val="00B9386D"/>
    <w:rsid w:val="00B93B0A"/>
    <w:rsid w:val="00B93E32"/>
    <w:rsid w:val="00B94142"/>
    <w:rsid w:val="00B94264"/>
    <w:rsid w:val="00B95A79"/>
    <w:rsid w:val="00B960AE"/>
    <w:rsid w:val="00B9613E"/>
    <w:rsid w:val="00B9632F"/>
    <w:rsid w:val="00B964D0"/>
    <w:rsid w:val="00B96546"/>
    <w:rsid w:val="00B9733B"/>
    <w:rsid w:val="00B973D3"/>
    <w:rsid w:val="00B9753B"/>
    <w:rsid w:val="00B97E44"/>
    <w:rsid w:val="00B97F5F"/>
    <w:rsid w:val="00BA0141"/>
    <w:rsid w:val="00BA0C7B"/>
    <w:rsid w:val="00BA196D"/>
    <w:rsid w:val="00BA22A4"/>
    <w:rsid w:val="00BA284D"/>
    <w:rsid w:val="00BA28A5"/>
    <w:rsid w:val="00BA2BA2"/>
    <w:rsid w:val="00BA310C"/>
    <w:rsid w:val="00BA3289"/>
    <w:rsid w:val="00BA3BE8"/>
    <w:rsid w:val="00BA405F"/>
    <w:rsid w:val="00BA4234"/>
    <w:rsid w:val="00BA4475"/>
    <w:rsid w:val="00BA4AC4"/>
    <w:rsid w:val="00BA4D65"/>
    <w:rsid w:val="00BA4D82"/>
    <w:rsid w:val="00BA4DE8"/>
    <w:rsid w:val="00BA50FE"/>
    <w:rsid w:val="00BA5918"/>
    <w:rsid w:val="00BA5AFB"/>
    <w:rsid w:val="00BA5C82"/>
    <w:rsid w:val="00BA5CBD"/>
    <w:rsid w:val="00BA5D13"/>
    <w:rsid w:val="00BA5D62"/>
    <w:rsid w:val="00BA5DEA"/>
    <w:rsid w:val="00BA5E45"/>
    <w:rsid w:val="00BA6287"/>
    <w:rsid w:val="00BA629C"/>
    <w:rsid w:val="00BA6427"/>
    <w:rsid w:val="00BA6868"/>
    <w:rsid w:val="00BA7424"/>
    <w:rsid w:val="00BA7A18"/>
    <w:rsid w:val="00BA7C73"/>
    <w:rsid w:val="00BA7DBE"/>
    <w:rsid w:val="00BB01DA"/>
    <w:rsid w:val="00BB0288"/>
    <w:rsid w:val="00BB0942"/>
    <w:rsid w:val="00BB0A23"/>
    <w:rsid w:val="00BB0BE4"/>
    <w:rsid w:val="00BB13FC"/>
    <w:rsid w:val="00BB1755"/>
    <w:rsid w:val="00BB19C3"/>
    <w:rsid w:val="00BB2553"/>
    <w:rsid w:val="00BB2D4C"/>
    <w:rsid w:val="00BB2E45"/>
    <w:rsid w:val="00BB3291"/>
    <w:rsid w:val="00BB3390"/>
    <w:rsid w:val="00BB37EF"/>
    <w:rsid w:val="00BB3B76"/>
    <w:rsid w:val="00BB3C6A"/>
    <w:rsid w:val="00BB3DF0"/>
    <w:rsid w:val="00BB3E35"/>
    <w:rsid w:val="00BB41E2"/>
    <w:rsid w:val="00BB4269"/>
    <w:rsid w:val="00BB4843"/>
    <w:rsid w:val="00BB54FB"/>
    <w:rsid w:val="00BB5685"/>
    <w:rsid w:val="00BB61E1"/>
    <w:rsid w:val="00BB6954"/>
    <w:rsid w:val="00BB6975"/>
    <w:rsid w:val="00BB6C21"/>
    <w:rsid w:val="00BB6D3F"/>
    <w:rsid w:val="00BB71F6"/>
    <w:rsid w:val="00BB7263"/>
    <w:rsid w:val="00BB735D"/>
    <w:rsid w:val="00BB76DF"/>
    <w:rsid w:val="00BB78EC"/>
    <w:rsid w:val="00BB7B8A"/>
    <w:rsid w:val="00BB7CC1"/>
    <w:rsid w:val="00BC0210"/>
    <w:rsid w:val="00BC027B"/>
    <w:rsid w:val="00BC033D"/>
    <w:rsid w:val="00BC0461"/>
    <w:rsid w:val="00BC0CE3"/>
    <w:rsid w:val="00BC0F25"/>
    <w:rsid w:val="00BC191E"/>
    <w:rsid w:val="00BC1B2E"/>
    <w:rsid w:val="00BC1E4B"/>
    <w:rsid w:val="00BC1F65"/>
    <w:rsid w:val="00BC247C"/>
    <w:rsid w:val="00BC24A8"/>
    <w:rsid w:val="00BC24BF"/>
    <w:rsid w:val="00BC258C"/>
    <w:rsid w:val="00BC2715"/>
    <w:rsid w:val="00BC2C45"/>
    <w:rsid w:val="00BC2D26"/>
    <w:rsid w:val="00BC2FBD"/>
    <w:rsid w:val="00BC3F87"/>
    <w:rsid w:val="00BC4038"/>
    <w:rsid w:val="00BC44A4"/>
    <w:rsid w:val="00BC489A"/>
    <w:rsid w:val="00BC4D22"/>
    <w:rsid w:val="00BC4E8A"/>
    <w:rsid w:val="00BC50D5"/>
    <w:rsid w:val="00BC51E4"/>
    <w:rsid w:val="00BC522A"/>
    <w:rsid w:val="00BC52EC"/>
    <w:rsid w:val="00BC573E"/>
    <w:rsid w:val="00BC5CC2"/>
    <w:rsid w:val="00BC668A"/>
    <w:rsid w:val="00BC6B73"/>
    <w:rsid w:val="00BC745C"/>
    <w:rsid w:val="00BC7795"/>
    <w:rsid w:val="00BC7F0B"/>
    <w:rsid w:val="00BD00CE"/>
    <w:rsid w:val="00BD0142"/>
    <w:rsid w:val="00BD0262"/>
    <w:rsid w:val="00BD06BC"/>
    <w:rsid w:val="00BD0831"/>
    <w:rsid w:val="00BD0963"/>
    <w:rsid w:val="00BD09EA"/>
    <w:rsid w:val="00BD09F4"/>
    <w:rsid w:val="00BD0BEB"/>
    <w:rsid w:val="00BD0F87"/>
    <w:rsid w:val="00BD0FCA"/>
    <w:rsid w:val="00BD15A3"/>
    <w:rsid w:val="00BD15E0"/>
    <w:rsid w:val="00BD16D9"/>
    <w:rsid w:val="00BD1936"/>
    <w:rsid w:val="00BD1C8D"/>
    <w:rsid w:val="00BD220E"/>
    <w:rsid w:val="00BD2B12"/>
    <w:rsid w:val="00BD2C56"/>
    <w:rsid w:val="00BD3093"/>
    <w:rsid w:val="00BD33B1"/>
    <w:rsid w:val="00BD34CA"/>
    <w:rsid w:val="00BD3AFD"/>
    <w:rsid w:val="00BD3B32"/>
    <w:rsid w:val="00BD551E"/>
    <w:rsid w:val="00BD5A8A"/>
    <w:rsid w:val="00BD5AB3"/>
    <w:rsid w:val="00BD5BF1"/>
    <w:rsid w:val="00BD6694"/>
    <w:rsid w:val="00BD688C"/>
    <w:rsid w:val="00BD6B47"/>
    <w:rsid w:val="00BD6E43"/>
    <w:rsid w:val="00BD7659"/>
    <w:rsid w:val="00BD7A8B"/>
    <w:rsid w:val="00BE0629"/>
    <w:rsid w:val="00BE0A05"/>
    <w:rsid w:val="00BE0C68"/>
    <w:rsid w:val="00BE0F89"/>
    <w:rsid w:val="00BE112B"/>
    <w:rsid w:val="00BE1BCD"/>
    <w:rsid w:val="00BE1E7B"/>
    <w:rsid w:val="00BE2C8C"/>
    <w:rsid w:val="00BE2E00"/>
    <w:rsid w:val="00BE321B"/>
    <w:rsid w:val="00BE3BE0"/>
    <w:rsid w:val="00BE469B"/>
    <w:rsid w:val="00BE4905"/>
    <w:rsid w:val="00BE4C18"/>
    <w:rsid w:val="00BE4DA1"/>
    <w:rsid w:val="00BE4F77"/>
    <w:rsid w:val="00BE4F88"/>
    <w:rsid w:val="00BE525B"/>
    <w:rsid w:val="00BE58A0"/>
    <w:rsid w:val="00BE59C3"/>
    <w:rsid w:val="00BE5BFE"/>
    <w:rsid w:val="00BE5C8A"/>
    <w:rsid w:val="00BE5FFB"/>
    <w:rsid w:val="00BE60A8"/>
    <w:rsid w:val="00BE60C1"/>
    <w:rsid w:val="00BE663D"/>
    <w:rsid w:val="00BE670D"/>
    <w:rsid w:val="00BE6BE1"/>
    <w:rsid w:val="00BE7706"/>
    <w:rsid w:val="00BE7CB5"/>
    <w:rsid w:val="00BF015A"/>
    <w:rsid w:val="00BF04B4"/>
    <w:rsid w:val="00BF091F"/>
    <w:rsid w:val="00BF14E0"/>
    <w:rsid w:val="00BF1561"/>
    <w:rsid w:val="00BF15E1"/>
    <w:rsid w:val="00BF1828"/>
    <w:rsid w:val="00BF199E"/>
    <w:rsid w:val="00BF1D1D"/>
    <w:rsid w:val="00BF1F28"/>
    <w:rsid w:val="00BF1FF8"/>
    <w:rsid w:val="00BF2291"/>
    <w:rsid w:val="00BF2368"/>
    <w:rsid w:val="00BF25AD"/>
    <w:rsid w:val="00BF367D"/>
    <w:rsid w:val="00BF3971"/>
    <w:rsid w:val="00BF3B97"/>
    <w:rsid w:val="00BF3E2D"/>
    <w:rsid w:val="00BF42BB"/>
    <w:rsid w:val="00BF4378"/>
    <w:rsid w:val="00BF4404"/>
    <w:rsid w:val="00BF446B"/>
    <w:rsid w:val="00BF542C"/>
    <w:rsid w:val="00BF547B"/>
    <w:rsid w:val="00BF5563"/>
    <w:rsid w:val="00BF6084"/>
    <w:rsid w:val="00BF61B4"/>
    <w:rsid w:val="00BF6427"/>
    <w:rsid w:val="00BF6E6A"/>
    <w:rsid w:val="00BF7046"/>
    <w:rsid w:val="00BF712A"/>
    <w:rsid w:val="00BF79D3"/>
    <w:rsid w:val="00BF7A41"/>
    <w:rsid w:val="00BF7E45"/>
    <w:rsid w:val="00C0009E"/>
    <w:rsid w:val="00C0058D"/>
    <w:rsid w:val="00C006A6"/>
    <w:rsid w:val="00C00739"/>
    <w:rsid w:val="00C0073B"/>
    <w:rsid w:val="00C00830"/>
    <w:rsid w:val="00C00856"/>
    <w:rsid w:val="00C00DDA"/>
    <w:rsid w:val="00C00F84"/>
    <w:rsid w:val="00C01639"/>
    <w:rsid w:val="00C01A22"/>
    <w:rsid w:val="00C01AC1"/>
    <w:rsid w:val="00C01B25"/>
    <w:rsid w:val="00C02F81"/>
    <w:rsid w:val="00C03572"/>
    <w:rsid w:val="00C037E5"/>
    <w:rsid w:val="00C03C04"/>
    <w:rsid w:val="00C04048"/>
    <w:rsid w:val="00C0436E"/>
    <w:rsid w:val="00C0443B"/>
    <w:rsid w:val="00C049EF"/>
    <w:rsid w:val="00C04A42"/>
    <w:rsid w:val="00C055B1"/>
    <w:rsid w:val="00C056F7"/>
    <w:rsid w:val="00C05776"/>
    <w:rsid w:val="00C05AB1"/>
    <w:rsid w:val="00C05B98"/>
    <w:rsid w:val="00C0622A"/>
    <w:rsid w:val="00C065BF"/>
    <w:rsid w:val="00C068FC"/>
    <w:rsid w:val="00C07244"/>
    <w:rsid w:val="00C07916"/>
    <w:rsid w:val="00C07C48"/>
    <w:rsid w:val="00C07DD5"/>
    <w:rsid w:val="00C1039B"/>
    <w:rsid w:val="00C105BB"/>
    <w:rsid w:val="00C10A46"/>
    <w:rsid w:val="00C11716"/>
    <w:rsid w:val="00C11766"/>
    <w:rsid w:val="00C12226"/>
    <w:rsid w:val="00C123E4"/>
    <w:rsid w:val="00C12782"/>
    <w:rsid w:val="00C12805"/>
    <w:rsid w:val="00C12D08"/>
    <w:rsid w:val="00C1351E"/>
    <w:rsid w:val="00C137E7"/>
    <w:rsid w:val="00C13ACB"/>
    <w:rsid w:val="00C13B10"/>
    <w:rsid w:val="00C13C4F"/>
    <w:rsid w:val="00C14774"/>
    <w:rsid w:val="00C15596"/>
    <w:rsid w:val="00C15A9B"/>
    <w:rsid w:val="00C15F3A"/>
    <w:rsid w:val="00C16524"/>
    <w:rsid w:val="00C16755"/>
    <w:rsid w:val="00C16819"/>
    <w:rsid w:val="00C16C93"/>
    <w:rsid w:val="00C16CA1"/>
    <w:rsid w:val="00C170D7"/>
    <w:rsid w:val="00C17147"/>
    <w:rsid w:val="00C17392"/>
    <w:rsid w:val="00C173BD"/>
    <w:rsid w:val="00C1762F"/>
    <w:rsid w:val="00C17A34"/>
    <w:rsid w:val="00C20380"/>
    <w:rsid w:val="00C2065E"/>
    <w:rsid w:val="00C208F7"/>
    <w:rsid w:val="00C2134A"/>
    <w:rsid w:val="00C21464"/>
    <w:rsid w:val="00C21521"/>
    <w:rsid w:val="00C217C9"/>
    <w:rsid w:val="00C21820"/>
    <w:rsid w:val="00C21DFB"/>
    <w:rsid w:val="00C220E0"/>
    <w:rsid w:val="00C2218E"/>
    <w:rsid w:val="00C22A29"/>
    <w:rsid w:val="00C233E3"/>
    <w:rsid w:val="00C23578"/>
    <w:rsid w:val="00C237BD"/>
    <w:rsid w:val="00C23B72"/>
    <w:rsid w:val="00C23E97"/>
    <w:rsid w:val="00C23F2F"/>
    <w:rsid w:val="00C24591"/>
    <w:rsid w:val="00C24769"/>
    <w:rsid w:val="00C2494C"/>
    <w:rsid w:val="00C25990"/>
    <w:rsid w:val="00C26751"/>
    <w:rsid w:val="00C26DC8"/>
    <w:rsid w:val="00C2740F"/>
    <w:rsid w:val="00C27430"/>
    <w:rsid w:val="00C27AFE"/>
    <w:rsid w:val="00C30EA1"/>
    <w:rsid w:val="00C312E5"/>
    <w:rsid w:val="00C31316"/>
    <w:rsid w:val="00C314AB"/>
    <w:rsid w:val="00C322E2"/>
    <w:rsid w:val="00C32350"/>
    <w:rsid w:val="00C32C32"/>
    <w:rsid w:val="00C33070"/>
    <w:rsid w:val="00C33644"/>
    <w:rsid w:val="00C33B71"/>
    <w:rsid w:val="00C33DC2"/>
    <w:rsid w:val="00C3444B"/>
    <w:rsid w:val="00C34ADA"/>
    <w:rsid w:val="00C34E56"/>
    <w:rsid w:val="00C35188"/>
    <w:rsid w:val="00C35358"/>
    <w:rsid w:val="00C35958"/>
    <w:rsid w:val="00C36278"/>
    <w:rsid w:val="00C36323"/>
    <w:rsid w:val="00C366E2"/>
    <w:rsid w:val="00C372CB"/>
    <w:rsid w:val="00C377AB"/>
    <w:rsid w:val="00C37B45"/>
    <w:rsid w:val="00C37C06"/>
    <w:rsid w:val="00C4014D"/>
    <w:rsid w:val="00C401CA"/>
    <w:rsid w:val="00C4021E"/>
    <w:rsid w:val="00C404CB"/>
    <w:rsid w:val="00C4078E"/>
    <w:rsid w:val="00C41312"/>
    <w:rsid w:val="00C4197A"/>
    <w:rsid w:val="00C41A64"/>
    <w:rsid w:val="00C41BD9"/>
    <w:rsid w:val="00C41F11"/>
    <w:rsid w:val="00C4246F"/>
    <w:rsid w:val="00C43481"/>
    <w:rsid w:val="00C43651"/>
    <w:rsid w:val="00C43BB7"/>
    <w:rsid w:val="00C44006"/>
    <w:rsid w:val="00C44085"/>
    <w:rsid w:val="00C440AB"/>
    <w:rsid w:val="00C447F2"/>
    <w:rsid w:val="00C44E04"/>
    <w:rsid w:val="00C45471"/>
    <w:rsid w:val="00C45DB4"/>
    <w:rsid w:val="00C46307"/>
    <w:rsid w:val="00C46728"/>
    <w:rsid w:val="00C46828"/>
    <w:rsid w:val="00C4696B"/>
    <w:rsid w:val="00C46A58"/>
    <w:rsid w:val="00C4716B"/>
    <w:rsid w:val="00C47223"/>
    <w:rsid w:val="00C472C2"/>
    <w:rsid w:val="00C47340"/>
    <w:rsid w:val="00C47536"/>
    <w:rsid w:val="00C47749"/>
    <w:rsid w:val="00C4792B"/>
    <w:rsid w:val="00C47EEF"/>
    <w:rsid w:val="00C5069D"/>
    <w:rsid w:val="00C506BC"/>
    <w:rsid w:val="00C50801"/>
    <w:rsid w:val="00C51389"/>
    <w:rsid w:val="00C51814"/>
    <w:rsid w:val="00C519F3"/>
    <w:rsid w:val="00C51E6E"/>
    <w:rsid w:val="00C51FF9"/>
    <w:rsid w:val="00C5218D"/>
    <w:rsid w:val="00C5252B"/>
    <w:rsid w:val="00C52997"/>
    <w:rsid w:val="00C52B17"/>
    <w:rsid w:val="00C52DEE"/>
    <w:rsid w:val="00C53114"/>
    <w:rsid w:val="00C531A3"/>
    <w:rsid w:val="00C53FC6"/>
    <w:rsid w:val="00C54AE3"/>
    <w:rsid w:val="00C54C66"/>
    <w:rsid w:val="00C54D15"/>
    <w:rsid w:val="00C55016"/>
    <w:rsid w:val="00C551F3"/>
    <w:rsid w:val="00C55C9B"/>
    <w:rsid w:val="00C55D72"/>
    <w:rsid w:val="00C55F1D"/>
    <w:rsid w:val="00C5655C"/>
    <w:rsid w:val="00C56670"/>
    <w:rsid w:val="00C56D4B"/>
    <w:rsid w:val="00C56EF6"/>
    <w:rsid w:val="00C5710E"/>
    <w:rsid w:val="00C57A1C"/>
    <w:rsid w:val="00C57F5E"/>
    <w:rsid w:val="00C601DA"/>
    <w:rsid w:val="00C60644"/>
    <w:rsid w:val="00C609B1"/>
    <w:rsid w:val="00C61712"/>
    <w:rsid w:val="00C6176A"/>
    <w:rsid w:val="00C61B27"/>
    <w:rsid w:val="00C61C5C"/>
    <w:rsid w:val="00C623E6"/>
    <w:rsid w:val="00C627D7"/>
    <w:rsid w:val="00C628D2"/>
    <w:rsid w:val="00C62922"/>
    <w:rsid w:val="00C62ACD"/>
    <w:rsid w:val="00C62BD3"/>
    <w:rsid w:val="00C62F1F"/>
    <w:rsid w:val="00C63120"/>
    <w:rsid w:val="00C632CB"/>
    <w:rsid w:val="00C632D8"/>
    <w:rsid w:val="00C63351"/>
    <w:rsid w:val="00C63567"/>
    <w:rsid w:val="00C63A51"/>
    <w:rsid w:val="00C63D42"/>
    <w:rsid w:val="00C64372"/>
    <w:rsid w:val="00C65287"/>
    <w:rsid w:val="00C65A17"/>
    <w:rsid w:val="00C65C7F"/>
    <w:rsid w:val="00C663FC"/>
    <w:rsid w:val="00C66671"/>
    <w:rsid w:val="00C66698"/>
    <w:rsid w:val="00C66864"/>
    <w:rsid w:val="00C66E50"/>
    <w:rsid w:val="00C66F56"/>
    <w:rsid w:val="00C67175"/>
    <w:rsid w:val="00C6727D"/>
    <w:rsid w:val="00C705FE"/>
    <w:rsid w:val="00C7079E"/>
    <w:rsid w:val="00C707FA"/>
    <w:rsid w:val="00C708B7"/>
    <w:rsid w:val="00C70F43"/>
    <w:rsid w:val="00C715AC"/>
    <w:rsid w:val="00C719DD"/>
    <w:rsid w:val="00C71B68"/>
    <w:rsid w:val="00C71F5D"/>
    <w:rsid w:val="00C722B7"/>
    <w:rsid w:val="00C72986"/>
    <w:rsid w:val="00C72A64"/>
    <w:rsid w:val="00C72EF8"/>
    <w:rsid w:val="00C73342"/>
    <w:rsid w:val="00C73AB6"/>
    <w:rsid w:val="00C74104"/>
    <w:rsid w:val="00C741A7"/>
    <w:rsid w:val="00C741EF"/>
    <w:rsid w:val="00C74245"/>
    <w:rsid w:val="00C7511F"/>
    <w:rsid w:val="00C75CE9"/>
    <w:rsid w:val="00C762DC"/>
    <w:rsid w:val="00C763FF"/>
    <w:rsid w:val="00C766C7"/>
    <w:rsid w:val="00C767B1"/>
    <w:rsid w:val="00C774A3"/>
    <w:rsid w:val="00C77BC8"/>
    <w:rsid w:val="00C77F74"/>
    <w:rsid w:val="00C801EF"/>
    <w:rsid w:val="00C80A44"/>
    <w:rsid w:val="00C80C8F"/>
    <w:rsid w:val="00C80E60"/>
    <w:rsid w:val="00C80F41"/>
    <w:rsid w:val="00C80F5B"/>
    <w:rsid w:val="00C814B4"/>
    <w:rsid w:val="00C81B1E"/>
    <w:rsid w:val="00C81BEB"/>
    <w:rsid w:val="00C81D11"/>
    <w:rsid w:val="00C81DD3"/>
    <w:rsid w:val="00C82494"/>
    <w:rsid w:val="00C831E0"/>
    <w:rsid w:val="00C8393C"/>
    <w:rsid w:val="00C83A74"/>
    <w:rsid w:val="00C83A8A"/>
    <w:rsid w:val="00C83FB0"/>
    <w:rsid w:val="00C84627"/>
    <w:rsid w:val="00C847BC"/>
    <w:rsid w:val="00C84E32"/>
    <w:rsid w:val="00C85C1F"/>
    <w:rsid w:val="00C86D9F"/>
    <w:rsid w:val="00C87168"/>
    <w:rsid w:val="00C8726C"/>
    <w:rsid w:val="00C87282"/>
    <w:rsid w:val="00C87833"/>
    <w:rsid w:val="00C87B0E"/>
    <w:rsid w:val="00C87D24"/>
    <w:rsid w:val="00C87D6A"/>
    <w:rsid w:val="00C87F99"/>
    <w:rsid w:val="00C902EC"/>
    <w:rsid w:val="00C90A64"/>
    <w:rsid w:val="00C90E0C"/>
    <w:rsid w:val="00C921E2"/>
    <w:rsid w:val="00C922CE"/>
    <w:rsid w:val="00C924D1"/>
    <w:rsid w:val="00C92586"/>
    <w:rsid w:val="00C92A0D"/>
    <w:rsid w:val="00C92B01"/>
    <w:rsid w:val="00C92C08"/>
    <w:rsid w:val="00C92C60"/>
    <w:rsid w:val="00C92CA8"/>
    <w:rsid w:val="00C9315A"/>
    <w:rsid w:val="00C931F1"/>
    <w:rsid w:val="00C93563"/>
    <w:rsid w:val="00C93667"/>
    <w:rsid w:val="00C93B3E"/>
    <w:rsid w:val="00C93BAC"/>
    <w:rsid w:val="00C93C79"/>
    <w:rsid w:val="00C94643"/>
    <w:rsid w:val="00C94A85"/>
    <w:rsid w:val="00C95593"/>
    <w:rsid w:val="00C95E02"/>
    <w:rsid w:val="00C96342"/>
    <w:rsid w:val="00C9634D"/>
    <w:rsid w:val="00C96827"/>
    <w:rsid w:val="00C9699D"/>
    <w:rsid w:val="00C96A41"/>
    <w:rsid w:val="00C96B7A"/>
    <w:rsid w:val="00C96BAC"/>
    <w:rsid w:val="00C971D7"/>
    <w:rsid w:val="00C97511"/>
    <w:rsid w:val="00C979AE"/>
    <w:rsid w:val="00C97E35"/>
    <w:rsid w:val="00C97EFC"/>
    <w:rsid w:val="00C97FB9"/>
    <w:rsid w:val="00CA0745"/>
    <w:rsid w:val="00CA084B"/>
    <w:rsid w:val="00CA0BE1"/>
    <w:rsid w:val="00CA1741"/>
    <w:rsid w:val="00CA1DAE"/>
    <w:rsid w:val="00CA21AE"/>
    <w:rsid w:val="00CA291B"/>
    <w:rsid w:val="00CA291F"/>
    <w:rsid w:val="00CA2B1B"/>
    <w:rsid w:val="00CA2DB4"/>
    <w:rsid w:val="00CA305A"/>
    <w:rsid w:val="00CA3131"/>
    <w:rsid w:val="00CA3323"/>
    <w:rsid w:val="00CA3583"/>
    <w:rsid w:val="00CA360E"/>
    <w:rsid w:val="00CA3678"/>
    <w:rsid w:val="00CA389A"/>
    <w:rsid w:val="00CA3EE1"/>
    <w:rsid w:val="00CA4395"/>
    <w:rsid w:val="00CA4BF8"/>
    <w:rsid w:val="00CA50EA"/>
    <w:rsid w:val="00CA5E3E"/>
    <w:rsid w:val="00CA5FB6"/>
    <w:rsid w:val="00CA603A"/>
    <w:rsid w:val="00CA657A"/>
    <w:rsid w:val="00CA6702"/>
    <w:rsid w:val="00CA67C2"/>
    <w:rsid w:val="00CA6C60"/>
    <w:rsid w:val="00CA7628"/>
    <w:rsid w:val="00CA76AB"/>
    <w:rsid w:val="00CB0053"/>
    <w:rsid w:val="00CB00FB"/>
    <w:rsid w:val="00CB1518"/>
    <w:rsid w:val="00CB1D7A"/>
    <w:rsid w:val="00CB2306"/>
    <w:rsid w:val="00CB2686"/>
    <w:rsid w:val="00CB287B"/>
    <w:rsid w:val="00CB29EC"/>
    <w:rsid w:val="00CB2B4F"/>
    <w:rsid w:val="00CB2EEF"/>
    <w:rsid w:val="00CB2F2D"/>
    <w:rsid w:val="00CB319F"/>
    <w:rsid w:val="00CB3448"/>
    <w:rsid w:val="00CB345D"/>
    <w:rsid w:val="00CB3733"/>
    <w:rsid w:val="00CB4E26"/>
    <w:rsid w:val="00CB4F12"/>
    <w:rsid w:val="00CB51F4"/>
    <w:rsid w:val="00CB5436"/>
    <w:rsid w:val="00CB5D7F"/>
    <w:rsid w:val="00CB5F43"/>
    <w:rsid w:val="00CB5F46"/>
    <w:rsid w:val="00CB6477"/>
    <w:rsid w:val="00CB66B8"/>
    <w:rsid w:val="00CB6DBE"/>
    <w:rsid w:val="00CB706C"/>
    <w:rsid w:val="00CB7205"/>
    <w:rsid w:val="00CB7E0C"/>
    <w:rsid w:val="00CC00D6"/>
    <w:rsid w:val="00CC042B"/>
    <w:rsid w:val="00CC0B63"/>
    <w:rsid w:val="00CC0EE5"/>
    <w:rsid w:val="00CC10E6"/>
    <w:rsid w:val="00CC1922"/>
    <w:rsid w:val="00CC1AE9"/>
    <w:rsid w:val="00CC1D04"/>
    <w:rsid w:val="00CC2018"/>
    <w:rsid w:val="00CC2079"/>
    <w:rsid w:val="00CC28D7"/>
    <w:rsid w:val="00CC34A8"/>
    <w:rsid w:val="00CC376C"/>
    <w:rsid w:val="00CC3DB4"/>
    <w:rsid w:val="00CC4144"/>
    <w:rsid w:val="00CC42AD"/>
    <w:rsid w:val="00CC47DF"/>
    <w:rsid w:val="00CC528E"/>
    <w:rsid w:val="00CC52ED"/>
    <w:rsid w:val="00CC53C8"/>
    <w:rsid w:val="00CC64F1"/>
    <w:rsid w:val="00CC6645"/>
    <w:rsid w:val="00CC6662"/>
    <w:rsid w:val="00CC6855"/>
    <w:rsid w:val="00CC6998"/>
    <w:rsid w:val="00CC6BE4"/>
    <w:rsid w:val="00CC71FE"/>
    <w:rsid w:val="00CD0152"/>
    <w:rsid w:val="00CD0331"/>
    <w:rsid w:val="00CD07CE"/>
    <w:rsid w:val="00CD0938"/>
    <w:rsid w:val="00CD0CB3"/>
    <w:rsid w:val="00CD10BB"/>
    <w:rsid w:val="00CD14D1"/>
    <w:rsid w:val="00CD1901"/>
    <w:rsid w:val="00CD2BA1"/>
    <w:rsid w:val="00CD30FF"/>
    <w:rsid w:val="00CD314E"/>
    <w:rsid w:val="00CD34B8"/>
    <w:rsid w:val="00CD35F6"/>
    <w:rsid w:val="00CD36AF"/>
    <w:rsid w:val="00CD38EC"/>
    <w:rsid w:val="00CD3C7A"/>
    <w:rsid w:val="00CD3D6A"/>
    <w:rsid w:val="00CD4148"/>
    <w:rsid w:val="00CD4393"/>
    <w:rsid w:val="00CD4A8A"/>
    <w:rsid w:val="00CD4ABC"/>
    <w:rsid w:val="00CD5873"/>
    <w:rsid w:val="00CD5944"/>
    <w:rsid w:val="00CD5C54"/>
    <w:rsid w:val="00CD5E12"/>
    <w:rsid w:val="00CD6C08"/>
    <w:rsid w:val="00CD7330"/>
    <w:rsid w:val="00CD763F"/>
    <w:rsid w:val="00CD7BEB"/>
    <w:rsid w:val="00CD7CA5"/>
    <w:rsid w:val="00CD7F65"/>
    <w:rsid w:val="00CE0909"/>
    <w:rsid w:val="00CE09F8"/>
    <w:rsid w:val="00CE0D1C"/>
    <w:rsid w:val="00CE0DFC"/>
    <w:rsid w:val="00CE0E36"/>
    <w:rsid w:val="00CE0F2D"/>
    <w:rsid w:val="00CE193F"/>
    <w:rsid w:val="00CE19A7"/>
    <w:rsid w:val="00CE296C"/>
    <w:rsid w:val="00CE2C86"/>
    <w:rsid w:val="00CE36CA"/>
    <w:rsid w:val="00CE36D3"/>
    <w:rsid w:val="00CE38F0"/>
    <w:rsid w:val="00CE3FA1"/>
    <w:rsid w:val="00CE4127"/>
    <w:rsid w:val="00CE4298"/>
    <w:rsid w:val="00CE49F2"/>
    <w:rsid w:val="00CE4B6C"/>
    <w:rsid w:val="00CE57C0"/>
    <w:rsid w:val="00CE59B3"/>
    <w:rsid w:val="00CE5EAA"/>
    <w:rsid w:val="00CE63C9"/>
    <w:rsid w:val="00CE6AD0"/>
    <w:rsid w:val="00CE6E24"/>
    <w:rsid w:val="00CE702D"/>
    <w:rsid w:val="00CF0166"/>
    <w:rsid w:val="00CF0B5E"/>
    <w:rsid w:val="00CF1048"/>
    <w:rsid w:val="00CF1A44"/>
    <w:rsid w:val="00CF1BA2"/>
    <w:rsid w:val="00CF1C99"/>
    <w:rsid w:val="00CF1E44"/>
    <w:rsid w:val="00CF204C"/>
    <w:rsid w:val="00CF2059"/>
    <w:rsid w:val="00CF22EC"/>
    <w:rsid w:val="00CF2E94"/>
    <w:rsid w:val="00CF2F3D"/>
    <w:rsid w:val="00CF2FB8"/>
    <w:rsid w:val="00CF3194"/>
    <w:rsid w:val="00CF3829"/>
    <w:rsid w:val="00CF4079"/>
    <w:rsid w:val="00CF51F6"/>
    <w:rsid w:val="00CF5332"/>
    <w:rsid w:val="00CF58E6"/>
    <w:rsid w:val="00CF5A40"/>
    <w:rsid w:val="00CF5AAC"/>
    <w:rsid w:val="00CF5E9B"/>
    <w:rsid w:val="00CF6432"/>
    <w:rsid w:val="00CF6899"/>
    <w:rsid w:val="00CF6A9B"/>
    <w:rsid w:val="00CF6AFB"/>
    <w:rsid w:val="00CF6F7D"/>
    <w:rsid w:val="00CF70E0"/>
    <w:rsid w:val="00CF7349"/>
    <w:rsid w:val="00CF7532"/>
    <w:rsid w:val="00CF7D02"/>
    <w:rsid w:val="00CF7EA4"/>
    <w:rsid w:val="00D00496"/>
    <w:rsid w:val="00D00555"/>
    <w:rsid w:val="00D005FE"/>
    <w:rsid w:val="00D011ED"/>
    <w:rsid w:val="00D01576"/>
    <w:rsid w:val="00D0165C"/>
    <w:rsid w:val="00D0168B"/>
    <w:rsid w:val="00D019C1"/>
    <w:rsid w:val="00D0244C"/>
    <w:rsid w:val="00D02B66"/>
    <w:rsid w:val="00D02BAD"/>
    <w:rsid w:val="00D02DFF"/>
    <w:rsid w:val="00D031B4"/>
    <w:rsid w:val="00D03F5C"/>
    <w:rsid w:val="00D04044"/>
    <w:rsid w:val="00D042D8"/>
    <w:rsid w:val="00D0465A"/>
    <w:rsid w:val="00D047CC"/>
    <w:rsid w:val="00D04A14"/>
    <w:rsid w:val="00D04D7A"/>
    <w:rsid w:val="00D05213"/>
    <w:rsid w:val="00D053B2"/>
    <w:rsid w:val="00D05408"/>
    <w:rsid w:val="00D056D4"/>
    <w:rsid w:val="00D05D1F"/>
    <w:rsid w:val="00D06430"/>
    <w:rsid w:val="00D06AD7"/>
    <w:rsid w:val="00D06D65"/>
    <w:rsid w:val="00D07107"/>
    <w:rsid w:val="00D0723B"/>
    <w:rsid w:val="00D0792A"/>
    <w:rsid w:val="00D100B8"/>
    <w:rsid w:val="00D105A7"/>
    <w:rsid w:val="00D1069B"/>
    <w:rsid w:val="00D1069E"/>
    <w:rsid w:val="00D107F0"/>
    <w:rsid w:val="00D111AC"/>
    <w:rsid w:val="00D11837"/>
    <w:rsid w:val="00D11A22"/>
    <w:rsid w:val="00D11A9D"/>
    <w:rsid w:val="00D11BF2"/>
    <w:rsid w:val="00D11D4C"/>
    <w:rsid w:val="00D11DCA"/>
    <w:rsid w:val="00D12298"/>
    <w:rsid w:val="00D126B9"/>
    <w:rsid w:val="00D1293F"/>
    <w:rsid w:val="00D12BD9"/>
    <w:rsid w:val="00D12C10"/>
    <w:rsid w:val="00D12C26"/>
    <w:rsid w:val="00D12E57"/>
    <w:rsid w:val="00D12F38"/>
    <w:rsid w:val="00D132BF"/>
    <w:rsid w:val="00D13713"/>
    <w:rsid w:val="00D13F41"/>
    <w:rsid w:val="00D14555"/>
    <w:rsid w:val="00D1506B"/>
    <w:rsid w:val="00D15C00"/>
    <w:rsid w:val="00D15DB2"/>
    <w:rsid w:val="00D16378"/>
    <w:rsid w:val="00D16407"/>
    <w:rsid w:val="00D165AB"/>
    <w:rsid w:val="00D16C73"/>
    <w:rsid w:val="00D16D6A"/>
    <w:rsid w:val="00D16E1B"/>
    <w:rsid w:val="00D16F28"/>
    <w:rsid w:val="00D1715D"/>
    <w:rsid w:val="00D175D8"/>
    <w:rsid w:val="00D176DD"/>
    <w:rsid w:val="00D17A3A"/>
    <w:rsid w:val="00D17C6A"/>
    <w:rsid w:val="00D17DA4"/>
    <w:rsid w:val="00D20109"/>
    <w:rsid w:val="00D203D2"/>
    <w:rsid w:val="00D20A58"/>
    <w:rsid w:val="00D20E7F"/>
    <w:rsid w:val="00D20ECD"/>
    <w:rsid w:val="00D21B6F"/>
    <w:rsid w:val="00D2218C"/>
    <w:rsid w:val="00D222C1"/>
    <w:rsid w:val="00D22C7A"/>
    <w:rsid w:val="00D22E29"/>
    <w:rsid w:val="00D22FFB"/>
    <w:rsid w:val="00D2336A"/>
    <w:rsid w:val="00D2361F"/>
    <w:rsid w:val="00D236A6"/>
    <w:rsid w:val="00D23EE6"/>
    <w:rsid w:val="00D23F4F"/>
    <w:rsid w:val="00D241DF"/>
    <w:rsid w:val="00D24A8D"/>
    <w:rsid w:val="00D24EF0"/>
    <w:rsid w:val="00D2519F"/>
    <w:rsid w:val="00D251DE"/>
    <w:rsid w:val="00D255E3"/>
    <w:rsid w:val="00D26106"/>
    <w:rsid w:val="00D26260"/>
    <w:rsid w:val="00D264D6"/>
    <w:rsid w:val="00D2659C"/>
    <w:rsid w:val="00D268EF"/>
    <w:rsid w:val="00D26BCF"/>
    <w:rsid w:val="00D26ED6"/>
    <w:rsid w:val="00D27212"/>
    <w:rsid w:val="00D27AE8"/>
    <w:rsid w:val="00D27E74"/>
    <w:rsid w:val="00D27E7F"/>
    <w:rsid w:val="00D27EA3"/>
    <w:rsid w:val="00D27FF3"/>
    <w:rsid w:val="00D3069B"/>
    <w:rsid w:val="00D30877"/>
    <w:rsid w:val="00D3087E"/>
    <w:rsid w:val="00D311D7"/>
    <w:rsid w:val="00D31230"/>
    <w:rsid w:val="00D313D2"/>
    <w:rsid w:val="00D315A0"/>
    <w:rsid w:val="00D315D3"/>
    <w:rsid w:val="00D31EE0"/>
    <w:rsid w:val="00D32062"/>
    <w:rsid w:val="00D32448"/>
    <w:rsid w:val="00D325A4"/>
    <w:rsid w:val="00D32A40"/>
    <w:rsid w:val="00D32AF7"/>
    <w:rsid w:val="00D32C45"/>
    <w:rsid w:val="00D340A7"/>
    <w:rsid w:val="00D3434E"/>
    <w:rsid w:val="00D3441B"/>
    <w:rsid w:val="00D344ED"/>
    <w:rsid w:val="00D34A04"/>
    <w:rsid w:val="00D353BA"/>
    <w:rsid w:val="00D3547D"/>
    <w:rsid w:val="00D357AD"/>
    <w:rsid w:val="00D36364"/>
    <w:rsid w:val="00D3636F"/>
    <w:rsid w:val="00D3657F"/>
    <w:rsid w:val="00D36EB9"/>
    <w:rsid w:val="00D36FBA"/>
    <w:rsid w:val="00D372AC"/>
    <w:rsid w:val="00D37350"/>
    <w:rsid w:val="00D37C5E"/>
    <w:rsid w:val="00D37E8D"/>
    <w:rsid w:val="00D400B2"/>
    <w:rsid w:val="00D40A35"/>
    <w:rsid w:val="00D40D46"/>
    <w:rsid w:val="00D41DDA"/>
    <w:rsid w:val="00D42066"/>
    <w:rsid w:val="00D4270E"/>
    <w:rsid w:val="00D42A72"/>
    <w:rsid w:val="00D42C10"/>
    <w:rsid w:val="00D42DF5"/>
    <w:rsid w:val="00D434CB"/>
    <w:rsid w:val="00D43822"/>
    <w:rsid w:val="00D442FE"/>
    <w:rsid w:val="00D449F2"/>
    <w:rsid w:val="00D44E9B"/>
    <w:rsid w:val="00D44EB0"/>
    <w:rsid w:val="00D44FA4"/>
    <w:rsid w:val="00D4532C"/>
    <w:rsid w:val="00D45333"/>
    <w:rsid w:val="00D45C3E"/>
    <w:rsid w:val="00D45D8D"/>
    <w:rsid w:val="00D464CE"/>
    <w:rsid w:val="00D466CB"/>
    <w:rsid w:val="00D4698D"/>
    <w:rsid w:val="00D46B1E"/>
    <w:rsid w:val="00D46F6C"/>
    <w:rsid w:val="00D4740B"/>
    <w:rsid w:val="00D47592"/>
    <w:rsid w:val="00D47A30"/>
    <w:rsid w:val="00D47D9B"/>
    <w:rsid w:val="00D506C8"/>
    <w:rsid w:val="00D5125F"/>
    <w:rsid w:val="00D513A2"/>
    <w:rsid w:val="00D51E6F"/>
    <w:rsid w:val="00D52122"/>
    <w:rsid w:val="00D5225C"/>
    <w:rsid w:val="00D523BF"/>
    <w:rsid w:val="00D525B0"/>
    <w:rsid w:val="00D52795"/>
    <w:rsid w:val="00D529AF"/>
    <w:rsid w:val="00D5311C"/>
    <w:rsid w:val="00D5313D"/>
    <w:rsid w:val="00D534B1"/>
    <w:rsid w:val="00D53EAA"/>
    <w:rsid w:val="00D54482"/>
    <w:rsid w:val="00D544C2"/>
    <w:rsid w:val="00D547A8"/>
    <w:rsid w:val="00D54A68"/>
    <w:rsid w:val="00D54E80"/>
    <w:rsid w:val="00D55267"/>
    <w:rsid w:val="00D55C23"/>
    <w:rsid w:val="00D55EE2"/>
    <w:rsid w:val="00D566DF"/>
    <w:rsid w:val="00D56AAB"/>
    <w:rsid w:val="00D56BD5"/>
    <w:rsid w:val="00D56CE1"/>
    <w:rsid w:val="00D56E08"/>
    <w:rsid w:val="00D57607"/>
    <w:rsid w:val="00D577EB"/>
    <w:rsid w:val="00D57C82"/>
    <w:rsid w:val="00D57DCA"/>
    <w:rsid w:val="00D6028B"/>
    <w:rsid w:val="00D603DA"/>
    <w:rsid w:val="00D61040"/>
    <w:rsid w:val="00D61193"/>
    <w:rsid w:val="00D6154A"/>
    <w:rsid w:val="00D61E10"/>
    <w:rsid w:val="00D627AD"/>
    <w:rsid w:val="00D62C53"/>
    <w:rsid w:val="00D62C58"/>
    <w:rsid w:val="00D62CC2"/>
    <w:rsid w:val="00D63012"/>
    <w:rsid w:val="00D63606"/>
    <w:rsid w:val="00D63686"/>
    <w:rsid w:val="00D63EC7"/>
    <w:rsid w:val="00D63F03"/>
    <w:rsid w:val="00D6428A"/>
    <w:rsid w:val="00D6477B"/>
    <w:rsid w:val="00D64CA2"/>
    <w:rsid w:val="00D65031"/>
    <w:rsid w:val="00D65268"/>
    <w:rsid w:val="00D65BB2"/>
    <w:rsid w:val="00D65C4A"/>
    <w:rsid w:val="00D66719"/>
    <w:rsid w:val="00D66A10"/>
    <w:rsid w:val="00D66BDF"/>
    <w:rsid w:val="00D66D44"/>
    <w:rsid w:val="00D66DAB"/>
    <w:rsid w:val="00D67753"/>
    <w:rsid w:val="00D67790"/>
    <w:rsid w:val="00D67ABD"/>
    <w:rsid w:val="00D705E2"/>
    <w:rsid w:val="00D709F7"/>
    <w:rsid w:val="00D70F6A"/>
    <w:rsid w:val="00D7114B"/>
    <w:rsid w:val="00D71543"/>
    <w:rsid w:val="00D71933"/>
    <w:rsid w:val="00D722B9"/>
    <w:rsid w:val="00D72E70"/>
    <w:rsid w:val="00D730E9"/>
    <w:rsid w:val="00D73322"/>
    <w:rsid w:val="00D736A7"/>
    <w:rsid w:val="00D73ED3"/>
    <w:rsid w:val="00D74576"/>
    <w:rsid w:val="00D746FF"/>
    <w:rsid w:val="00D747E3"/>
    <w:rsid w:val="00D750C0"/>
    <w:rsid w:val="00D75178"/>
    <w:rsid w:val="00D752CC"/>
    <w:rsid w:val="00D75467"/>
    <w:rsid w:val="00D75569"/>
    <w:rsid w:val="00D75838"/>
    <w:rsid w:val="00D75ABD"/>
    <w:rsid w:val="00D75D03"/>
    <w:rsid w:val="00D75D90"/>
    <w:rsid w:val="00D75DCA"/>
    <w:rsid w:val="00D769AC"/>
    <w:rsid w:val="00D76B20"/>
    <w:rsid w:val="00D76EBE"/>
    <w:rsid w:val="00D77087"/>
    <w:rsid w:val="00D77167"/>
    <w:rsid w:val="00D77604"/>
    <w:rsid w:val="00D8068C"/>
    <w:rsid w:val="00D80703"/>
    <w:rsid w:val="00D80886"/>
    <w:rsid w:val="00D80A07"/>
    <w:rsid w:val="00D8139F"/>
    <w:rsid w:val="00D817BC"/>
    <w:rsid w:val="00D81840"/>
    <w:rsid w:val="00D81AEE"/>
    <w:rsid w:val="00D81BD5"/>
    <w:rsid w:val="00D81DF3"/>
    <w:rsid w:val="00D81F22"/>
    <w:rsid w:val="00D828FE"/>
    <w:rsid w:val="00D8297C"/>
    <w:rsid w:val="00D82B20"/>
    <w:rsid w:val="00D82E93"/>
    <w:rsid w:val="00D82F12"/>
    <w:rsid w:val="00D83080"/>
    <w:rsid w:val="00D8330F"/>
    <w:rsid w:val="00D83319"/>
    <w:rsid w:val="00D838ED"/>
    <w:rsid w:val="00D83ACB"/>
    <w:rsid w:val="00D83BB6"/>
    <w:rsid w:val="00D83C96"/>
    <w:rsid w:val="00D84B33"/>
    <w:rsid w:val="00D84E1C"/>
    <w:rsid w:val="00D852F8"/>
    <w:rsid w:val="00D85FAE"/>
    <w:rsid w:val="00D862D5"/>
    <w:rsid w:val="00D863FA"/>
    <w:rsid w:val="00D86464"/>
    <w:rsid w:val="00D8649D"/>
    <w:rsid w:val="00D864B5"/>
    <w:rsid w:val="00D867F2"/>
    <w:rsid w:val="00D86B14"/>
    <w:rsid w:val="00D86F9B"/>
    <w:rsid w:val="00D87108"/>
    <w:rsid w:val="00D87583"/>
    <w:rsid w:val="00D87D8F"/>
    <w:rsid w:val="00D87E0D"/>
    <w:rsid w:val="00D903FD"/>
    <w:rsid w:val="00D90BBB"/>
    <w:rsid w:val="00D91283"/>
    <w:rsid w:val="00D91635"/>
    <w:rsid w:val="00D92115"/>
    <w:rsid w:val="00D926E8"/>
    <w:rsid w:val="00D92A8D"/>
    <w:rsid w:val="00D93102"/>
    <w:rsid w:val="00D9335F"/>
    <w:rsid w:val="00D9336B"/>
    <w:rsid w:val="00D93510"/>
    <w:rsid w:val="00D93705"/>
    <w:rsid w:val="00D93EFB"/>
    <w:rsid w:val="00D94165"/>
    <w:rsid w:val="00D9451C"/>
    <w:rsid w:val="00D947CC"/>
    <w:rsid w:val="00D94C10"/>
    <w:rsid w:val="00D94D03"/>
    <w:rsid w:val="00D94F03"/>
    <w:rsid w:val="00D95F8D"/>
    <w:rsid w:val="00D96067"/>
    <w:rsid w:val="00D960B4"/>
    <w:rsid w:val="00D969FB"/>
    <w:rsid w:val="00D96FF2"/>
    <w:rsid w:val="00D972A7"/>
    <w:rsid w:val="00D9784E"/>
    <w:rsid w:val="00D97A2F"/>
    <w:rsid w:val="00D97C6A"/>
    <w:rsid w:val="00DA0000"/>
    <w:rsid w:val="00DA0503"/>
    <w:rsid w:val="00DA08A9"/>
    <w:rsid w:val="00DA0BAE"/>
    <w:rsid w:val="00DA10C2"/>
    <w:rsid w:val="00DA10D3"/>
    <w:rsid w:val="00DA1603"/>
    <w:rsid w:val="00DA1825"/>
    <w:rsid w:val="00DA2139"/>
    <w:rsid w:val="00DA234E"/>
    <w:rsid w:val="00DA2678"/>
    <w:rsid w:val="00DA2AB9"/>
    <w:rsid w:val="00DA2AC1"/>
    <w:rsid w:val="00DA2D00"/>
    <w:rsid w:val="00DA33A8"/>
    <w:rsid w:val="00DA3823"/>
    <w:rsid w:val="00DA3B62"/>
    <w:rsid w:val="00DA3E30"/>
    <w:rsid w:val="00DA3F43"/>
    <w:rsid w:val="00DA4263"/>
    <w:rsid w:val="00DA45B7"/>
    <w:rsid w:val="00DA4CE5"/>
    <w:rsid w:val="00DA4EA4"/>
    <w:rsid w:val="00DA5712"/>
    <w:rsid w:val="00DA6580"/>
    <w:rsid w:val="00DA66C7"/>
    <w:rsid w:val="00DA6D2B"/>
    <w:rsid w:val="00DA7019"/>
    <w:rsid w:val="00DA7874"/>
    <w:rsid w:val="00DB029C"/>
    <w:rsid w:val="00DB0372"/>
    <w:rsid w:val="00DB1710"/>
    <w:rsid w:val="00DB1E04"/>
    <w:rsid w:val="00DB1EA7"/>
    <w:rsid w:val="00DB20CA"/>
    <w:rsid w:val="00DB21DF"/>
    <w:rsid w:val="00DB2B52"/>
    <w:rsid w:val="00DB2C24"/>
    <w:rsid w:val="00DB2C8F"/>
    <w:rsid w:val="00DB2E26"/>
    <w:rsid w:val="00DB2F1C"/>
    <w:rsid w:val="00DB3047"/>
    <w:rsid w:val="00DB3B2E"/>
    <w:rsid w:val="00DB4617"/>
    <w:rsid w:val="00DB4A14"/>
    <w:rsid w:val="00DB4B1A"/>
    <w:rsid w:val="00DB4F87"/>
    <w:rsid w:val="00DB6045"/>
    <w:rsid w:val="00DB6360"/>
    <w:rsid w:val="00DB6468"/>
    <w:rsid w:val="00DB672B"/>
    <w:rsid w:val="00DB689E"/>
    <w:rsid w:val="00DB7272"/>
    <w:rsid w:val="00DB7479"/>
    <w:rsid w:val="00DB7FDB"/>
    <w:rsid w:val="00DC0499"/>
    <w:rsid w:val="00DC05D4"/>
    <w:rsid w:val="00DC0B40"/>
    <w:rsid w:val="00DC0C99"/>
    <w:rsid w:val="00DC1606"/>
    <w:rsid w:val="00DC1B7B"/>
    <w:rsid w:val="00DC1C4E"/>
    <w:rsid w:val="00DC2731"/>
    <w:rsid w:val="00DC2811"/>
    <w:rsid w:val="00DC2E13"/>
    <w:rsid w:val="00DC2FC1"/>
    <w:rsid w:val="00DC35D4"/>
    <w:rsid w:val="00DC3816"/>
    <w:rsid w:val="00DC3A2D"/>
    <w:rsid w:val="00DC3A87"/>
    <w:rsid w:val="00DC3B7D"/>
    <w:rsid w:val="00DC3FD5"/>
    <w:rsid w:val="00DC4473"/>
    <w:rsid w:val="00DC4511"/>
    <w:rsid w:val="00DC5282"/>
    <w:rsid w:val="00DC670B"/>
    <w:rsid w:val="00DC6D9F"/>
    <w:rsid w:val="00DC6E41"/>
    <w:rsid w:val="00DC6E5B"/>
    <w:rsid w:val="00DC70EA"/>
    <w:rsid w:val="00DC7596"/>
    <w:rsid w:val="00DC7679"/>
    <w:rsid w:val="00DC776D"/>
    <w:rsid w:val="00DC7A8A"/>
    <w:rsid w:val="00DC7CCD"/>
    <w:rsid w:val="00DC7CFF"/>
    <w:rsid w:val="00DD06AB"/>
    <w:rsid w:val="00DD070A"/>
    <w:rsid w:val="00DD1803"/>
    <w:rsid w:val="00DD1891"/>
    <w:rsid w:val="00DD1CAB"/>
    <w:rsid w:val="00DD1D50"/>
    <w:rsid w:val="00DD1F8D"/>
    <w:rsid w:val="00DD2323"/>
    <w:rsid w:val="00DD2C80"/>
    <w:rsid w:val="00DD2E10"/>
    <w:rsid w:val="00DD3430"/>
    <w:rsid w:val="00DD3BCC"/>
    <w:rsid w:val="00DD3D3B"/>
    <w:rsid w:val="00DD3E58"/>
    <w:rsid w:val="00DD4559"/>
    <w:rsid w:val="00DD4AED"/>
    <w:rsid w:val="00DD4D7B"/>
    <w:rsid w:val="00DD5154"/>
    <w:rsid w:val="00DD5437"/>
    <w:rsid w:val="00DD56C3"/>
    <w:rsid w:val="00DD56EA"/>
    <w:rsid w:val="00DD5A0F"/>
    <w:rsid w:val="00DD5A76"/>
    <w:rsid w:val="00DD6083"/>
    <w:rsid w:val="00DD6904"/>
    <w:rsid w:val="00DD6F1D"/>
    <w:rsid w:val="00DD74DC"/>
    <w:rsid w:val="00DD7771"/>
    <w:rsid w:val="00DD78FF"/>
    <w:rsid w:val="00DD7918"/>
    <w:rsid w:val="00DD797C"/>
    <w:rsid w:val="00DE01F9"/>
    <w:rsid w:val="00DE07D2"/>
    <w:rsid w:val="00DE195A"/>
    <w:rsid w:val="00DE1A87"/>
    <w:rsid w:val="00DE1B29"/>
    <w:rsid w:val="00DE2048"/>
    <w:rsid w:val="00DE2AD7"/>
    <w:rsid w:val="00DE2B09"/>
    <w:rsid w:val="00DE2B24"/>
    <w:rsid w:val="00DE2BB3"/>
    <w:rsid w:val="00DE3D60"/>
    <w:rsid w:val="00DE3E7F"/>
    <w:rsid w:val="00DE4935"/>
    <w:rsid w:val="00DE49B0"/>
    <w:rsid w:val="00DE4C66"/>
    <w:rsid w:val="00DE542E"/>
    <w:rsid w:val="00DE5484"/>
    <w:rsid w:val="00DE5E16"/>
    <w:rsid w:val="00DE6067"/>
    <w:rsid w:val="00DE644F"/>
    <w:rsid w:val="00DE6534"/>
    <w:rsid w:val="00DE6694"/>
    <w:rsid w:val="00DE6A4A"/>
    <w:rsid w:val="00DE6CF6"/>
    <w:rsid w:val="00DE6D66"/>
    <w:rsid w:val="00DE6FDE"/>
    <w:rsid w:val="00DE7301"/>
    <w:rsid w:val="00DE7338"/>
    <w:rsid w:val="00DE7C2F"/>
    <w:rsid w:val="00DE7C7A"/>
    <w:rsid w:val="00DF0CAD"/>
    <w:rsid w:val="00DF0D26"/>
    <w:rsid w:val="00DF0D54"/>
    <w:rsid w:val="00DF1061"/>
    <w:rsid w:val="00DF16AD"/>
    <w:rsid w:val="00DF198E"/>
    <w:rsid w:val="00DF1B2C"/>
    <w:rsid w:val="00DF1D2D"/>
    <w:rsid w:val="00DF2106"/>
    <w:rsid w:val="00DF2400"/>
    <w:rsid w:val="00DF2405"/>
    <w:rsid w:val="00DF287A"/>
    <w:rsid w:val="00DF2A8B"/>
    <w:rsid w:val="00DF2F3A"/>
    <w:rsid w:val="00DF2FE9"/>
    <w:rsid w:val="00DF3283"/>
    <w:rsid w:val="00DF4233"/>
    <w:rsid w:val="00DF4340"/>
    <w:rsid w:val="00DF4BC7"/>
    <w:rsid w:val="00DF4E70"/>
    <w:rsid w:val="00DF51D5"/>
    <w:rsid w:val="00DF5217"/>
    <w:rsid w:val="00DF5327"/>
    <w:rsid w:val="00DF5F3B"/>
    <w:rsid w:val="00DF5F57"/>
    <w:rsid w:val="00DF637B"/>
    <w:rsid w:val="00DF63D7"/>
    <w:rsid w:val="00DF6D44"/>
    <w:rsid w:val="00DF6D71"/>
    <w:rsid w:val="00DF724C"/>
    <w:rsid w:val="00DF73DC"/>
    <w:rsid w:val="00DF77F3"/>
    <w:rsid w:val="00DF7840"/>
    <w:rsid w:val="00DF79FC"/>
    <w:rsid w:val="00DF7C4E"/>
    <w:rsid w:val="00DF7CA6"/>
    <w:rsid w:val="00DF7F1E"/>
    <w:rsid w:val="00DF7F41"/>
    <w:rsid w:val="00E00327"/>
    <w:rsid w:val="00E00A1E"/>
    <w:rsid w:val="00E00D54"/>
    <w:rsid w:val="00E01201"/>
    <w:rsid w:val="00E012C4"/>
    <w:rsid w:val="00E01F2E"/>
    <w:rsid w:val="00E02279"/>
    <w:rsid w:val="00E022DD"/>
    <w:rsid w:val="00E02E6E"/>
    <w:rsid w:val="00E02F79"/>
    <w:rsid w:val="00E0313C"/>
    <w:rsid w:val="00E03193"/>
    <w:rsid w:val="00E032BF"/>
    <w:rsid w:val="00E03B6A"/>
    <w:rsid w:val="00E03CE4"/>
    <w:rsid w:val="00E03D84"/>
    <w:rsid w:val="00E04CB9"/>
    <w:rsid w:val="00E05DB7"/>
    <w:rsid w:val="00E06134"/>
    <w:rsid w:val="00E06185"/>
    <w:rsid w:val="00E068E3"/>
    <w:rsid w:val="00E06E66"/>
    <w:rsid w:val="00E06F57"/>
    <w:rsid w:val="00E07869"/>
    <w:rsid w:val="00E0786C"/>
    <w:rsid w:val="00E07A6E"/>
    <w:rsid w:val="00E07FA2"/>
    <w:rsid w:val="00E10012"/>
    <w:rsid w:val="00E10285"/>
    <w:rsid w:val="00E1046A"/>
    <w:rsid w:val="00E10705"/>
    <w:rsid w:val="00E10AAF"/>
    <w:rsid w:val="00E10BA1"/>
    <w:rsid w:val="00E10F55"/>
    <w:rsid w:val="00E11C06"/>
    <w:rsid w:val="00E11DC1"/>
    <w:rsid w:val="00E11F42"/>
    <w:rsid w:val="00E12576"/>
    <w:rsid w:val="00E1274B"/>
    <w:rsid w:val="00E132BA"/>
    <w:rsid w:val="00E15269"/>
    <w:rsid w:val="00E1584C"/>
    <w:rsid w:val="00E15BE6"/>
    <w:rsid w:val="00E16069"/>
    <w:rsid w:val="00E1625A"/>
    <w:rsid w:val="00E16438"/>
    <w:rsid w:val="00E167AD"/>
    <w:rsid w:val="00E16B9C"/>
    <w:rsid w:val="00E17023"/>
    <w:rsid w:val="00E17506"/>
    <w:rsid w:val="00E17859"/>
    <w:rsid w:val="00E17863"/>
    <w:rsid w:val="00E17A5B"/>
    <w:rsid w:val="00E17CAD"/>
    <w:rsid w:val="00E17E3D"/>
    <w:rsid w:val="00E201A0"/>
    <w:rsid w:val="00E201D3"/>
    <w:rsid w:val="00E205A5"/>
    <w:rsid w:val="00E207BB"/>
    <w:rsid w:val="00E212CB"/>
    <w:rsid w:val="00E2136B"/>
    <w:rsid w:val="00E21500"/>
    <w:rsid w:val="00E21743"/>
    <w:rsid w:val="00E21A2C"/>
    <w:rsid w:val="00E21BF5"/>
    <w:rsid w:val="00E21C04"/>
    <w:rsid w:val="00E21C92"/>
    <w:rsid w:val="00E21F79"/>
    <w:rsid w:val="00E22AB9"/>
    <w:rsid w:val="00E22F8E"/>
    <w:rsid w:val="00E230FC"/>
    <w:rsid w:val="00E23230"/>
    <w:rsid w:val="00E237AE"/>
    <w:rsid w:val="00E24B84"/>
    <w:rsid w:val="00E24BDD"/>
    <w:rsid w:val="00E2562A"/>
    <w:rsid w:val="00E25857"/>
    <w:rsid w:val="00E25B29"/>
    <w:rsid w:val="00E25C24"/>
    <w:rsid w:val="00E25E83"/>
    <w:rsid w:val="00E25F5F"/>
    <w:rsid w:val="00E263F9"/>
    <w:rsid w:val="00E26488"/>
    <w:rsid w:val="00E266E2"/>
    <w:rsid w:val="00E2671D"/>
    <w:rsid w:val="00E26C1B"/>
    <w:rsid w:val="00E2716B"/>
    <w:rsid w:val="00E273C1"/>
    <w:rsid w:val="00E27C5A"/>
    <w:rsid w:val="00E27E90"/>
    <w:rsid w:val="00E30385"/>
    <w:rsid w:val="00E304AC"/>
    <w:rsid w:val="00E308A5"/>
    <w:rsid w:val="00E30B7E"/>
    <w:rsid w:val="00E30CE8"/>
    <w:rsid w:val="00E312C6"/>
    <w:rsid w:val="00E3141A"/>
    <w:rsid w:val="00E318CC"/>
    <w:rsid w:val="00E31DE5"/>
    <w:rsid w:val="00E32039"/>
    <w:rsid w:val="00E32247"/>
    <w:rsid w:val="00E32875"/>
    <w:rsid w:val="00E32959"/>
    <w:rsid w:val="00E32CE4"/>
    <w:rsid w:val="00E32D96"/>
    <w:rsid w:val="00E33238"/>
    <w:rsid w:val="00E33BA9"/>
    <w:rsid w:val="00E33C28"/>
    <w:rsid w:val="00E3408A"/>
    <w:rsid w:val="00E3424C"/>
    <w:rsid w:val="00E344C0"/>
    <w:rsid w:val="00E34744"/>
    <w:rsid w:val="00E34902"/>
    <w:rsid w:val="00E34A63"/>
    <w:rsid w:val="00E34B06"/>
    <w:rsid w:val="00E34E54"/>
    <w:rsid w:val="00E35424"/>
    <w:rsid w:val="00E35495"/>
    <w:rsid w:val="00E35E2E"/>
    <w:rsid w:val="00E36021"/>
    <w:rsid w:val="00E363C6"/>
    <w:rsid w:val="00E3681E"/>
    <w:rsid w:val="00E36939"/>
    <w:rsid w:val="00E36B5C"/>
    <w:rsid w:val="00E3736C"/>
    <w:rsid w:val="00E408EA"/>
    <w:rsid w:val="00E40F01"/>
    <w:rsid w:val="00E41151"/>
    <w:rsid w:val="00E418C8"/>
    <w:rsid w:val="00E41F97"/>
    <w:rsid w:val="00E42AB4"/>
    <w:rsid w:val="00E43062"/>
    <w:rsid w:val="00E43245"/>
    <w:rsid w:val="00E43274"/>
    <w:rsid w:val="00E433DD"/>
    <w:rsid w:val="00E4352D"/>
    <w:rsid w:val="00E435B2"/>
    <w:rsid w:val="00E43B9D"/>
    <w:rsid w:val="00E43BA5"/>
    <w:rsid w:val="00E43BD4"/>
    <w:rsid w:val="00E43D49"/>
    <w:rsid w:val="00E43EBA"/>
    <w:rsid w:val="00E440D1"/>
    <w:rsid w:val="00E44863"/>
    <w:rsid w:val="00E4498D"/>
    <w:rsid w:val="00E44FE3"/>
    <w:rsid w:val="00E45177"/>
    <w:rsid w:val="00E45632"/>
    <w:rsid w:val="00E45931"/>
    <w:rsid w:val="00E469B3"/>
    <w:rsid w:val="00E46BA0"/>
    <w:rsid w:val="00E46E88"/>
    <w:rsid w:val="00E46ED1"/>
    <w:rsid w:val="00E47584"/>
    <w:rsid w:val="00E477FB"/>
    <w:rsid w:val="00E4788E"/>
    <w:rsid w:val="00E478B1"/>
    <w:rsid w:val="00E47ADC"/>
    <w:rsid w:val="00E501F3"/>
    <w:rsid w:val="00E50264"/>
    <w:rsid w:val="00E502D1"/>
    <w:rsid w:val="00E506BE"/>
    <w:rsid w:val="00E50A1E"/>
    <w:rsid w:val="00E5105C"/>
    <w:rsid w:val="00E51288"/>
    <w:rsid w:val="00E5131C"/>
    <w:rsid w:val="00E51BC1"/>
    <w:rsid w:val="00E52E87"/>
    <w:rsid w:val="00E52FC2"/>
    <w:rsid w:val="00E536E0"/>
    <w:rsid w:val="00E53A9F"/>
    <w:rsid w:val="00E53AD2"/>
    <w:rsid w:val="00E53F13"/>
    <w:rsid w:val="00E54364"/>
    <w:rsid w:val="00E5447F"/>
    <w:rsid w:val="00E5498D"/>
    <w:rsid w:val="00E54A31"/>
    <w:rsid w:val="00E55667"/>
    <w:rsid w:val="00E556A0"/>
    <w:rsid w:val="00E55907"/>
    <w:rsid w:val="00E55CA9"/>
    <w:rsid w:val="00E55E00"/>
    <w:rsid w:val="00E565AB"/>
    <w:rsid w:val="00E567FD"/>
    <w:rsid w:val="00E56905"/>
    <w:rsid w:val="00E56981"/>
    <w:rsid w:val="00E56ACA"/>
    <w:rsid w:val="00E56F83"/>
    <w:rsid w:val="00E571A3"/>
    <w:rsid w:val="00E57247"/>
    <w:rsid w:val="00E573C8"/>
    <w:rsid w:val="00E5751F"/>
    <w:rsid w:val="00E575DD"/>
    <w:rsid w:val="00E57682"/>
    <w:rsid w:val="00E576BD"/>
    <w:rsid w:val="00E6010F"/>
    <w:rsid w:val="00E601BB"/>
    <w:rsid w:val="00E60697"/>
    <w:rsid w:val="00E60E1E"/>
    <w:rsid w:val="00E60F12"/>
    <w:rsid w:val="00E61147"/>
    <w:rsid w:val="00E61338"/>
    <w:rsid w:val="00E614F9"/>
    <w:rsid w:val="00E61BC7"/>
    <w:rsid w:val="00E61BF3"/>
    <w:rsid w:val="00E61C1C"/>
    <w:rsid w:val="00E62552"/>
    <w:rsid w:val="00E62825"/>
    <w:rsid w:val="00E628C5"/>
    <w:rsid w:val="00E62B63"/>
    <w:rsid w:val="00E62D00"/>
    <w:rsid w:val="00E62D8D"/>
    <w:rsid w:val="00E630D2"/>
    <w:rsid w:val="00E63A4B"/>
    <w:rsid w:val="00E63E53"/>
    <w:rsid w:val="00E64FF9"/>
    <w:rsid w:val="00E6513F"/>
    <w:rsid w:val="00E6549C"/>
    <w:rsid w:val="00E65763"/>
    <w:rsid w:val="00E657C6"/>
    <w:rsid w:val="00E65A53"/>
    <w:rsid w:val="00E65BFF"/>
    <w:rsid w:val="00E65C0B"/>
    <w:rsid w:val="00E66067"/>
    <w:rsid w:val="00E6679B"/>
    <w:rsid w:val="00E66E32"/>
    <w:rsid w:val="00E67001"/>
    <w:rsid w:val="00E670EB"/>
    <w:rsid w:val="00E67914"/>
    <w:rsid w:val="00E67A22"/>
    <w:rsid w:val="00E70112"/>
    <w:rsid w:val="00E70568"/>
    <w:rsid w:val="00E70DF2"/>
    <w:rsid w:val="00E70F24"/>
    <w:rsid w:val="00E71034"/>
    <w:rsid w:val="00E71F66"/>
    <w:rsid w:val="00E71FE3"/>
    <w:rsid w:val="00E72196"/>
    <w:rsid w:val="00E72443"/>
    <w:rsid w:val="00E72530"/>
    <w:rsid w:val="00E72D1C"/>
    <w:rsid w:val="00E73032"/>
    <w:rsid w:val="00E734C3"/>
    <w:rsid w:val="00E736D0"/>
    <w:rsid w:val="00E73AC0"/>
    <w:rsid w:val="00E73F4D"/>
    <w:rsid w:val="00E747D9"/>
    <w:rsid w:val="00E75122"/>
    <w:rsid w:val="00E752BB"/>
    <w:rsid w:val="00E75983"/>
    <w:rsid w:val="00E75EA7"/>
    <w:rsid w:val="00E762FC"/>
    <w:rsid w:val="00E7665D"/>
    <w:rsid w:val="00E7695B"/>
    <w:rsid w:val="00E7716F"/>
    <w:rsid w:val="00E77423"/>
    <w:rsid w:val="00E7781C"/>
    <w:rsid w:val="00E778A7"/>
    <w:rsid w:val="00E77C01"/>
    <w:rsid w:val="00E80696"/>
    <w:rsid w:val="00E80AA1"/>
    <w:rsid w:val="00E80DEA"/>
    <w:rsid w:val="00E80E8E"/>
    <w:rsid w:val="00E813A7"/>
    <w:rsid w:val="00E815B3"/>
    <w:rsid w:val="00E8181E"/>
    <w:rsid w:val="00E81923"/>
    <w:rsid w:val="00E81FAE"/>
    <w:rsid w:val="00E82C0A"/>
    <w:rsid w:val="00E82E8E"/>
    <w:rsid w:val="00E82EA9"/>
    <w:rsid w:val="00E82F75"/>
    <w:rsid w:val="00E8357C"/>
    <w:rsid w:val="00E83FCF"/>
    <w:rsid w:val="00E843C5"/>
    <w:rsid w:val="00E84965"/>
    <w:rsid w:val="00E84F8E"/>
    <w:rsid w:val="00E85DAC"/>
    <w:rsid w:val="00E86172"/>
    <w:rsid w:val="00E86535"/>
    <w:rsid w:val="00E86C78"/>
    <w:rsid w:val="00E8721E"/>
    <w:rsid w:val="00E8731A"/>
    <w:rsid w:val="00E87455"/>
    <w:rsid w:val="00E879E9"/>
    <w:rsid w:val="00E87A6A"/>
    <w:rsid w:val="00E87B72"/>
    <w:rsid w:val="00E87D92"/>
    <w:rsid w:val="00E87E52"/>
    <w:rsid w:val="00E90183"/>
    <w:rsid w:val="00E9070B"/>
    <w:rsid w:val="00E9085A"/>
    <w:rsid w:val="00E90A8E"/>
    <w:rsid w:val="00E90DC3"/>
    <w:rsid w:val="00E90FC8"/>
    <w:rsid w:val="00E91076"/>
    <w:rsid w:val="00E91249"/>
    <w:rsid w:val="00E91357"/>
    <w:rsid w:val="00E918DE"/>
    <w:rsid w:val="00E91AA0"/>
    <w:rsid w:val="00E91DC1"/>
    <w:rsid w:val="00E9285C"/>
    <w:rsid w:val="00E928C3"/>
    <w:rsid w:val="00E92EE2"/>
    <w:rsid w:val="00E934BD"/>
    <w:rsid w:val="00E93E1A"/>
    <w:rsid w:val="00E93ED5"/>
    <w:rsid w:val="00E9445F"/>
    <w:rsid w:val="00E94502"/>
    <w:rsid w:val="00E94605"/>
    <w:rsid w:val="00E953F0"/>
    <w:rsid w:val="00E958E4"/>
    <w:rsid w:val="00E95915"/>
    <w:rsid w:val="00E959C7"/>
    <w:rsid w:val="00E96896"/>
    <w:rsid w:val="00E968F6"/>
    <w:rsid w:val="00E96B1E"/>
    <w:rsid w:val="00E970CA"/>
    <w:rsid w:val="00E9748A"/>
    <w:rsid w:val="00EA065D"/>
    <w:rsid w:val="00EA0990"/>
    <w:rsid w:val="00EA113A"/>
    <w:rsid w:val="00EA115D"/>
    <w:rsid w:val="00EA1E43"/>
    <w:rsid w:val="00EA2202"/>
    <w:rsid w:val="00EA22F5"/>
    <w:rsid w:val="00EA242C"/>
    <w:rsid w:val="00EA30A6"/>
    <w:rsid w:val="00EA31FE"/>
    <w:rsid w:val="00EA328E"/>
    <w:rsid w:val="00EA346E"/>
    <w:rsid w:val="00EA38FE"/>
    <w:rsid w:val="00EA3A57"/>
    <w:rsid w:val="00EA3BBC"/>
    <w:rsid w:val="00EA41AC"/>
    <w:rsid w:val="00EA4787"/>
    <w:rsid w:val="00EA49B6"/>
    <w:rsid w:val="00EA4D4C"/>
    <w:rsid w:val="00EA5028"/>
    <w:rsid w:val="00EA509B"/>
    <w:rsid w:val="00EA5345"/>
    <w:rsid w:val="00EA53B9"/>
    <w:rsid w:val="00EA5537"/>
    <w:rsid w:val="00EA5BB0"/>
    <w:rsid w:val="00EA5C61"/>
    <w:rsid w:val="00EA6240"/>
    <w:rsid w:val="00EA63B1"/>
    <w:rsid w:val="00EA692B"/>
    <w:rsid w:val="00EA6F7D"/>
    <w:rsid w:val="00EA7CD4"/>
    <w:rsid w:val="00EA7FD9"/>
    <w:rsid w:val="00EA7FF3"/>
    <w:rsid w:val="00EB0D21"/>
    <w:rsid w:val="00EB0DCA"/>
    <w:rsid w:val="00EB1386"/>
    <w:rsid w:val="00EB14E6"/>
    <w:rsid w:val="00EB1692"/>
    <w:rsid w:val="00EB1751"/>
    <w:rsid w:val="00EB17CE"/>
    <w:rsid w:val="00EB1868"/>
    <w:rsid w:val="00EB1909"/>
    <w:rsid w:val="00EB1AC5"/>
    <w:rsid w:val="00EB1B55"/>
    <w:rsid w:val="00EB1B58"/>
    <w:rsid w:val="00EB2044"/>
    <w:rsid w:val="00EB25AD"/>
    <w:rsid w:val="00EB2773"/>
    <w:rsid w:val="00EB28F2"/>
    <w:rsid w:val="00EB2CCC"/>
    <w:rsid w:val="00EB30DD"/>
    <w:rsid w:val="00EB3BDD"/>
    <w:rsid w:val="00EB3D24"/>
    <w:rsid w:val="00EB4048"/>
    <w:rsid w:val="00EB420F"/>
    <w:rsid w:val="00EB42E2"/>
    <w:rsid w:val="00EB4328"/>
    <w:rsid w:val="00EB46EC"/>
    <w:rsid w:val="00EB4C4F"/>
    <w:rsid w:val="00EB4D79"/>
    <w:rsid w:val="00EB4FA6"/>
    <w:rsid w:val="00EB50FA"/>
    <w:rsid w:val="00EB512E"/>
    <w:rsid w:val="00EB5A19"/>
    <w:rsid w:val="00EB5ABE"/>
    <w:rsid w:val="00EB5E7E"/>
    <w:rsid w:val="00EB6034"/>
    <w:rsid w:val="00EB616C"/>
    <w:rsid w:val="00EB6272"/>
    <w:rsid w:val="00EB64E5"/>
    <w:rsid w:val="00EB6ECE"/>
    <w:rsid w:val="00EB78E5"/>
    <w:rsid w:val="00EC0447"/>
    <w:rsid w:val="00EC0710"/>
    <w:rsid w:val="00EC0A77"/>
    <w:rsid w:val="00EC0B78"/>
    <w:rsid w:val="00EC11D6"/>
    <w:rsid w:val="00EC137F"/>
    <w:rsid w:val="00EC14DB"/>
    <w:rsid w:val="00EC172B"/>
    <w:rsid w:val="00EC17BF"/>
    <w:rsid w:val="00EC1AAE"/>
    <w:rsid w:val="00EC1CCA"/>
    <w:rsid w:val="00EC1DF1"/>
    <w:rsid w:val="00EC20B4"/>
    <w:rsid w:val="00EC20FA"/>
    <w:rsid w:val="00EC2254"/>
    <w:rsid w:val="00EC2C4F"/>
    <w:rsid w:val="00EC3246"/>
    <w:rsid w:val="00EC364A"/>
    <w:rsid w:val="00EC3797"/>
    <w:rsid w:val="00EC3834"/>
    <w:rsid w:val="00EC3AD0"/>
    <w:rsid w:val="00EC3CD3"/>
    <w:rsid w:val="00EC402F"/>
    <w:rsid w:val="00EC427C"/>
    <w:rsid w:val="00EC4477"/>
    <w:rsid w:val="00EC46AD"/>
    <w:rsid w:val="00EC483A"/>
    <w:rsid w:val="00EC5312"/>
    <w:rsid w:val="00EC5809"/>
    <w:rsid w:val="00EC5A06"/>
    <w:rsid w:val="00EC5A23"/>
    <w:rsid w:val="00EC5A52"/>
    <w:rsid w:val="00EC5C7B"/>
    <w:rsid w:val="00EC5FEE"/>
    <w:rsid w:val="00EC648B"/>
    <w:rsid w:val="00EC69CD"/>
    <w:rsid w:val="00EC6E74"/>
    <w:rsid w:val="00EC7077"/>
    <w:rsid w:val="00EC7250"/>
    <w:rsid w:val="00EC75BF"/>
    <w:rsid w:val="00EC768A"/>
    <w:rsid w:val="00EC7952"/>
    <w:rsid w:val="00EC7DAB"/>
    <w:rsid w:val="00EC7F25"/>
    <w:rsid w:val="00ED0429"/>
    <w:rsid w:val="00ED07AD"/>
    <w:rsid w:val="00ED0CEE"/>
    <w:rsid w:val="00ED0D2B"/>
    <w:rsid w:val="00ED0D30"/>
    <w:rsid w:val="00ED16D2"/>
    <w:rsid w:val="00ED1DF1"/>
    <w:rsid w:val="00ED20DA"/>
    <w:rsid w:val="00ED2187"/>
    <w:rsid w:val="00ED223A"/>
    <w:rsid w:val="00ED22CB"/>
    <w:rsid w:val="00ED22E6"/>
    <w:rsid w:val="00ED2B2B"/>
    <w:rsid w:val="00ED2E11"/>
    <w:rsid w:val="00ED2EBE"/>
    <w:rsid w:val="00ED2F59"/>
    <w:rsid w:val="00ED2F6F"/>
    <w:rsid w:val="00ED30EA"/>
    <w:rsid w:val="00ED3B32"/>
    <w:rsid w:val="00ED4168"/>
    <w:rsid w:val="00ED446E"/>
    <w:rsid w:val="00ED4A4A"/>
    <w:rsid w:val="00ED4F1D"/>
    <w:rsid w:val="00ED64B4"/>
    <w:rsid w:val="00ED66E8"/>
    <w:rsid w:val="00ED6E70"/>
    <w:rsid w:val="00ED7319"/>
    <w:rsid w:val="00ED7623"/>
    <w:rsid w:val="00ED76F1"/>
    <w:rsid w:val="00ED7C6F"/>
    <w:rsid w:val="00EE058D"/>
    <w:rsid w:val="00EE094E"/>
    <w:rsid w:val="00EE148A"/>
    <w:rsid w:val="00EE18E7"/>
    <w:rsid w:val="00EE190B"/>
    <w:rsid w:val="00EE201F"/>
    <w:rsid w:val="00EE249F"/>
    <w:rsid w:val="00EE2D9B"/>
    <w:rsid w:val="00EE333F"/>
    <w:rsid w:val="00EE3618"/>
    <w:rsid w:val="00EE38AA"/>
    <w:rsid w:val="00EE3ACA"/>
    <w:rsid w:val="00EE3CC1"/>
    <w:rsid w:val="00EE3DA9"/>
    <w:rsid w:val="00EE40A6"/>
    <w:rsid w:val="00EE5134"/>
    <w:rsid w:val="00EE520A"/>
    <w:rsid w:val="00EE569F"/>
    <w:rsid w:val="00EE58BC"/>
    <w:rsid w:val="00EE5DB8"/>
    <w:rsid w:val="00EE62D4"/>
    <w:rsid w:val="00EE647A"/>
    <w:rsid w:val="00EE677D"/>
    <w:rsid w:val="00EE6B9B"/>
    <w:rsid w:val="00EE6DDB"/>
    <w:rsid w:val="00EF0141"/>
    <w:rsid w:val="00EF0319"/>
    <w:rsid w:val="00EF0775"/>
    <w:rsid w:val="00EF07F9"/>
    <w:rsid w:val="00EF0B5F"/>
    <w:rsid w:val="00EF1086"/>
    <w:rsid w:val="00EF1391"/>
    <w:rsid w:val="00EF15AB"/>
    <w:rsid w:val="00EF1739"/>
    <w:rsid w:val="00EF1BDF"/>
    <w:rsid w:val="00EF1F40"/>
    <w:rsid w:val="00EF2101"/>
    <w:rsid w:val="00EF22D4"/>
    <w:rsid w:val="00EF2CBA"/>
    <w:rsid w:val="00EF30AC"/>
    <w:rsid w:val="00EF31D5"/>
    <w:rsid w:val="00EF35FF"/>
    <w:rsid w:val="00EF3EA1"/>
    <w:rsid w:val="00EF3FF0"/>
    <w:rsid w:val="00EF45FB"/>
    <w:rsid w:val="00EF47CF"/>
    <w:rsid w:val="00EF483E"/>
    <w:rsid w:val="00EF48F4"/>
    <w:rsid w:val="00EF49DA"/>
    <w:rsid w:val="00EF4AE6"/>
    <w:rsid w:val="00EF4B4F"/>
    <w:rsid w:val="00EF4CF3"/>
    <w:rsid w:val="00EF5675"/>
    <w:rsid w:val="00EF5685"/>
    <w:rsid w:val="00EF600A"/>
    <w:rsid w:val="00EF6044"/>
    <w:rsid w:val="00EF615E"/>
    <w:rsid w:val="00EF6630"/>
    <w:rsid w:val="00EF6878"/>
    <w:rsid w:val="00EF6BAA"/>
    <w:rsid w:val="00EF6C69"/>
    <w:rsid w:val="00EF79CC"/>
    <w:rsid w:val="00EF7B8A"/>
    <w:rsid w:val="00F000DF"/>
    <w:rsid w:val="00F000F4"/>
    <w:rsid w:val="00F00434"/>
    <w:rsid w:val="00F006B1"/>
    <w:rsid w:val="00F0073A"/>
    <w:rsid w:val="00F016D7"/>
    <w:rsid w:val="00F017C9"/>
    <w:rsid w:val="00F01EC5"/>
    <w:rsid w:val="00F01FB8"/>
    <w:rsid w:val="00F02048"/>
    <w:rsid w:val="00F02430"/>
    <w:rsid w:val="00F02512"/>
    <w:rsid w:val="00F0268C"/>
    <w:rsid w:val="00F02ED0"/>
    <w:rsid w:val="00F036E7"/>
    <w:rsid w:val="00F03726"/>
    <w:rsid w:val="00F0378C"/>
    <w:rsid w:val="00F03949"/>
    <w:rsid w:val="00F03C70"/>
    <w:rsid w:val="00F03E2A"/>
    <w:rsid w:val="00F03F2E"/>
    <w:rsid w:val="00F04139"/>
    <w:rsid w:val="00F043E8"/>
    <w:rsid w:val="00F04A68"/>
    <w:rsid w:val="00F04CC0"/>
    <w:rsid w:val="00F05906"/>
    <w:rsid w:val="00F05B51"/>
    <w:rsid w:val="00F05E2B"/>
    <w:rsid w:val="00F05EA6"/>
    <w:rsid w:val="00F06DD3"/>
    <w:rsid w:val="00F07568"/>
    <w:rsid w:val="00F0771B"/>
    <w:rsid w:val="00F07AC8"/>
    <w:rsid w:val="00F07DB6"/>
    <w:rsid w:val="00F1011E"/>
    <w:rsid w:val="00F10589"/>
    <w:rsid w:val="00F1075E"/>
    <w:rsid w:val="00F10C2F"/>
    <w:rsid w:val="00F114F2"/>
    <w:rsid w:val="00F121B2"/>
    <w:rsid w:val="00F1308C"/>
    <w:rsid w:val="00F13ADA"/>
    <w:rsid w:val="00F13DD4"/>
    <w:rsid w:val="00F142C6"/>
    <w:rsid w:val="00F14B36"/>
    <w:rsid w:val="00F14DD4"/>
    <w:rsid w:val="00F156A7"/>
    <w:rsid w:val="00F1589C"/>
    <w:rsid w:val="00F15978"/>
    <w:rsid w:val="00F15EC1"/>
    <w:rsid w:val="00F15EF5"/>
    <w:rsid w:val="00F1614C"/>
    <w:rsid w:val="00F161DA"/>
    <w:rsid w:val="00F16A57"/>
    <w:rsid w:val="00F1746C"/>
    <w:rsid w:val="00F175C2"/>
    <w:rsid w:val="00F17790"/>
    <w:rsid w:val="00F17800"/>
    <w:rsid w:val="00F17C0D"/>
    <w:rsid w:val="00F17CD5"/>
    <w:rsid w:val="00F20144"/>
    <w:rsid w:val="00F2017E"/>
    <w:rsid w:val="00F20440"/>
    <w:rsid w:val="00F2053F"/>
    <w:rsid w:val="00F20717"/>
    <w:rsid w:val="00F20AD9"/>
    <w:rsid w:val="00F20C55"/>
    <w:rsid w:val="00F20C80"/>
    <w:rsid w:val="00F219DC"/>
    <w:rsid w:val="00F21D26"/>
    <w:rsid w:val="00F225E8"/>
    <w:rsid w:val="00F22726"/>
    <w:rsid w:val="00F22A50"/>
    <w:rsid w:val="00F22DD9"/>
    <w:rsid w:val="00F231B5"/>
    <w:rsid w:val="00F23306"/>
    <w:rsid w:val="00F235FE"/>
    <w:rsid w:val="00F23B7A"/>
    <w:rsid w:val="00F2407A"/>
    <w:rsid w:val="00F2427E"/>
    <w:rsid w:val="00F2456F"/>
    <w:rsid w:val="00F247C6"/>
    <w:rsid w:val="00F24A5C"/>
    <w:rsid w:val="00F24AA4"/>
    <w:rsid w:val="00F24B3C"/>
    <w:rsid w:val="00F24DF2"/>
    <w:rsid w:val="00F24EC7"/>
    <w:rsid w:val="00F24FA2"/>
    <w:rsid w:val="00F25B64"/>
    <w:rsid w:val="00F25BE5"/>
    <w:rsid w:val="00F2609D"/>
    <w:rsid w:val="00F260D1"/>
    <w:rsid w:val="00F265C3"/>
    <w:rsid w:val="00F26608"/>
    <w:rsid w:val="00F2673C"/>
    <w:rsid w:val="00F26A29"/>
    <w:rsid w:val="00F26ADD"/>
    <w:rsid w:val="00F26DD3"/>
    <w:rsid w:val="00F272A5"/>
    <w:rsid w:val="00F27747"/>
    <w:rsid w:val="00F27917"/>
    <w:rsid w:val="00F30371"/>
    <w:rsid w:val="00F3084A"/>
    <w:rsid w:val="00F30B10"/>
    <w:rsid w:val="00F3107F"/>
    <w:rsid w:val="00F310D8"/>
    <w:rsid w:val="00F31B43"/>
    <w:rsid w:val="00F32071"/>
    <w:rsid w:val="00F328C4"/>
    <w:rsid w:val="00F33324"/>
    <w:rsid w:val="00F33451"/>
    <w:rsid w:val="00F33AA3"/>
    <w:rsid w:val="00F33DAA"/>
    <w:rsid w:val="00F33FC9"/>
    <w:rsid w:val="00F35304"/>
    <w:rsid w:val="00F353ED"/>
    <w:rsid w:val="00F3584F"/>
    <w:rsid w:val="00F359A7"/>
    <w:rsid w:val="00F35BC0"/>
    <w:rsid w:val="00F35D64"/>
    <w:rsid w:val="00F363AA"/>
    <w:rsid w:val="00F365F4"/>
    <w:rsid w:val="00F36722"/>
    <w:rsid w:val="00F3691C"/>
    <w:rsid w:val="00F36A81"/>
    <w:rsid w:val="00F36D13"/>
    <w:rsid w:val="00F36ED5"/>
    <w:rsid w:val="00F374A6"/>
    <w:rsid w:val="00F37675"/>
    <w:rsid w:val="00F377FF"/>
    <w:rsid w:val="00F37B14"/>
    <w:rsid w:val="00F37B76"/>
    <w:rsid w:val="00F37CC7"/>
    <w:rsid w:val="00F40007"/>
    <w:rsid w:val="00F40039"/>
    <w:rsid w:val="00F4172F"/>
    <w:rsid w:val="00F417C9"/>
    <w:rsid w:val="00F42548"/>
    <w:rsid w:val="00F42666"/>
    <w:rsid w:val="00F429AD"/>
    <w:rsid w:val="00F429C4"/>
    <w:rsid w:val="00F42A2A"/>
    <w:rsid w:val="00F42D6C"/>
    <w:rsid w:val="00F4300C"/>
    <w:rsid w:val="00F431DF"/>
    <w:rsid w:val="00F43431"/>
    <w:rsid w:val="00F436DB"/>
    <w:rsid w:val="00F43CAA"/>
    <w:rsid w:val="00F4405B"/>
    <w:rsid w:val="00F4456F"/>
    <w:rsid w:val="00F44C23"/>
    <w:rsid w:val="00F44E5E"/>
    <w:rsid w:val="00F44F64"/>
    <w:rsid w:val="00F45206"/>
    <w:rsid w:val="00F454A0"/>
    <w:rsid w:val="00F45520"/>
    <w:rsid w:val="00F458E9"/>
    <w:rsid w:val="00F46DF3"/>
    <w:rsid w:val="00F476D3"/>
    <w:rsid w:val="00F4773C"/>
    <w:rsid w:val="00F47D07"/>
    <w:rsid w:val="00F50C5C"/>
    <w:rsid w:val="00F50D3D"/>
    <w:rsid w:val="00F51022"/>
    <w:rsid w:val="00F5121B"/>
    <w:rsid w:val="00F517FB"/>
    <w:rsid w:val="00F51C3E"/>
    <w:rsid w:val="00F52105"/>
    <w:rsid w:val="00F52367"/>
    <w:rsid w:val="00F5260F"/>
    <w:rsid w:val="00F52628"/>
    <w:rsid w:val="00F526DC"/>
    <w:rsid w:val="00F5298C"/>
    <w:rsid w:val="00F52B51"/>
    <w:rsid w:val="00F52DD3"/>
    <w:rsid w:val="00F530B6"/>
    <w:rsid w:val="00F5322B"/>
    <w:rsid w:val="00F5354A"/>
    <w:rsid w:val="00F53B9A"/>
    <w:rsid w:val="00F544BF"/>
    <w:rsid w:val="00F544EF"/>
    <w:rsid w:val="00F54956"/>
    <w:rsid w:val="00F54B8F"/>
    <w:rsid w:val="00F54F52"/>
    <w:rsid w:val="00F5533B"/>
    <w:rsid w:val="00F55E20"/>
    <w:rsid w:val="00F56112"/>
    <w:rsid w:val="00F561F7"/>
    <w:rsid w:val="00F5693E"/>
    <w:rsid w:val="00F56A44"/>
    <w:rsid w:val="00F56A85"/>
    <w:rsid w:val="00F56A99"/>
    <w:rsid w:val="00F56EBF"/>
    <w:rsid w:val="00F574FB"/>
    <w:rsid w:val="00F5765D"/>
    <w:rsid w:val="00F57D3E"/>
    <w:rsid w:val="00F6020B"/>
    <w:rsid w:val="00F60610"/>
    <w:rsid w:val="00F60D05"/>
    <w:rsid w:val="00F616A6"/>
    <w:rsid w:val="00F62234"/>
    <w:rsid w:val="00F62352"/>
    <w:rsid w:val="00F62420"/>
    <w:rsid w:val="00F62F05"/>
    <w:rsid w:val="00F63751"/>
    <w:rsid w:val="00F637FF"/>
    <w:rsid w:val="00F638C2"/>
    <w:rsid w:val="00F639CD"/>
    <w:rsid w:val="00F63E86"/>
    <w:rsid w:val="00F63F44"/>
    <w:rsid w:val="00F63F5D"/>
    <w:rsid w:val="00F63F77"/>
    <w:rsid w:val="00F64392"/>
    <w:rsid w:val="00F6465B"/>
    <w:rsid w:val="00F64CEE"/>
    <w:rsid w:val="00F64E06"/>
    <w:rsid w:val="00F65138"/>
    <w:rsid w:val="00F65266"/>
    <w:rsid w:val="00F658CC"/>
    <w:rsid w:val="00F65BA7"/>
    <w:rsid w:val="00F65D1C"/>
    <w:rsid w:val="00F65D46"/>
    <w:rsid w:val="00F66266"/>
    <w:rsid w:val="00F6645F"/>
    <w:rsid w:val="00F6697C"/>
    <w:rsid w:val="00F669B3"/>
    <w:rsid w:val="00F66D18"/>
    <w:rsid w:val="00F67373"/>
    <w:rsid w:val="00F67509"/>
    <w:rsid w:val="00F67D08"/>
    <w:rsid w:val="00F7010F"/>
    <w:rsid w:val="00F706CA"/>
    <w:rsid w:val="00F706F0"/>
    <w:rsid w:val="00F70B7C"/>
    <w:rsid w:val="00F70E27"/>
    <w:rsid w:val="00F713A8"/>
    <w:rsid w:val="00F71FD7"/>
    <w:rsid w:val="00F7238D"/>
    <w:rsid w:val="00F723C8"/>
    <w:rsid w:val="00F7270E"/>
    <w:rsid w:val="00F727D7"/>
    <w:rsid w:val="00F728AA"/>
    <w:rsid w:val="00F72B30"/>
    <w:rsid w:val="00F72C55"/>
    <w:rsid w:val="00F73604"/>
    <w:rsid w:val="00F738C5"/>
    <w:rsid w:val="00F73923"/>
    <w:rsid w:val="00F73B90"/>
    <w:rsid w:val="00F73C9E"/>
    <w:rsid w:val="00F741DE"/>
    <w:rsid w:val="00F74AC2"/>
    <w:rsid w:val="00F74F44"/>
    <w:rsid w:val="00F75324"/>
    <w:rsid w:val="00F755F8"/>
    <w:rsid w:val="00F759F3"/>
    <w:rsid w:val="00F75FA8"/>
    <w:rsid w:val="00F7600D"/>
    <w:rsid w:val="00F7631B"/>
    <w:rsid w:val="00F773A8"/>
    <w:rsid w:val="00F776F2"/>
    <w:rsid w:val="00F77802"/>
    <w:rsid w:val="00F77D3D"/>
    <w:rsid w:val="00F77ED4"/>
    <w:rsid w:val="00F80A24"/>
    <w:rsid w:val="00F80C36"/>
    <w:rsid w:val="00F80FD4"/>
    <w:rsid w:val="00F81083"/>
    <w:rsid w:val="00F81199"/>
    <w:rsid w:val="00F812B3"/>
    <w:rsid w:val="00F812FD"/>
    <w:rsid w:val="00F8146C"/>
    <w:rsid w:val="00F814B4"/>
    <w:rsid w:val="00F81604"/>
    <w:rsid w:val="00F81721"/>
    <w:rsid w:val="00F8182F"/>
    <w:rsid w:val="00F81F98"/>
    <w:rsid w:val="00F8202E"/>
    <w:rsid w:val="00F825BA"/>
    <w:rsid w:val="00F82681"/>
    <w:rsid w:val="00F82C5A"/>
    <w:rsid w:val="00F82CB0"/>
    <w:rsid w:val="00F83BF7"/>
    <w:rsid w:val="00F83D8D"/>
    <w:rsid w:val="00F84083"/>
    <w:rsid w:val="00F84280"/>
    <w:rsid w:val="00F84396"/>
    <w:rsid w:val="00F84802"/>
    <w:rsid w:val="00F84D98"/>
    <w:rsid w:val="00F84F10"/>
    <w:rsid w:val="00F8583F"/>
    <w:rsid w:val="00F85945"/>
    <w:rsid w:val="00F86047"/>
    <w:rsid w:val="00F8652B"/>
    <w:rsid w:val="00F876FD"/>
    <w:rsid w:val="00F8778E"/>
    <w:rsid w:val="00F87857"/>
    <w:rsid w:val="00F87C4D"/>
    <w:rsid w:val="00F87E64"/>
    <w:rsid w:val="00F90405"/>
    <w:rsid w:val="00F9080F"/>
    <w:rsid w:val="00F90889"/>
    <w:rsid w:val="00F90AFA"/>
    <w:rsid w:val="00F91EBA"/>
    <w:rsid w:val="00F9231E"/>
    <w:rsid w:val="00F923BF"/>
    <w:rsid w:val="00F92510"/>
    <w:rsid w:val="00F92D6F"/>
    <w:rsid w:val="00F92F2C"/>
    <w:rsid w:val="00F93134"/>
    <w:rsid w:val="00F935E9"/>
    <w:rsid w:val="00F93825"/>
    <w:rsid w:val="00F939AB"/>
    <w:rsid w:val="00F93CF2"/>
    <w:rsid w:val="00F94960"/>
    <w:rsid w:val="00F9501E"/>
    <w:rsid w:val="00F951B2"/>
    <w:rsid w:val="00F954D6"/>
    <w:rsid w:val="00F9565D"/>
    <w:rsid w:val="00F95702"/>
    <w:rsid w:val="00F95A56"/>
    <w:rsid w:val="00F95B1F"/>
    <w:rsid w:val="00F95BBB"/>
    <w:rsid w:val="00F960D1"/>
    <w:rsid w:val="00F9627A"/>
    <w:rsid w:val="00F96753"/>
    <w:rsid w:val="00F9675A"/>
    <w:rsid w:val="00F96AD7"/>
    <w:rsid w:val="00F9701D"/>
    <w:rsid w:val="00F97560"/>
    <w:rsid w:val="00F976CC"/>
    <w:rsid w:val="00F978EC"/>
    <w:rsid w:val="00F97ACC"/>
    <w:rsid w:val="00FA05AA"/>
    <w:rsid w:val="00FA0AE0"/>
    <w:rsid w:val="00FA0BAD"/>
    <w:rsid w:val="00FA0D41"/>
    <w:rsid w:val="00FA0F16"/>
    <w:rsid w:val="00FA126E"/>
    <w:rsid w:val="00FA13E4"/>
    <w:rsid w:val="00FA1A26"/>
    <w:rsid w:val="00FA224B"/>
    <w:rsid w:val="00FA2C89"/>
    <w:rsid w:val="00FA2D75"/>
    <w:rsid w:val="00FA2EF5"/>
    <w:rsid w:val="00FA3098"/>
    <w:rsid w:val="00FA30C6"/>
    <w:rsid w:val="00FA36CD"/>
    <w:rsid w:val="00FA434B"/>
    <w:rsid w:val="00FA47F1"/>
    <w:rsid w:val="00FA4D1C"/>
    <w:rsid w:val="00FA4DB5"/>
    <w:rsid w:val="00FA4E22"/>
    <w:rsid w:val="00FA5406"/>
    <w:rsid w:val="00FA56A9"/>
    <w:rsid w:val="00FA617A"/>
    <w:rsid w:val="00FA61D7"/>
    <w:rsid w:val="00FA65D3"/>
    <w:rsid w:val="00FA6F80"/>
    <w:rsid w:val="00FA750E"/>
    <w:rsid w:val="00FA7837"/>
    <w:rsid w:val="00FA7884"/>
    <w:rsid w:val="00FA7B94"/>
    <w:rsid w:val="00FB00B5"/>
    <w:rsid w:val="00FB01BB"/>
    <w:rsid w:val="00FB030A"/>
    <w:rsid w:val="00FB0478"/>
    <w:rsid w:val="00FB04C5"/>
    <w:rsid w:val="00FB0721"/>
    <w:rsid w:val="00FB07FA"/>
    <w:rsid w:val="00FB0DCB"/>
    <w:rsid w:val="00FB0F5B"/>
    <w:rsid w:val="00FB0FBD"/>
    <w:rsid w:val="00FB1346"/>
    <w:rsid w:val="00FB1774"/>
    <w:rsid w:val="00FB2127"/>
    <w:rsid w:val="00FB2261"/>
    <w:rsid w:val="00FB2818"/>
    <w:rsid w:val="00FB2BB2"/>
    <w:rsid w:val="00FB2FEC"/>
    <w:rsid w:val="00FB339C"/>
    <w:rsid w:val="00FB35AE"/>
    <w:rsid w:val="00FB3A20"/>
    <w:rsid w:val="00FB3A5D"/>
    <w:rsid w:val="00FB3EBA"/>
    <w:rsid w:val="00FB3F2A"/>
    <w:rsid w:val="00FB4C99"/>
    <w:rsid w:val="00FB4CC7"/>
    <w:rsid w:val="00FB5351"/>
    <w:rsid w:val="00FB59E5"/>
    <w:rsid w:val="00FB5CDC"/>
    <w:rsid w:val="00FB600A"/>
    <w:rsid w:val="00FB6BA3"/>
    <w:rsid w:val="00FB759C"/>
    <w:rsid w:val="00FB76A0"/>
    <w:rsid w:val="00FB7D6F"/>
    <w:rsid w:val="00FC02DD"/>
    <w:rsid w:val="00FC0887"/>
    <w:rsid w:val="00FC093B"/>
    <w:rsid w:val="00FC0D90"/>
    <w:rsid w:val="00FC10DC"/>
    <w:rsid w:val="00FC15E9"/>
    <w:rsid w:val="00FC1A14"/>
    <w:rsid w:val="00FC1C83"/>
    <w:rsid w:val="00FC248E"/>
    <w:rsid w:val="00FC3125"/>
    <w:rsid w:val="00FC32AC"/>
    <w:rsid w:val="00FC346E"/>
    <w:rsid w:val="00FC3BAC"/>
    <w:rsid w:val="00FC3F4F"/>
    <w:rsid w:val="00FC4180"/>
    <w:rsid w:val="00FC42BF"/>
    <w:rsid w:val="00FC47A3"/>
    <w:rsid w:val="00FC48BE"/>
    <w:rsid w:val="00FC4AA0"/>
    <w:rsid w:val="00FC4DCA"/>
    <w:rsid w:val="00FC5234"/>
    <w:rsid w:val="00FC583C"/>
    <w:rsid w:val="00FC625C"/>
    <w:rsid w:val="00FC6763"/>
    <w:rsid w:val="00FC6842"/>
    <w:rsid w:val="00FC6892"/>
    <w:rsid w:val="00FC694E"/>
    <w:rsid w:val="00FC6954"/>
    <w:rsid w:val="00FC701D"/>
    <w:rsid w:val="00FC728A"/>
    <w:rsid w:val="00FC75BD"/>
    <w:rsid w:val="00FC75EC"/>
    <w:rsid w:val="00FC781B"/>
    <w:rsid w:val="00FC782A"/>
    <w:rsid w:val="00FC7CFC"/>
    <w:rsid w:val="00FD091B"/>
    <w:rsid w:val="00FD0BDE"/>
    <w:rsid w:val="00FD0C49"/>
    <w:rsid w:val="00FD0EE5"/>
    <w:rsid w:val="00FD1354"/>
    <w:rsid w:val="00FD1FE8"/>
    <w:rsid w:val="00FD218A"/>
    <w:rsid w:val="00FD3475"/>
    <w:rsid w:val="00FD3848"/>
    <w:rsid w:val="00FD3D67"/>
    <w:rsid w:val="00FD458B"/>
    <w:rsid w:val="00FD5508"/>
    <w:rsid w:val="00FD5BC9"/>
    <w:rsid w:val="00FD5D7A"/>
    <w:rsid w:val="00FD5EEF"/>
    <w:rsid w:val="00FD5FE7"/>
    <w:rsid w:val="00FD6B30"/>
    <w:rsid w:val="00FD7076"/>
    <w:rsid w:val="00FD72D0"/>
    <w:rsid w:val="00FD76F7"/>
    <w:rsid w:val="00FE027B"/>
    <w:rsid w:val="00FE02F0"/>
    <w:rsid w:val="00FE03EA"/>
    <w:rsid w:val="00FE0630"/>
    <w:rsid w:val="00FE06EF"/>
    <w:rsid w:val="00FE07C8"/>
    <w:rsid w:val="00FE0ACC"/>
    <w:rsid w:val="00FE1193"/>
    <w:rsid w:val="00FE1232"/>
    <w:rsid w:val="00FE1506"/>
    <w:rsid w:val="00FE1662"/>
    <w:rsid w:val="00FE1A22"/>
    <w:rsid w:val="00FE1FA5"/>
    <w:rsid w:val="00FE21E0"/>
    <w:rsid w:val="00FE236F"/>
    <w:rsid w:val="00FE2771"/>
    <w:rsid w:val="00FE2947"/>
    <w:rsid w:val="00FE2F4F"/>
    <w:rsid w:val="00FE4219"/>
    <w:rsid w:val="00FE4283"/>
    <w:rsid w:val="00FE46BB"/>
    <w:rsid w:val="00FE4753"/>
    <w:rsid w:val="00FE4766"/>
    <w:rsid w:val="00FE4A01"/>
    <w:rsid w:val="00FE53B4"/>
    <w:rsid w:val="00FE5420"/>
    <w:rsid w:val="00FE5595"/>
    <w:rsid w:val="00FE5D14"/>
    <w:rsid w:val="00FE5D5C"/>
    <w:rsid w:val="00FE5D5F"/>
    <w:rsid w:val="00FE5DA9"/>
    <w:rsid w:val="00FE6534"/>
    <w:rsid w:val="00FE6C71"/>
    <w:rsid w:val="00FE78D7"/>
    <w:rsid w:val="00FE79CB"/>
    <w:rsid w:val="00FE7A8B"/>
    <w:rsid w:val="00FE7AD1"/>
    <w:rsid w:val="00FE7C55"/>
    <w:rsid w:val="00FE7CC0"/>
    <w:rsid w:val="00FF0244"/>
    <w:rsid w:val="00FF02CD"/>
    <w:rsid w:val="00FF03BB"/>
    <w:rsid w:val="00FF0585"/>
    <w:rsid w:val="00FF0981"/>
    <w:rsid w:val="00FF0A53"/>
    <w:rsid w:val="00FF0AD0"/>
    <w:rsid w:val="00FF0AF0"/>
    <w:rsid w:val="00FF0B61"/>
    <w:rsid w:val="00FF0F33"/>
    <w:rsid w:val="00FF105C"/>
    <w:rsid w:val="00FF14AF"/>
    <w:rsid w:val="00FF14EE"/>
    <w:rsid w:val="00FF1673"/>
    <w:rsid w:val="00FF19AB"/>
    <w:rsid w:val="00FF203A"/>
    <w:rsid w:val="00FF220D"/>
    <w:rsid w:val="00FF23E8"/>
    <w:rsid w:val="00FF2560"/>
    <w:rsid w:val="00FF2C66"/>
    <w:rsid w:val="00FF2FD7"/>
    <w:rsid w:val="00FF3BF5"/>
    <w:rsid w:val="00FF3D1E"/>
    <w:rsid w:val="00FF3DF4"/>
    <w:rsid w:val="00FF4512"/>
    <w:rsid w:val="00FF4BEF"/>
    <w:rsid w:val="00FF5149"/>
    <w:rsid w:val="00FF51B4"/>
    <w:rsid w:val="00FF5C3B"/>
    <w:rsid w:val="00FF5C87"/>
    <w:rsid w:val="00FF5F36"/>
    <w:rsid w:val="00FF6041"/>
    <w:rsid w:val="00FF659D"/>
    <w:rsid w:val="00FF682B"/>
    <w:rsid w:val="00FF6ADC"/>
    <w:rsid w:val="00FF6DA9"/>
    <w:rsid w:val="00FF7817"/>
    <w:rsid w:val="00FF7B02"/>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5566"/>
  <w15:chartTrackingRefBased/>
  <w15:docId w15:val="{0B4FEB6C-24E8-4C00-B96D-E7714D4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1E03"/>
    <w:rPr>
      <w:sz w:val="18"/>
    </w:rPr>
  </w:style>
  <w:style w:type="paragraph" w:styleId="Heading1">
    <w:name w:val="heading 1"/>
    <w:basedOn w:val="Normal"/>
    <w:next w:val="Normal"/>
    <w:link w:val="Heading1Char"/>
    <w:uiPriority w:val="9"/>
    <w:qFormat/>
    <w:rsid w:val="000D4D61"/>
    <w:pPr>
      <w:pBdr>
        <w:top w:val="single" w:sz="4" w:space="1" w:color="auto"/>
        <w:left w:val="single" w:sz="4" w:space="4" w:color="auto"/>
        <w:bottom w:val="single" w:sz="4" w:space="1" w:color="auto"/>
        <w:right w:val="single" w:sz="4" w:space="4" w:color="auto"/>
      </w:pBdr>
      <w:shd w:val="clear" w:color="auto" w:fill="E2EFD9" w:themeFill="accent6" w:themeFillTint="33"/>
      <w:spacing w:line="240" w:lineRule="auto"/>
      <w:jc w:val="center"/>
      <w:outlineLvl w:val="0"/>
    </w:pPr>
    <w:rPr>
      <w:b/>
    </w:rPr>
  </w:style>
  <w:style w:type="paragraph" w:styleId="Heading2">
    <w:name w:val="heading 2"/>
    <w:basedOn w:val="Normal"/>
    <w:next w:val="Normal"/>
    <w:link w:val="Heading2Char"/>
    <w:uiPriority w:val="9"/>
    <w:unhideWhenUsed/>
    <w:qFormat/>
    <w:rsid w:val="00CD763F"/>
    <w:pPr>
      <w:pBdr>
        <w:bottom w:val="single" w:sz="4" w:space="1" w:color="auto"/>
      </w:pBdr>
      <w:shd w:val="clear" w:color="auto" w:fill="CCCCFF"/>
      <w:spacing w:after="0"/>
      <w:outlineLvl w:val="1"/>
    </w:pPr>
    <w:rPr>
      <w:b/>
      <w:szCs w:val="18"/>
    </w:rPr>
  </w:style>
  <w:style w:type="paragraph" w:styleId="Heading3">
    <w:name w:val="heading 3"/>
    <w:basedOn w:val="Normal"/>
    <w:next w:val="Normal"/>
    <w:link w:val="Heading3Char"/>
    <w:uiPriority w:val="9"/>
    <w:unhideWhenUsed/>
    <w:qFormat/>
    <w:rsid w:val="00393871"/>
    <w:pPr>
      <w:shd w:val="clear" w:color="auto" w:fill="D9D9D9" w:themeFill="background1" w:themeFillShade="D9"/>
      <w:spacing w:after="0"/>
      <w:outlineLvl w:val="2"/>
    </w:pPr>
    <w:rPr>
      <w:b/>
      <w:szCs w:val="18"/>
    </w:rPr>
  </w:style>
  <w:style w:type="paragraph" w:styleId="Heading4">
    <w:name w:val="heading 4"/>
    <w:basedOn w:val="ListContinue"/>
    <w:next w:val="Normal"/>
    <w:link w:val="Heading4Char"/>
    <w:uiPriority w:val="9"/>
    <w:unhideWhenUsed/>
    <w:qFormat/>
    <w:rsid w:val="005C321E"/>
    <w:pPr>
      <w:spacing w:after="0"/>
      <w:ind w:left="0"/>
      <w:outlineLvl w:val="3"/>
    </w:pPr>
    <w:rPr>
      <w:rFonts w:asciiTheme="minorHAnsi" w:hAnsiTheme="minorHAnsi"/>
      <w:b/>
      <w:i/>
      <w:color w:val="1006E0"/>
      <w:sz w:val="18"/>
      <w:szCs w:val="18"/>
    </w:rPr>
  </w:style>
  <w:style w:type="paragraph" w:styleId="Heading5">
    <w:name w:val="heading 5"/>
    <w:basedOn w:val="Normal"/>
    <w:next w:val="Normal"/>
    <w:link w:val="Heading5Char"/>
    <w:uiPriority w:val="9"/>
    <w:unhideWhenUsed/>
    <w:qFormat/>
    <w:rsid w:val="001A48F1"/>
    <w:pPr>
      <w:keepNext/>
      <w:keepLines/>
      <w:spacing w:before="40" w:after="0"/>
      <w:outlineLvl w:val="4"/>
    </w:pPr>
    <w:rPr>
      <w:rFonts w:eastAsiaTheme="majorEastAsia" w:cstheme="majorBidi"/>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D61"/>
    <w:rPr>
      <w:b/>
      <w:sz w:val="18"/>
      <w:shd w:val="clear" w:color="auto" w:fill="E2EFD9" w:themeFill="accent6" w:themeFillTint="33"/>
    </w:rPr>
  </w:style>
  <w:style w:type="character" w:customStyle="1" w:styleId="Heading2Char">
    <w:name w:val="Heading 2 Char"/>
    <w:basedOn w:val="DefaultParagraphFont"/>
    <w:link w:val="Heading2"/>
    <w:uiPriority w:val="9"/>
    <w:rsid w:val="00CD763F"/>
    <w:rPr>
      <w:b/>
      <w:sz w:val="18"/>
      <w:szCs w:val="18"/>
      <w:shd w:val="clear" w:color="auto" w:fill="CCCCFF"/>
    </w:rPr>
  </w:style>
  <w:style w:type="character" w:customStyle="1" w:styleId="Heading3Char">
    <w:name w:val="Heading 3 Char"/>
    <w:basedOn w:val="DefaultParagraphFont"/>
    <w:link w:val="Heading3"/>
    <w:uiPriority w:val="9"/>
    <w:rsid w:val="00393871"/>
    <w:rPr>
      <w:b/>
      <w:sz w:val="18"/>
      <w:szCs w:val="18"/>
      <w:shd w:val="clear" w:color="auto" w:fill="D9D9D9" w:themeFill="background1" w:themeFillShade="D9"/>
    </w:rPr>
  </w:style>
  <w:style w:type="paragraph" w:styleId="ListContinue">
    <w:name w:val="List Continue"/>
    <w:basedOn w:val="Normal"/>
    <w:uiPriority w:val="99"/>
    <w:unhideWhenUsed/>
    <w:rsid w:val="00457D72"/>
    <w:pPr>
      <w:spacing w:after="120" w:line="240" w:lineRule="auto"/>
      <w:ind w:left="283"/>
      <w:contextualSpacing/>
    </w:pPr>
    <w:rPr>
      <w:rFonts w:ascii="Times New Roman" w:eastAsiaTheme="minorEastAsia" w:hAnsi="Times New Roman"/>
      <w:sz w:val="24"/>
      <w:szCs w:val="24"/>
    </w:rPr>
  </w:style>
  <w:style w:type="character" w:customStyle="1" w:styleId="Heading4Char">
    <w:name w:val="Heading 4 Char"/>
    <w:basedOn w:val="DefaultParagraphFont"/>
    <w:link w:val="Heading4"/>
    <w:uiPriority w:val="9"/>
    <w:rsid w:val="005C321E"/>
    <w:rPr>
      <w:rFonts w:eastAsiaTheme="minorEastAsia"/>
      <w:b/>
      <w:i/>
      <w:color w:val="1006E0"/>
      <w:sz w:val="18"/>
      <w:szCs w:val="18"/>
    </w:rPr>
  </w:style>
  <w:style w:type="character" w:customStyle="1" w:styleId="Heading5Char">
    <w:name w:val="Heading 5 Char"/>
    <w:basedOn w:val="DefaultParagraphFont"/>
    <w:link w:val="Heading5"/>
    <w:uiPriority w:val="9"/>
    <w:rsid w:val="001A48F1"/>
    <w:rPr>
      <w:rFonts w:eastAsiaTheme="majorEastAsia" w:cstheme="majorBidi"/>
      <w:b/>
      <w:sz w:val="18"/>
      <w:szCs w:val="18"/>
    </w:rPr>
  </w:style>
  <w:style w:type="paragraph" w:styleId="ListParagraph">
    <w:name w:val="List Paragraph"/>
    <w:aliases w:val="Heading three,List Paragraph cf"/>
    <w:basedOn w:val="Normal"/>
    <w:uiPriority w:val="34"/>
    <w:qFormat/>
    <w:rsid w:val="0016544E"/>
    <w:pPr>
      <w:spacing w:line="240" w:lineRule="auto"/>
      <w:ind w:left="720"/>
      <w:contextualSpacing/>
    </w:pPr>
  </w:style>
  <w:style w:type="paragraph" w:styleId="ListBullet">
    <w:name w:val="List Bullet"/>
    <w:basedOn w:val="Normal"/>
    <w:uiPriority w:val="99"/>
    <w:unhideWhenUsed/>
    <w:rsid w:val="00E06134"/>
    <w:pPr>
      <w:numPr>
        <w:numId w:val="1"/>
      </w:numPr>
      <w:spacing w:line="240" w:lineRule="auto"/>
      <w:contextualSpacing/>
    </w:pPr>
  </w:style>
  <w:style w:type="paragraph" w:styleId="ListBullet2">
    <w:name w:val="List Bullet 2"/>
    <w:basedOn w:val="Normal"/>
    <w:uiPriority w:val="99"/>
    <w:unhideWhenUsed/>
    <w:rsid w:val="00E06134"/>
    <w:pPr>
      <w:numPr>
        <w:numId w:val="2"/>
      </w:numPr>
      <w:spacing w:after="0" w:line="240" w:lineRule="auto"/>
      <w:contextualSpacing/>
    </w:pPr>
    <w:rPr>
      <w:rFonts w:ascii="Times New Roman" w:eastAsiaTheme="minorEastAsia" w:hAnsi="Times New Roman"/>
      <w:sz w:val="24"/>
      <w:szCs w:val="24"/>
    </w:rPr>
  </w:style>
  <w:style w:type="paragraph" w:styleId="ListNumber">
    <w:name w:val="List Number"/>
    <w:basedOn w:val="Normal"/>
    <w:uiPriority w:val="99"/>
    <w:unhideWhenUsed/>
    <w:rsid w:val="00393871"/>
    <w:pPr>
      <w:numPr>
        <w:numId w:val="3"/>
      </w:numPr>
      <w:contextualSpacing/>
    </w:pPr>
  </w:style>
  <w:style w:type="paragraph" w:styleId="TOCHeading">
    <w:name w:val="TOC Heading"/>
    <w:basedOn w:val="Heading1"/>
    <w:next w:val="Normal"/>
    <w:uiPriority w:val="39"/>
    <w:unhideWhenUsed/>
    <w:qFormat/>
    <w:rsid w:val="00E06F57"/>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4E0E38"/>
    <w:pPr>
      <w:tabs>
        <w:tab w:val="right" w:leader="dot" w:pos="10188"/>
      </w:tabs>
      <w:spacing w:after="0" w:line="240" w:lineRule="auto"/>
    </w:pPr>
  </w:style>
  <w:style w:type="paragraph" w:styleId="TOC3">
    <w:name w:val="toc 3"/>
    <w:basedOn w:val="Normal"/>
    <w:next w:val="Normal"/>
    <w:autoRedefine/>
    <w:uiPriority w:val="39"/>
    <w:unhideWhenUsed/>
    <w:rsid w:val="00D62C53"/>
    <w:pPr>
      <w:tabs>
        <w:tab w:val="right" w:leader="dot" w:pos="10188"/>
      </w:tabs>
      <w:spacing w:after="0" w:line="240" w:lineRule="auto"/>
      <w:ind w:left="440"/>
    </w:pPr>
  </w:style>
  <w:style w:type="paragraph" w:styleId="TOC2">
    <w:name w:val="toc 2"/>
    <w:basedOn w:val="Normal"/>
    <w:next w:val="Normal"/>
    <w:autoRedefine/>
    <w:uiPriority w:val="39"/>
    <w:unhideWhenUsed/>
    <w:rsid w:val="003B10D2"/>
    <w:pPr>
      <w:tabs>
        <w:tab w:val="right" w:leader="dot" w:pos="10188"/>
      </w:tabs>
      <w:spacing w:after="0" w:line="240" w:lineRule="auto"/>
      <w:ind w:left="220"/>
    </w:pPr>
  </w:style>
  <w:style w:type="character" w:styleId="Hyperlink">
    <w:name w:val="Hyperlink"/>
    <w:basedOn w:val="DefaultParagraphFont"/>
    <w:uiPriority w:val="99"/>
    <w:unhideWhenUsed/>
    <w:rsid w:val="00E06F57"/>
    <w:rPr>
      <w:color w:val="0563C1" w:themeColor="hyperlink"/>
      <w:u w:val="single"/>
    </w:rPr>
  </w:style>
  <w:style w:type="paragraph" w:customStyle="1" w:styleId="paragraph">
    <w:name w:val="paragraph"/>
    <w:basedOn w:val="Normal"/>
    <w:rsid w:val="00570BB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lawlabel">
    <w:name w:val="lawlabel"/>
    <w:basedOn w:val="DefaultParagraphFont"/>
    <w:rsid w:val="00570BB8"/>
  </w:style>
  <w:style w:type="character" w:customStyle="1" w:styleId="apple-converted-space">
    <w:name w:val="apple-converted-space"/>
    <w:basedOn w:val="DefaultParagraphFont"/>
    <w:rsid w:val="00570BB8"/>
  </w:style>
  <w:style w:type="character" w:styleId="HTMLCite">
    <w:name w:val="HTML Cite"/>
    <w:basedOn w:val="DefaultParagraphFont"/>
    <w:uiPriority w:val="99"/>
    <w:semiHidden/>
    <w:unhideWhenUsed/>
    <w:rsid w:val="00570BB8"/>
    <w:rPr>
      <w:i/>
      <w:iCs/>
    </w:rPr>
  </w:style>
  <w:style w:type="character" w:customStyle="1" w:styleId="repealed">
    <w:name w:val="repealed"/>
    <w:basedOn w:val="DefaultParagraphFont"/>
    <w:rsid w:val="00570BB8"/>
  </w:style>
  <w:style w:type="character" w:styleId="PageNumber">
    <w:name w:val="page number"/>
    <w:basedOn w:val="DefaultParagraphFont"/>
    <w:uiPriority w:val="99"/>
    <w:semiHidden/>
    <w:unhideWhenUsed/>
    <w:rsid w:val="00593FE5"/>
  </w:style>
  <w:style w:type="paragraph" w:styleId="ListContinue2">
    <w:name w:val="List Continue 2"/>
    <w:basedOn w:val="Normal"/>
    <w:uiPriority w:val="99"/>
    <w:unhideWhenUsed/>
    <w:rsid w:val="00593FE5"/>
    <w:pPr>
      <w:spacing w:after="120" w:line="240" w:lineRule="auto"/>
      <w:ind w:left="566"/>
      <w:contextualSpacing/>
    </w:pPr>
    <w:rPr>
      <w:rFonts w:ascii="Times New Roman" w:eastAsiaTheme="minorEastAsia" w:hAnsi="Times New Roman"/>
      <w:sz w:val="24"/>
      <w:szCs w:val="24"/>
    </w:rPr>
  </w:style>
  <w:style w:type="paragraph" w:styleId="ListBullet3">
    <w:name w:val="List Bullet 3"/>
    <w:basedOn w:val="Normal"/>
    <w:uiPriority w:val="99"/>
    <w:unhideWhenUsed/>
    <w:rsid w:val="00593FE5"/>
    <w:pPr>
      <w:numPr>
        <w:numId w:val="4"/>
      </w:numPr>
      <w:spacing w:after="0" w:line="240" w:lineRule="auto"/>
      <w:contextualSpacing/>
    </w:pPr>
    <w:rPr>
      <w:rFonts w:ascii="Times New Roman" w:eastAsiaTheme="minorEastAsia" w:hAnsi="Times New Roman"/>
      <w:sz w:val="24"/>
      <w:szCs w:val="24"/>
    </w:rPr>
  </w:style>
  <w:style w:type="table" w:styleId="TableGrid">
    <w:name w:val="Table Grid"/>
    <w:basedOn w:val="TableNormal"/>
    <w:uiPriority w:val="59"/>
    <w:rsid w:val="0007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98"/>
    <w:rPr>
      <w:sz w:val="18"/>
    </w:rPr>
  </w:style>
  <w:style w:type="paragraph" w:styleId="Footer">
    <w:name w:val="footer"/>
    <w:basedOn w:val="Normal"/>
    <w:link w:val="FooterChar"/>
    <w:uiPriority w:val="99"/>
    <w:unhideWhenUsed/>
    <w:rsid w:val="0051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98"/>
    <w:rPr>
      <w:sz w:val="18"/>
    </w:rPr>
  </w:style>
  <w:style w:type="paragraph" w:styleId="ListNumber3">
    <w:name w:val="List Number 3"/>
    <w:basedOn w:val="Normal"/>
    <w:uiPriority w:val="99"/>
    <w:unhideWhenUsed/>
    <w:rsid w:val="00052F4F"/>
    <w:pPr>
      <w:numPr>
        <w:numId w:val="5"/>
      </w:numPr>
      <w:spacing w:after="0" w:line="240" w:lineRule="auto"/>
      <w:contextualSpacing/>
    </w:pPr>
    <w:rPr>
      <w:rFonts w:ascii="Times New Roman" w:eastAsiaTheme="minorEastAsia" w:hAnsi="Times New Roman"/>
      <w:sz w:val="24"/>
      <w:szCs w:val="24"/>
    </w:rPr>
  </w:style>
  <w:style w:type="paragraph" w:styleId="ListContinue3">
    <w:name w:val="List Continue 3"/>
    <w:basedOn w:val="Normal"/>
    <w:uiPriority w:val="99"/>
    <w:unhideWhenUsed/>
    <w:rsid w:val="002C05EC"/>
    <w:pPr>
      <w:spacing w:after="120" w:line="240" w:lineRule="auto"/>
      <w:ind w:left="849"/>
      <w:contextualSpacing/>
    </w:pPr>
    <w:rPr>
      <w:rFonts w:ascii="Times New Roman" w:eastAsiaTheme="minorEastAsia" w:hAnsi="Times New Roman"/>
      <w:sz w:val="24"/>
      <w:szCs w:val="24"/>
    </w:rPr>
  </w:style>
  <w:style w:type="paragraph" w:styleId="ListNumber2">
    <w:name w:val="List Number 2"/>
    <w:basedOn w:val="Normal"/>
    <w:uiPriority w:val="99"/>
    <w:unhideWhenUsed/>
    <w:rsid w:val="00B05FDE"/>
    <w:pPr>
      <w:spacing w:after="0" w:line="240" w:lineRule="auto"/>
      <w:contextualSpacing/>
    </w:pPr>
    <w:rPr>
      <w:rFonts w:ascii="Times New Roman" w:eastAsiaTheme="minorEastAsia" w:hAnsi="Times New Roman"/>
      <w:sz w:val="24"/>
      <w:szCs w:val="24"/>
    </w:rPr>
  </w:style>
  <w:style w:type="paragraph" w:styleId="FootnoteText">
    <w:name w:val="footnote text"/>
    <w:basedOn w:val="Normal"/>
    <w:link w:val="FootnoteTextChar"/>
    <w:rsid w:val="0056030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56030B"/>
    <w:rPr>
      <w:rFonts w:ascii="Times New Roman" w:eastAsia="Times New Roman" w:hAnsi="Times New Roman" w:cs="Times New Roman"/>
      <w:sz w:val="24"/>
      <w:szCs w:val="24"/>
    </w:rPr>
  </w:style>
  <w:style w:type="character" w:styleId="FootnoteReference">
    <w:name w:val="footnote reference"/>
    <w:basedOn w:val="DefaultParagraphFont"/>
    <w:rsid w:val="0056030B"/>
    <w:rPr>
      <w:vertAlign w:val="superscript"/>
    </w:rPr>
  </w:style>
  <w:style w:type="paragraph" w:customStyle="1" w:styleId="sub">
    <w:name w:val="sub"/>
    <w:basedOn w:val="Normal"/>
    <w:rsid w:val="0011248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ra">
    <w:name w:val="para"/>
    <w:basedOn w:val="Normal"/>
    <w:rsid w:val="0011248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otherlang">
    <w:name w:val="otherlang"/>
    <w:basedOn w:val="DefaultParagraphFont"/>
    <w:rsid w:val="00993038"/>
  </w:style>
  <w:style w:type="paragraph" w:styleId="BalloonText">
    <w:name w:val="Balloon Text"/>
    <w:basedOn w:val="Normal"/>
    <w:link w:val="BalloonTextChar"/>
    <w:uiPriority w:val="99"/>
    <w:semiHidden/>
    <w:unhideWhenUsed/>
    <w:rsid w:val="004A3B6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A3B60"/>
    <w:rPr>
      <w:rFonts w:ascii="Segoe UI" w:hAnsi="Segoe UI" w:cs="Segoe UI"/>
      <w:sz w:val="18"/>
      <w:szCs w:val="18"/>
    </w:rPr>
  </w:style>
  <w:style w:type="character" w:styleId="Strong">
    <w:name w:val="Strong"/>
    <w:basedOn w:val="DefaultParagraphFont"/>
    <w:uiPriority w:val="22"/>
    <w:qFormat/>
    <w:rsid w:val="00B2702E"/>
    <w:rPr>
      <w:b/>
      <w:bCs/>
    </w:rPr>
  </w:style>
  <w:style w:type="paragraph" w:customStyle="1" w:styleId="def">
    <w:name w:val="def"/>
    <w:basedOn w:val="Normal"/>
    <w:rsid w:val="00B2702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ec2">
    <w:name w:val="sec2"/>
    <w:basedOn w:val="Normal"/>
    <w:rsid w:val="00B122A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Normal1">
    <w:name w:val="Normal1"/>
    <w:rsid w:val="000A61FA"/>
    <w:pPr>
      <w:spacing w:after="0" w:line="276" w:lineRule="auto"/>
    </w:pPr>
    <w:rPr>
      <w:rFonts w:ascii="Arial" w:eastAsia="Arial" w:hAnsi="Arial" w:cs="Arial"/>
      <w:color w:val="000000"/>
      <w:lang w:val="en-CA"/>
    </w:rPr>
  </w:style>
  <w:style w:type="paragraph" w:customStyle="1" w:styleId="Body">
    <w:name w:val="Body"/>
    <w:rsid w:val="007F401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ormalWeb">
    <w:name w:val="Normal (Web)"/>
    <w:basedOn w:val="Normal"/>
    <w:uiPriority w:val="99"/>
    <w:unhideWhenUsed/>
    <w:rsid w:val="00D45333"/>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link w:val="NoSpacingChar"/>
    <w:uiPriority w:val="1"/>
    <w:qFormat/>
    <w:rsid w:val="00746577"/>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746577"/>
    <w:rPr>
      <w:rFonts w:ascii="Times New Roman" w:hAnsi="Times New Roman" w:cs="Times New Roman"/>
      <w:sz w:val="24"/>
      <w:szCs w:val="24"/>
    </w:rPr>
  </w:style>
  <w:style w:type="table" w:styleId="GridTable4-Accent1">
    <w:name w:val="Grid Table 4 Accent 1"/>
    <w:basedOn w:val="TableNormal"/>
    <w:uiPriority w:val="49"/>
    <w:rsid w:val="00F279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F279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279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279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para">
    <w:name w:val="subpara"/>
    <w:basedOn w:val="Normal"/>
    <w:rsid w:val="003916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4722A5"/>
    <w:rPr>
      <w:sz w:val="18"/>
      <w:szCs w:val="18"/>
    </w:rPr>
  </w:style>
  <w:style w:type="paragraph" w:styleId="Subtitle">
    <w:name w:val="Subtitle"/>
    <w:aliases w:val="Case"/>
    <w:basedOn w:val="Normal"/>
    <w:next w:val="Normal"/>
    <w:link w:val="SubtitleChar"/>
    <w:uiPriority w:val="11"/>
    <w:qFormat/>
    <w:rsid w:val="004E6C47"/>
    <w:pPr>
      <w:numPr>
        <w:ilvl w:val="1"/>
      </w:numPr>
      <w:spacing w:line="240" w:lineRule="auto"/>
    </w:pPr>
    <w:rPr>
      <w:rFonts w:ascii="Times New Roman" w:hAnsi="Times New Roman"/>
      <w:i/>
      <w:color w:val="FF0000"/>
      <w:spacing w:val="15"/>
      <w:sz w:val="20"/>
      <w:szCs w:val="24"/>
      <w:bdr w:val="nil"/>
    </w:rPr>
  </w:style>
  <w:style w:type="character" w:customStyle="1" w:styleId="SubtitleChar">
    <w:name w:val="Subtitle Char"/>
    <w:aliases w:val="Case Char"/>
    <w:basedOn w:val="DefaultParagraphFont"/>
    <w:link w:val="Subtitle"/>
    <w:uiPriority w:val="11"/>
    <w:rsid w:val="004E6C47"/>
    <w:rPr>
      <w:rFonts w:ascii="Times New Roman" w:hAnsi="Times New Roman"/>
      <w:i/>
      <w:color w:val="FF0000"/>
      <w:spacing w:val="15"/>
      <w:sz w:val="20"/>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86">
      <w:bodyDiv w:val="1"/>
      <w:marLeft w:val="0"/>
      <w:marRight w:val="0"/>
      <w:marTop w:val="0"/>
      <w:marBottom w:val="0"/>
      <w:divBdr>
        <w:top w:val="none" w:sz="0" w:space="0" w:color="auto"/>
        <w:left w:val="none" w:sz="0" w:space="0" w:color="auto"/>
        <w:bottom w:val="none" w:sz="0" w:space="0" w:color="auto"/>
        <w:right w:val="none" w:sz="0" w:space="0" w:color="auto"/>
      </w:divBdr>
    </w:div>
    <w:div w:id="174274023">
      <w:bodyDiv w:val="1"/>
      <w:marLeft w:val="0"/>
      <w:marRight w:val="0"/>
      <w:marTop w:val="0"/>
      <w:marBottom w:val="0"/>
      <w:divBdr>
        <w:top w:val="none" w:sz="0" w:space="0" w:color="auto"/>
        <w:left w:val="none" w:sz="0" w:space="0" w:color="auto"/>
        <w:bottom w:val="none" w:sz="0" w:space="0" w:color="auto"/>
        <w:right w:val="none" w:sz="0" w:space="0" w:color="auto"/>
      </w:divBdr>
    </w:div>
    <w:div w:id="207378366">
      <w:bodyDiv w:val="1"/>
      <w:marLeft w:val="0"/>
      <w:marRight w:val="0"/>
      <w:marTop w:val="0"/>
      <w:marBottom w:val="0"/>
      <w:divBdr>
        <w:top w:val="none" w:sz="0" w:space="0" w:color="auto"/>
        <w:left w:val="none" w:sz="0" w:space="0" w:color="auto"/>
        <w:bottom w:val="none" w:sz="0" w:space="0" w:color="auto"/>
        <w:right w:val="none" w:sz="0" w:space="0" w:color="auto"/>
      </w:divBdr>
    </w:div>
    <w:div w:id="329604291">
      <w:bodyDiv w:val="1"/>
      <w:marLeft w:val="0"/>
      <w:marRight w:val="0"/>
      <w:marTop w:val="0"/>
      <w:marBottom w:val="0"/>
      <w:divBdr>
        <w:top w:val="none" w:sz="0" w:space="0" w:color="auto"/>
        <w:left w:val="none" w:sz="0" w:space="0" w:color="auto"/>
        <w:bottom w:val="none" w:sz="0" w:space="0" w:color="auto"/>
        <w:right w:val="none" w:sz="0" w:space="0" w:color="auto"/>
      </w:divBdr>
    </w:div>
    <w:div w:id="452753968">
      <w:bodyDiv w:val="1"/>
      <w:marLeft w:val="0"/>
      <w:marRight w:val="0"/>
      <w:marTop w:val="0"/>
      <w:marBottom w:val="0"/>
      <w:divBdr>
        <w:top w:val="none" w:sz="0" w:space="0" w:color="auto"/>
        <w:left w:val="none" w:sz="0" w:space="0" w:color="auto"/>
        <w:bottom w:val="none" w:sz="0" w:space="0" w:color="auto"/>
        <w:right w:val="none" w:sz="0" w:space="0" w:color="auto"/>
      </w:divBdr>
      <w:divsChild>
        <w:div w:id="1673678857">
          <w:marLeft w:val="432"/>
          <w:marRight w:val="0"/>
          <w:marTop w:val="130"/>
          <w:marBottom w:val="0"/>
          <w:divBdr>
            <w:top w:val="none" w:sz="0" w:space="0" w:color="auto"/>
            <w:left w:val="none" w:sz="0" w:space="0" w:color="auto"/>
            <w:bottom w:val="none" w:sz="0" w:space="0" w:color="auto"/>
            <w:right w:val="none" w:sz="0" w:space="0" w:color="auto"/>
          </w:divBdr>
        </w:div>
        <w:div w:id="506557385">
          <w:marLeft w:val="432"/>
          <w:marRight w:val="0"/>
          <w:marTop w:val="130"/>
          <w:marBottom w:val="0"/>
          <w:divBdr>
            <w:top w:val="none" w:sz="0" w:space="0" w:color="auto"/>
            <w:left w:val="none" w:sz="0" w:space="0" w:color="auto"/>
            <w:bottom w:val="none" w:sz="0" w:space="0" w:color="auto"/>
            <w:right w:val="none" w:sz="0" w:space="0" w:color="auto"/>
          </w:divBdr>
        </w:div>
      </w:divsChild>
    </w:div>
    <w:div w:id="478573326">
      <w:bodyDiv w:val="1"/>
      <w:marLeft w:val="0"/>
      <w:marRight w:val="0"/>
      <w:marTop w:val="0"/>
      <w:marBottom w:val="0"/>
      <w:divBdr>
        <w:top w:val="none" w:sz="0" w:space="0" w:color="auto"/>
        <w:left w:val="none" w:sz="0" w:space="0" w:color="auto"/>
        <w:bottom w:val="none" w:sz="0" w:space="0" w:color="auto"/>
        <w:right w:val="none" w:sz="0" w:space="0" w:color="auto"/>
      </w:divBdr>
    </w:div>
    <w:div w:id="625279141">
      <w:bodyDiv w:val="1"/>
      <w:marLeft w:val="0"/>
      <w:marRight w:val="0"/>
      <w:marTop w:val="0"/>
      <w:marBottom w:val="0"/>
      <w:divBdr>
        <w:top w:val="none" w:sz="0" w:space="0" w:color="auto"/>
        <w:left w:val="none" w:sz="0" w:space="0" w:color="auto"/>
        <w:bottom w:val="none" w:sz="0" w:space="0" w:color="auto"/>
        <w:right w:val="none" w:sz="0" w:space="0" w:color="auto"/>
      </w:divBdr>
      <w:divsChild>
        <w:div w:id="280767694">
          <w:marLeft w:val="547"/>
          <w:marRight w:val="0"/>
          <w:marTop w:val="288"/>
          <w:marBottom w:val="0"/>
          <w:divBdr>
            <w:top w:val="none" w:sz="0" w:space="0" w:color="auto"/>
            <w:left w:val="none" w:sz="0" w:space="0" w:color="auto"/>
            <w:bottom w:val="none" w:sz="0" w:space="0" w:color="auto"/>
            <w:right w:val="none" w:sz="0" w:space="0" w:color="auto"/>
          </w:divBdr>
        </w:div>
        <w:div w:id="1355694345">
          <w:marLeft w:val="1166"/>
          <w:marRight w:val="0"/>
          <w:marTop w:val="264"/>
          <w:marBottom w:val="0"/>
          <w:divBdr>
            <w:top w:val="none" w:sz="0" w:space="0" w:color="auto"/>
            <w:left w:val="none" w:sz="0" w:space="0" w:color="auto"/>
            <w:bottom w:val="none" w:sz="0" w:space="0" w:color="auto"/>
            <w:right w:val="none" w:sz="0" w:space="0" w:color="auto"/>
          </w:divBdr>
        </w:div>
        <w:div w:id="1372876534">
          <w:marLeft w:val="547"/>
          <w:marRight w:val="0"/>
          <w:marTop w:val="288"/>
          <w:marBottom w:val="0"/>
          <w:divBdr>
            <w:top w:val="none" w:sz="0" w:space="0" w:color="auto"/>
            <w:left w:val="none" w:sz="0" w:space="0" w:color="auto"/>
            <w:bottom w:val="none" w:sz="0" w:space="0" w:color="auto"/>
            <w:right w:val="none" w:sz="0" w:space="0" w:color="auto"/>
          </w:divBdr>
        </w:div>
        <w:div w:id="1416783216">
          <w:marLeft w:val="1166"/>
          <w:marRight w:val="0"/>
          <w:marTop w:val="264"/>
          <w:marBottom w:val="0"/>
          <w:divBdr>
            <w:top w:val="none" w:sz="0" w:space="0" w:color="auto"/>
            <w:left w:val="none" w:sz="0" w:space="0" w:color="auto"/>
            <w:bottom w:val="none" w:sz="0" w:space="0" w:color="auto"/>
            <w:right w:val="none" w:sz="0" w:space="0" w:color="auto"/>
          </w:divBdr>
        </w:div>
        <w:div w:id="1555893363">
          <w:marLeft w:val="547"/>
          <w:marRight w:val="0"/>
          <w:marTop w:val="288"/>
          <w:marBottom w:val="0"/>
          <w:divBdr>
            <w:top w:val="none" w:sz="0" w:space="0" w:color="auto"/>
            <w:left w:val="none" w:sz="0" w:space="0" w:color="auto"/>
            <w:bottom w:val="none" w:sz="0" w:space="0" w:color="auto"/>
            <w:right w:val="none" w:sz="0" w:space="0" w:color="auto"/>
          </w:divBdr>
        </w:div>
      </w:divsChild>
    </w:div>
    <w:div w:id="670986490">
      <w:bodyDiv w:val="1"/>
      <w:marLeft w:val="0"/>
      <w:marRight w:val="0"/>
      <w:marTop w:val="0"/>
      <w:marBottom w:val="0"/>
      <w:divBdr>
        <w:top w:val="none" w:sz="0" w:space="0" w:color="auto"/>
        <w:left w:val="none" w:sz="0" w:space="0" w:color="auto"/>
        <w:bottom w:val="none" w:sz="0" w:space="0" w:color="auto"/>
        <w:right w:val="none" w:sz="0" w:space="0" w:color="auto"/>
      </w:divBdr>
      <w:divsChild>
        <w:div w:id="1834294835">
          <w:marLeft w:val="979"/>
          <w:marRight w:val="0"/>
          <w:marTop w:val="115"/>
          <w:marBottom w:val="0"/>
          <w:divBdr>
            <w:top w:val="none" w:sz="0" w:space="0" w:color="auto"/>
            <w:left w:val="none" w:sz="0" w:space="0" w:color="auto"/>
            <w:bottom w:val="none" w:sz="0" w:space="0" w:color="auto"/>
            <w:right w:val="none" w:sz="0" w:space="0" w:color="auto"/>
          </w:divBdr>
        </w:div>
      </w:divsChild>
    </w:div>
    <w:div w:id="755369331">
      <w:bodyDiv w:val="1"/>
      <w:marLeft w:val="0"/>
      <w:marRight w:val="0"/>
      <w:marTop w:val="0"/>
      <w:marBottom w:val="0"/>
      <w:divBdr>
        <w:top w:val="none" w:sz="0" w:space="0" w:color="auto"/>
        <w:left w:val="none" w:sz="0" w:space="0" w:color="auto"/>
        <w:bottom w:val="none" w:sz="0" w:space="0" w:color="auto"/>
        <w:right w:val="none" w:sz="0" w:space="0" w:color="auto"/>
      </w:divBdr>
      <w:divsChild>
        <w:div w:id="507446513">
          <w:marLeft w:val="1800"/>
          <w:marRight w:val="0"/>
          <w:marTop w:val="144"/>
          <w:marBottom w:val="0"/>
          <w:divBdr>
            <w:top w:val="none" w:sz="0" w:space="0" w:color="auto"/>
            <w:left w:val="none" w:sz="0" w:space="0" w:color="auto"/>
            <w:bottom w:val="none" w:sz="0" w:space="0" w:color="auto"/>
            <w:right w:val="none" w:sz="0" w:space="0" w:color="auto"/>
          </w:divBdr>
        </w:div>
        <w:div w:id="567770122">
          <w:marLeft w:val="1325"/>
          <w:marRight w:val="0"/>
          <w:marTop w:val="144"/>
          <w:marBottom w:val="0"/>
          <w:divBdr>
            <w:top w:val="none" w:sz="0" w:space="0" w:color="auto"/>
            <w:left w:val="none" w:sz="0" w:space="0" w:color="auto"/>
            <w:bottom w:val="none" w:sz="0" w:space="0" w:color="auto"/>
            <w:right w:val="none" w:sz="0" w:space="0" w:color="auto"/>
          </w:divBdr>
        </w:div>
        <w:div w:id="1157458823">
          <w:marLeft w:val="634"/>
          <w:marRight w:val="0"/>
          <w:marTop w:val="158"/>
          <w:marBottom w:val="0"/>
          <w:divBdr>
            <w:top w:val="none" w:sz="0" w:space="0" w:color="auto"/>
            <w:left w:val="none" w:sz="0" w:space="0" w:color="auto"/>
            <w:bottom w:val="none" w:sz="0" w:space="0" w:color="auto"/>
            <w:right w:val="none" w:sz="0" w:space="0" w:color="auto"/>
          </w:divBdr>
        </w:div>
        <w:div w:id="1331719703">
          <w:marLeft w:val="1325"/>
          <w:marRight w:val="0"/>
          <w:marTop w:val="144"/>
          <w:marBottom w:val="0"/>
          <w:divBdr>
            <w:top w:val="none" w:sz="0" w:space="0" w:color="auto"/>
            <w:left w:val="none" w:sz="0" w:space="0" w:color="auto"/>
            <w:bottom w:val="none" w:sz="0" w:space="0" w:color="auto"/>
            <w:right w:val="none" w:sz="0" w:space="0" w:color="auto"/>
          </w:divBdr>
        </w:div>
        <w:div w:id="1709915625">
          <w:marLeft w:val="634"/>
          <w:marRight w:val="0"/>
          <w:marTop w:val="158"/>
          <w:marBottom w:val="0"/>
          <w:divBdr>
            <w:top w:val="none" w:sz="0" w:space="0" w:color="auto"/>
            <w:left w:val="none" w:sz="0" w:space="0" w:color="auto"/>
            <w:bottom w:val="none" w:sz="0" w:space="0" w:color="auto"/>
            <w:right w:val="none" w:sz="0" w:space="0" w:color="auto"/>
          </w:divBdr>
        </w:div>
        <w:div w:id="1932540777">
          <w:marLeft w:val="1800"/>
          <w:marRight w:val="0"/>
          <w:marTop w:val="144"/>
          <w:marBottom w:val="0"/>
          <w:divBdr>
            <w:top w:val="none" w:sz="0" w:space="0" w:color="auto"/>
            <w:left w:val="none" w:sz="0" w:space="0" w:color="auto"/>
            <w:bottom w:val="none" w:sz="0" w:space="0" w:color="auto"/>
            <w:right w:val="none" w:sz="0" w:space="0" w:color="auto"/>
          </w:divBdr>
        </w:div>
        <w:div w:id="2074348205">
          <w:marLeft w:val="1800"/>
          <w:marRight w:val="0"/>
          <w:marTop w:val="144"/>
          <w:marBottom w:val="0"/>
          <w:divBdr>
            <w:top w:val="none" w:sz="0" w:space="0" w:color="auto"/>
            <w:left w:val="none" w:sz="0" w:space="0" w:color="auto"/>
            <w:bottom w:val="none" w:sz="0" w:space="0" w:color="auto"/>
            <w:right w:val="none" w:sz="0" w:space="0" w:color="auto"/>
          </w:divBdr>
        </w:div>
        <w:div w:id="2115514252">
          <w:marLeft w:val="1325"/>
          <w:marRight w:val="0"/>
          <w:marTop w:val="144"/>
          <w:marBottom w:val="0"/>
          <w:divBdr>
            <w:top w:val="none" w:sz="0" w:space="0" w:color="auto"/>
            <w:left w:val="none" w:sz="0" w:space="0" w:color="auto"/>
            <w:bottom w:val="none" w:sz="0" w:space="0" w:color="auto"/>
            <w:right w:val="none" w:sz="0" w:space="0" w:color="auto"/>
          </w:divBdr>
        </w:div>
        <w:div w:id="2126121368">
          <w:marLeft w:val="634"/>
          <w:marRight w:val="0"/>
          <w:marTop w:val="158"/>
          <w:marBottom w:val="0"/>
          <w:divBdr>
            <w:top w:val="none" w:sz="0" w:space="0" w:color="auto"/>
            <w:left w:val="none" w:sz="0" w:space="0" w:color="auto"/>
            <w:bottom w:val="none" w:sz="0" w:space="0" w:color="auto"/>
            <w:right w:val="none" w:sz="0" w:space="0" w:color="auto"/>
          </w:divBdr>
        </w:div>
      </w:divsChild>
    </w:div>
    <w:div w:id="827017188">
      <w:bodyDiv w:val="1"/>
      <w:marLeft w:val="0"/>
      <w:marRight w:val="0"/>
      <w:marTop w:val="0"/>
      <w:marBottom w:val="0"/>
      <w:divBdr>
        <w:top w:val="none" w:sz="0" w:space="0" w:color="auto"/>
        <w:left w:val="none" w:sz="0" w:space="0" w:color="auto"/>
        <w:bottom w:val="none" w:sz="0" w:space="0" w:color="auto"/>
        <w:right w:val="none" w:sz="0" w:space="0" w:color="auto"/>
      </w:divBdr>
    </w:div>
    <w:div w:id="859855608">
      <w:bodyDiv w:val="1"/>
      <w:marLeft w:val="0"/>
      <w:marRight w:val="0"/>
      <w:marTop w:val="0"/>
      <w:marBottom w:val="0"/>
      <w:divBdr>
        <w:top w:val="none" w:sz="0" w:space="0" w:color="auto"/>
        <w:left w:val="none" w:sz="0" w:space="0" w:color="auto"/>
        <w:bottom w:val="none" w:sz="0" w:space="0" w:color="auto"/>
        <w:right w:val="none" w:sz="0" w:space="0" w:color="auto"/>
      </w:divBdr>
      <w:divsChild>
        <w:div w:id="1018198635">
          <w:marLeft w:val="778"/>
          <w:marRight w:val="0"/>
          <w:marTop w:val="156"/>
          <w:marBottom w:val="0"/>
          <w:divBdr>
            <w:top w:val="none" w:sz="0" w:space="0" w:color="auto"/>
            <w:left w:val="none" w:sz="0" w:space="0" w:color="auto"/>
            <w:bottom w:val="none" w:sz="0" w:space="0" w:color="auto"/>
            <w:right w:val="none" w:sz="0" w:space="0" w:color="auto"/>
          </w:divBdr>
        </w:div>
        <w:div w:id="1155343537">
          <w:marLeft w:val="778"/>
          <w:marRight w:val="0"/>
          <w:marTop w:val="156"/>
          <w:marBottom w:val="0"/>
          <w:divBdr>
            <w:top w:val="none" w:sz="0" w:space="0" w:color="auto"/>
            <w:left w:val="none" w:sz="0" w:space="0" w:color="auto"/>
            <w:bottom w:val="none" w:sz="0" w:space="0" w:color="auto"/>
            <w:right w:val="none" w:sz="0" w:space="0" w:color="auto"/>
          </w:divBdr>
        </w:div>
        <w:div w:id="1972248768">
          <w:marLeft w:val="778"/>
          <w:marRight w:val="0"/>
          <w:marTop w:val="156"/>
          <w:marBottom w:val="0"/>
          <w:divBdr>
            <w:top w:val="none" w:sz="0" w:space="0" w:color="auto"/>
            <w:left w:val="none" w:sz="0" w:space="0" w:color="auto"/>
            <w:bottom w:val="none" w:sz="0" w:space="0" w:color="auto"/>
            <w:right w:val="none" w:sz="0" w:space="0" w:color="auto"/>
          </w:divBdr>
        </w:div>
        <w:div w:id="2011254013">
          <w:marLeft w:val="778"/>
          <w:marRight w:val="0"/>
          <w:marTop w:val="156"/>
          <w:marBottom w:val="0"/>
          <w:divBdr>
            <w:top w:val="none" w:sz="0" w:space="0" w:color="auto"/>
            <w:left w:val="none" w:sz="0" w:space="0" w:color="auto"/>
            <w:bottom w:val="none" w:sz="0" w:space="0" w:color="auto"/>
            <w:right w:val="none" w:sz="0" w:space="0" w:color="auto"/>
          </w:divBdr>
        </w:div>
      </w:divsChild>
    </w:div>
    <w:div w:id="983654585">
      <w:bodyDiv w:val="1"/>
      <w:marLeft w:val="0"/>
      <w:marRight w:val="0"/>
      <w:marTop w:val="0"/>
      <w:marBottom w:val="0"/>
      <w:divBdr>
        <w:top w:val="none" w:sz="0" w:space="0" w:color="auto"/>
        <w:left w:val="none" w:sz="0" w:space="0" w:color="auto"/>
        <w:bottom w:val="none" w:sz="0" w:space="0" w:color="auto"/>
        <w:right w:val="none" w:sz="0" w:space="0" w:color="auto"/>
      </w:divBdr>
      <w:divsChild>
        <w:div w:id="105390174">
          <w:marLeft w:val="1166"/>
          <w:marRight w:val="0"/>
          <w:marTop w:val="101"/>
          <w:marBottom w:val="0"/>
          <w:divBdr>
            <w:top w:val="none" w:sz="0" w:space="0" w:color="auto"/>
            <w:left w:val="none" w:sz="0" w:space="0" w:color="auto"/>
            <w:bottom w:val="none" w:sz="0" w:space="0" w:color="auto"/>
            <w:right w:val="none" w:sz="0" w:space="0" w:color="auto"/>
          </w:divBdr>
        </w:div>
        <w:div w:id="247617604">
          <w:marLeft w:val="1166"/>
          <w:marRight w:val="0"/>
          <w:marTop w:val="101"/>
          <w:marBottom w:val="0"/>
          <w:divBdr>
            <w:top w:val="none" w:sz="0" w:space="0" w:color="auto"/>
            <w:left w:val="none" w:sz="0" w:space="0" w:color="auto"/>
            <w:bottom w:val="none" w:sz="0" w:space="0" w:color="auto"/>
            <w:right w:val="none" w:sz="0" w:space="0" w:color="auto"/>
          </w:divBdr>
        </w:div>
        <w:div w:id="281880735">
          <w:marLeft w:val="547"/>
          <w:marRight w:val="0"/>
          <w:marTop w:val="115"/>
          <w:marBottom w:val="0"/>
          <w:divBdr>
            <w:top w:val="none" w:sz="0" w:space="0" w:color="auto"/>
            <w:left w:val="none" w:sz="0" w:space="0" w:color="auto"/>
            <w:bottom w:val="none" w:sz="0" w:space="0" w:color="auto"/>
            <w:right w:val="none" w:sz="0" w:space="0" w:color="auto"/>
          </w:divBdr>
        </w:div>
        <w:div w:id="997266066">
          <w:marLeft w:val="547"/>
          <w:marRight w:val="0"/>
          <w:marTop w:val="115"/>
          <w:marBottom w:val="0"/>
          <w:divBdr>
            <w:top w:val="none" w:sz="0" w:space="0" w:color="auto"/>
            <w:left w:val="none" w:sz="0" w:space="0" w:color="auto"/>
            <w:bottom w:val="none" w:sz="0" w:space="0" w:color="auto"/>
            <w:right w:val="none" w:sz="0" w:space="0" w:color="auto"/>
          </w:divBdr>
        </w:div>
      </w:divsChild>
    </w:div>
    <w:div w:id="988945845">
      <w:bodyDiv w:val="1"/>
      <w:marLeft w:val="0"/>
      <w:marRight w:val="0"/>
      <w:marTop w:val="0"/>
      <w:marBottom w:val="0"/>
      <w:divBdr>
        <w:top w:val="none" w:sz="0" w:space="0" w:color="auto"/>
        <w:left w:val="none" w:sz="0" w:space="0" w:color="auto"/>
        <w:bottom w:val="none" w:sz="0" w:space="0" w:color="auto"/>
        <w:right w:val="none" w:sz="0" w:space="0" w:color="auto"/>
      </w:divBdr>
    </w:div>
    <w:div w:id="993533726">
      <w:bodyDiv w:val="1"/>
      <w:marLeft w:val="0"/>
      <w:marRight w:val="0"/>
      <w:marTop w:val="0"/>
      <w:marBottom w:val="0"/>
      <w:divBdr>
        <w:top w:val="none" w:sz="0" w:space="0" w:color="auto"/>
        <w:left w:val="none" w:sz="0" w:space="0" w:color="auto"/>
        <w:bottom w:val="none" w:sz="0" w:space="0" w:color="auto"/>
        <w:right w:val="none" w:sz="0" w:space="0" w:color="auto"/>
      </w:divBdr>
    </w:div>
    <w:div w:id="1085764904">
      <w:bodyDiv w:val="1"/>
      <w:marLeft w:val="0"/>
      <w:marRight w:val="0"/>
      <w:marTop w:val="0"/>
      <w:marBottom w:val="0"/>
      <w:divBdr>
        <w:top w:val="none" w:sz="0" w:space="0" w:color="auto"/>
        <w:left w:val="none" w:sz="0" w:space="0" w:color="auto"/>
        <w:bottom w:val="none" w:sz="0" w:space="0" w:color="auto"/>
        <w:right w:val="none" w:sz="0" w:space="0" w:color="auto"/>
      </w:divBdr>
    </w:div>
    <w:div w:id="1169977368">
      <w:bodyDiv w:val="1"/>
      <w:marLeft w:val="0"/>
      <w:marRight w:val="0"/>
      <w:marTop w:val="0"/>
      <w:marBottom w:val="0"/>
      <w:divBdr>
        <w:top w:val="none" w:sz="0" w:space="0" w:color="auto"/>
        <w:left w:val="none" w:sz="0" w:space="0" w:color="auto"/>
        <w:bottom w:val="none" w:sz="0" w:space="0" w:color="auto"/>
        <w:right w:val="none" w:sz="0" w:space="0" w:color="auto"/>
      </w:divBdr>
    </w:div>
    <w:div w:id="1181625799">
      <w:bodyDiv w:val="1"/>
      <w:marLeft w:val="0"/>
      <w:marRight w:val="0"/>
      <w:marTop w:val="0"/>
      <w:marBottom w:val="0"/>
      <w:divBdr>
        <w:top w:val="none" w:sz="0" w:space="0" w:color="auto"/>
        <w:left w:val="none" w:sz="0" w:space="0" w:color="auto"/>
        <w:bottom w:val="none" w:sz="0" w:space="0" w:color="auto"/>
        <w:right w:val="none" w:sz="0" w:space="0" w:color="auto"/>
      </w:divBdr>
    </w:div>
    <w:div w:id="1203325256">
      <w:bodyDiv w:val="1"/>
      <w:marLeft w:val="0"/>
      <w:marRight w:val="0"/>
      <w:marTop w:val="0"/>
      <w:marBottom w:val="0"/>
      <w:divBdr>
        <w:top w:val="none" w:sz="0" w:space="0" w:color="auto"/>
        <w:left w:val="none" w:sz="0" w:space="0" w:color="auto"/>
        <w:bottom w:val="none" w:sz="0" w:space="0" w:color="auto"/>
        <w:right w:val="none" w:sz="0" w:space="0" w:color="auto"/>
      </w:divBdr>
    </w:div>
    <w:div w:id="1288505017">
      <w:bodyDiv w:val="1"/>
      <w:marLeft w:val="0"/>
      <w:marRight w:val="0"/>
      <w:marTop w:val="0"/>
      <w:marBottom w:val="0"/>
      <w:divBdr>
        <w:top w:val="none" w:sz="0" w:space="0" w:color="auto"/>
        <w:left w:val="none" w:sz="0" w:space="0" w:color="auto"/>
        <w:bottom w:val="none" w:sz="0" w:space="0" w:color="auto"/>
        <w:right w:val="none" w:sz="0" w:space="0" w:color="auto"/>
      </w:divBdr>
    </w:div>
    <w:div w:id="1315451270">
      <w:bodyDiv w:val="1"/>
      <w:marLeft w:val="0"/>
      <w:marRight w:val="0"/>
      <w:marTop w:val="0"/>
      <w:marBottom w:val="0"/>
      <w:divBdr>
        <w:top w:val="none" w:sz="0" w:space="0" w:color="auto"/>
        <w:left w:val="none" w:sz="0" w:space="0" w:color="auto"/>
        <w:bottom w:val="none" w:sz="0" w:space="0" w:color="auto"/>
        <w:right w:val="none" w:sz="0" w:space="0" w:color="auto"/>
      </w:divBdr>
    </w:div>
    <w:div w:id="1350911341">
      <w:bodyDiv w:val="1"/>
      <w:marLeft w:val="0"/>
      <w:marRight w:val="0"/>
      <w:marTop w:val="0"/>
      <w:marBottom w:val="0"/>
      <w:divBdr>
        <w:top w:val="none" w:sz="0" w:space="0" w:color="auto"/>
        <w:left w:val="none" w:sz="0" w:space="0" w:color="auto"/>
        <w:bottom w:val="none" w:sz="0" w:space="0" w:color="auto"/>
        <w:right w:val="none" w:sz="0" w:space="0" w:color="auto"/>
      </w:divBdr>
    </w:div>
    <w:div w:id="1383018954">
      <w:bodyDiv w:val="1"/>
      <w:marLeft w:val="0"/>
      <w:marRight w:val="0"/>
      <w:marTop w:val="0"/>
      <w:marBottom w:val="0"/>
      <w:divBdr>
        <w:top w:val="none" w:sz="0" w:space="0" w:color="auto"/>
        <w:left w:val="none" w:sz="0" w:space="0" w:color="auto"/>
        <w:bottom w:val="none" w:sz="0" w:space="0" w:color="auto"/>
        <w:right w:val="none" w:sz="0" w:space="0" w:color="auto"/>
      </w:divBdr>
      <w:divsChild>
        <w:div w:id="100415296">
          <w:marLeft w:val="547"/>
          <w:marRight w:val="0"/>
          <w:marTop w:val="259"/>
          <w:marBottom w:val="0"/>
          <w:divBdr>
            <w:top w:val="none" w:sz="0" w:space="0" w:color="auto"/>
            <w:left w:val="none" w:sz="0" w:space="0" w:color="auto"/>
            <w:bottom w:val="none" w:sz="0" w:space="0" w:color="auto"/>
            <w:right w:val="none" w:sz="0" w:space="0" w:color="auto"/>
          </w:divBdr>
        </w:div>
        <w:div w:id="407388473">
          <w:marLeft w:val="1267"/>
          <w:marRight w:val="0"/>
          <w:marTop w:val="259"/>
          <w:marBottom w:val="0"/>
          <w:divBdr>
            <w:top w:val="none" w:sz="0" w:space="0" w:color="auto"/>
            <w:left w:val="none" w:sz="0" w:space="0" w:color="auto"/>
            <w:bottom w:val="none" w:sz="0" w:space="0" w:color="auto"/>
            <w:right w:val="none" w:sz="0" w:space="0" w:color="auto"/>
          </w:divBdr>
        </w:div>
        <w:div w:id="1052385531">
          <w:marLeft w:val="1267"/>
          <w:marRight w:val="0"/>
          <w:marTop w:val="259"/>
          <w:marBottom w:val="0"/>
          <w:divBdr>
            <w:top w:val="none" w:sz="0" w:space="0" w:color="auto"/>
            <w:left w:val="none" w:sz="0" w:space="0" w:color="auto"/>
            <w:bottom w:val="none" w:sz="0" w:space="0" w:color="auto"/>
            <w:right w:val="none" w:sz="0" w:space="0" w:color="auto"/>
          </w:divBdr>
        </w:div>
        <w:div w:id="1551185281">
          <w:marLeft w:val="547"/>
          <w:marRight w:val="0"/>
          <w:marTop w:val="259"/>
          <w:marBottom w:val="0"/>
          <w:divBdr>
            <w:top w:val="none" w:sz="0" w:space="0" w:color="auto"/>
            <w:left w:val="none" w:sz="0" w:space="0" w:color="auto"/>
            <w:bottom w:val="none" w:sz="0" w:space="0" w:color="auto"/>
            <w:right w:val="none" w:sz="0" w:space="0" w:color="auto"/>
          </w:divBdr>
        </w:div>
      </w:divsChild>
    </w:div>
    <w:div w:id="1424107854">
      <w:bodyDiv w:val="1"/>
      <w:marLeft w:val="0"/>
      <w:marRight w:val="0"/>
      <w:marTop w:val="0"/>
      <w:marBottom w:val="0"/>
      <w:divBdr>
        <w:top w:val="none" w:sz="0" w:space="0" w:color="auto"/>
        <w:left w:val="none" w:sz="0" w:space="0" w:color="auto"/>
        <w:bottom w:val="none" w:sz="0" w:space="0" w:color="auto"/>
        <w:right w:val="none" w:sz="0" w:space="0" w:color="auto"/>
      </w:divBdr>
      <w:divsChild>
        <w:div w:id="157966021">
          <w:marLeft w:val="907"/>
          <w:marRight w:val="0"/>
          <w:marTop w:val="302"/>
          <w:marBottom w:val="0"/>
          <w:divBdr>
            <w:top w:val="none" w:sz="0" w:space="0" w:color="auto"/>
            <w:left w:val="none" w:sz="0" w:space="0" w:color="auto"/>
            <w:bottom w:val="none" w:sz="0" w:space="0" w:color="auto"/>
            <w:right w:val="none" w:sz="0" w:space="0" w:color="auto"/>
          </w:divBdr>
        </w:div>
        <w:div w:id="1285774795">
          <w:marLeft w:val="907"/>
          <w:marRight w:val="0"/>
          <w:marTop w:val="302"/>
          <w:marBottom w:val="0"/>
          <w:divBdr>
            <w:top w:val="none" w:sz="0" w:space="0" w:color="auto"/>
            <w:left w:val="none" w:sz="0" w:space="0" w:color="auto"/>
            <w:bottom w:val="none" w:sz="0" w:space="0" w:color="auto"/>
            <w:right w:val="none" w:sz="0" w:space="0" w:color="auto"/>
          </w:divBdr>
        </w:div>
        <w:div w:id="1900898245">
          <w:marLeft w:val="907"/>
          <w:marRight w:val="0"/>
          <w:marTop w:val="302"/>
          <w:marBottom w:val="0"/>
          <w:divBdr>
            <w:top w:val="none" w:sz="0" w:space="0" w:color="auto"/>
            <w:left w:val="none" w:sz="0" w:space="0" w:color="auto"/>
            <w:bottom w:val="none" w:sz="0" w:space="0" w:color="auto"/>
            <w:right w:val="none" w:sz="0" w:space="0" w:color="auto"/>
          </w:divBdr>
        </w:div>
        <w:div w:id="2096123124">
          <w:marLeft w:val="907"/>
          <w:marRight w:val="0"/>
          <w:marTop w:val="302"/>
          <w:marBottom w:val="0"/>
          <w:divBdr>
            <w:top w:val="none" w:sz="0" w:space="0" w:color="auto"/>
            <w:left w:val="none" w:sz="0" w:space="0" w:color="auto"/>
            <w:bottom w:val="none" w:sz="0" w:space="0" w:color="auto"/>
            <w:right w:val="none" w:sz="0" w:space="0" w:color="auto"/>
          </w:divBdr>
        </w:div>
      </w:divsChild>
    </w:div>
    <w:div w:id="1650135639">
      <w:bodyDiv w:val="1"/>
      <w:marLeft w:val="0"/>
      <w:marRight w:val="0"/>
      <w:marTop w:val="0"/>
      <w:marBottom w:val="0"/>
      <w:divBdr>
        <w:top w:val="none" w:sz="0" w:space="0" w:color="auto"/>
        <w:left w:val="none" w:sz="0" w:space="0" w:color="auto"/>
        <w:bottom w:val="none" w:sz="0" w:space="0" w:color="auto"/>
        <w:right w:val="none" w:sz="0" w:space="0" w:color="auto"/>
      </w:divBdr>
    </w:div>
    <w:div w:id="1674912156">
      <w:bodyDiv w:val="1"/>
      <w:marLeft w:val="0"/>
      <w:marRight w:val="0"/>
      <w:marTop w:val="0"/>
      <w:marBottom w:val="0"/>
      <w:divBdr>
        <w:top w:val="none" w:sz="0" w:space="0" w:color="auto"/>
        <w:left w:val="none" w:sz="0" w:space="0" w:color="auto"/>
        <w:bottom w:val="none" w:sz="0" w:space="0" w:color="auto"/>
        <w:right w:val="none" w:sz="0" w:space="0" w:color="auto"/>
      </w:divBdr>
      <w:divsChild>
        <w:div w:id="321391341">
          <w:marLeft w:val="634"/>
          <w:marRight w:val="0"/>
          <w:marTop w:val="158"/>
          <w:marBottom w:val="0"/>
          <w:divBdr>
            <w:top w:val="none" w:sz="0" w:space="0" w:color="auto"/>
            <w:left w:val="none" w:sz="0" w:space="0" w:color="auto"/>
            <w:bottom w:val="none" w:sz="0" w:space="0" w:color="auto"/>
            <w:right w:val="none" w:sz="0" w:space="0" w:color="auto"/>
          </w:divBdr>
        </w:div>
        <w:div w:id="652568110">
          <w:marLeft w:val="634"/>
          <w:marRight w:val="0"/>
          <w:marTop w:val="158"/>
          <w:marBottom w:val="0"/>
          <w:divBdr>
            <w:top w:val="none" w:sz="0" w:space="0" w:color="auto"/>
            <w:left w:val="none" w:sz="0" w:space="0" w:color="auto"/>
            <w:bottom w:val="none" w:sz="0" w:space="0" w:color="auto"/>
            <w:right w:val="none" w:sz="0" w:space="0" w:color="auto"/>
          </w:divBdr>
        </w:div>
        <w:div w:id="661735431">
          <w:marLeft w:val="1325"/>
          <w:marRight w:val="0"/>
          <w:marTop w:val="144"/>
          <w:marBottom w:val="0"/>
          <w:divBdr>
            <w:top w:val="none" w:sz="0" w:space="0" w:color="auto"/>
            <w:left w:val="none" w:sz="0" w:space="0" w:color="auto"/>
            <w:bottom w:val="none" w:sz="0" w:space="0" w:color="auto"/>
            <w:right w:val="none" w:sz="0" w:space="0" w:color="auto"/>
          </w:divBdr>
        </w:div>
        <w:div w:id="1052656026">
          <w:marLeft w:val="1325"/>
          <w:marRight w:val="0"/>
          <w:marTop w:val="144"/>
          <w:marBottom w:val="0"/>
          <w:divBdr>
            <w:top w:val="none" w:sz="0" w:space="0" w:color="auto"/>
            <w:left w:val="none" w:sz="0" w:space="0" w:color="auto"/>
            <w:bottom w:val="none" w:sz="0" w:space="0" w:color="auto"/>
            <w:right w:val="none" w:sz="0" w:space="0" w:color="auto"/>
          </w:divBdr>
        </w:div>
        <w:div w:id="1217548072">
          <w:marLeft w:val="1800"/>
          <w:marRight w:val="0"/>
          <w:marTop w:val="144"/>
          <w:marBottom w:val="0"/>
          <w:divBdr>
            <w:top w:val="none" w:sz="0" w:space="0" w:color="auto"/>
            <w:left w:val="none" w:sz="0" w:space="0" w:color="auto"/>
            <w:bottom w:val="none" w:sz="0" w:space="0" w:color="auto"/>
            <w:right w:val="none" w:sz="0" w:space="0" w:color="auto"/>
          </w:divBdr>
        </w:div>
        <w:div w:id="1642417483">
          <w:marLeft w:val="1800"/>
          <w:marRight w:val="0"/>
          <w:marTop w:val="144"/>
          <w:marBottom w:val="0"/>
          <w:divBdr>
            <w:top w:val="none" w:sz="0" w:space="0" w:color="auto"/>
            <w:left w:val="none" w:sz="0" w:space="0" w:color="auto"/>
            <w:bottom w:val="none" w:sz="0" w:space="0" w:color="auto"/>
            <w:right w:val="none" w:sz="0" w:space="0" w:color="auto"/>
          </w:divBdr>
        </w:div>
        <w:div w:id="1954239688">
          <w:marLeft w:val="1800"/>
          <w:marRight w:val="0"/>
          <w:marTop w:val="144"/>
          <w:marBottom w:val="0"/>
          <w:divBdr>
            <w:top w:val="none" w:sz="0" w:space="0" w:color="auto"/>
            <w:left w:val="none" w:sz="0" w:space="0" w:color="auto"/>
            <w:bottom w:val="none" w:sz="0" w:space="0" w:color="auto"/>
            <w:right w:val="none" w:sz="0" w:space="0" w:color="auto"/>
          </w:divBdr>
        </w:div>
        <w:div w:id="2005627323">
          <w:marLeft w:val="634"/>
          <w:marRight w:val="0"/>
          <w:marTop w:val="158"/>
          <w:marBottom w:val="0"/>
          <w:divBdr>
            <w:top w:val="none" w:sz="0" w:space="0" w:color="auto"/>
            <w:left w:val="none" w:sz="0" w:space="0" w:color="auto"/>
            <w:bottom w:val="none" w:sz="0" w:space="0" w:color="auto"/>
            <w:right w:val="none" w:sz="0" w:space="0" w:color="auto"/>
          </w:divBdr>
        </w:div>
        <w:div w:id="2123573533">
          <w:marLeft w:val="1325"/>
          <w:marRight w:val="0"/>
          <w:marTop w:val="144"/>
          <w:marBottom w:val="0"/>
          <w:divBdr>
            <w:top w:val="none" w:sz="0" w:space="0" w:color="auto"/>
            <w:left w:val="none" w:sz="0" w:space="0" w:color="auto"/>
            <w:bottom w:val="none" w:sz="0" w:space="0" w:color="auto"/>
            <w:right w:val="none" w:sz="0" w:space="0" w:color="auto"/>
          </w:divBdr>
        </w:div>
      </w:divsChild>
    </w:div>
    <w:div w:id="1935740763">
      <w:bodyDiv w:val="1"/>
      <w:marLeft w:val="0"/>
      <w:marRight w:val="0"/>
      <w:marTop w:val="0"/>
      <w:marBottom w:val="0"/>
      <w:divBdr>
        <w:top w:val="none" w:sz="0" w:space="0" w:color="auto"/>
        <w:left w:val="none" w:sz="0" w:space="0" w:color="auto"/>
        <w:bottom w:val="none" w:sz="0" w:space="0" w:color="auto"/>
        <w:right w:val="none" w:sz="0" w:space="0" w:color="auto"/>
      </w:divBdr>
    </w:div>
    <w:div w:id="2033721496">
      <w:bodyDiv w:val="1"/>
      <w:marLeft w:val="0"/>
      <w:marRight w:val="0"/>
      <w:marTop w:val="0"/>
      <w:marBottom w:val="0"/>
      <w:divBdr>
        <w:top w:val="none" w:sz="0" w:space="0" w:color="auto"/>
        <w:left w:val="none" w:sz="0" w:space="0" w:color="auto"/>
        <w:bottom w:val="none" w:sz="0" w:space="0" w:color="auto"/>
        <w:right w:val="none" w:sz="0" w:space="0" w:color="auto"/>
      </w:divBdr>
    </w:div>
    <w:div w:id="20930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FD6598-FC8B-4682-9C7E-281ED872476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0FE2-CFEC-4CB7-ABF0-95B8F3E8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6376</TotalTime>
  <Pages>37</Pages>
  <Words>29538</Words>
  <Characters>168369</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Dzioba</dc:creator>
  <cp:keywords/>
  <dc:description/>
  <cp:lastModifiedBy>Brendan Dzioba</cp:lastModifiedBy>
  <cp:revision>4558</cp:revision>
  <cp:lastPrinted>2016-12-10T22:43:00Z</cp:lastPrinted>
  <dcterms:created xsi:type="dcterms:W3CDTF">2016-09-05T23:48:00Z</dcterms:created>
  <dcterms:modified xsi:type="dcterms:W3CDTF">2016-12-14T03:31:00Z</dcterms:modified>
</cp:coreProperties>
</file>