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D8503" w14:textId="31F90C02" w:rsidR="00307AFD" w:rsidRPr="00307AFD" w:rsidRDefault="00307AFD" w:rsidP="00307AFD">
      <w:pPr>
        <w:jc w:val="center"/>
        <w:rPr>
          <w:rFonts w:ascii="Baskerville Old Face" w:hAnsi="Baskerville Old Face"/>
          <w:sz w:val="44"/>
          <w:szCs w:val="44"/>
        </w:rPr>
      </w:pPr>
      <w:r w:rsidRPr="00307AFD">
        <w:rPr>
          <w:rFonts w:ascii="Baskerville Old Face" w:hAnsi="Baskerville Old Face"/>
          <w:sz w:val="44"/>
          <w:szCs w:val="44"/>
        </w:rPr>
        <w:t>Administrative Law WATERCRESS</w:t>
      </w:r>
    </w:p>
    <w:p w14:paraId="6A17E6AB" w14:textId="6B385200" w:rsidR="00307AFD" w:rsidRPr="00307AFD" w:rsidRDefault="00307AFD" w:rsidP="00307AFD">
      <w:pPr>
        <w:jc w:val="center"/>
        <w:rPr>
          <w:rFonts w:ascii="Apple Chancery" w:hAnsi="Apple Chancery" w:cs="Apple Chancery"/>
        </w:rPr>
      </w:pPr>
      <w:r>
        <w:rPr>
          <w:rFonts w:ascii="Apple Chancery" w:hAnsi="Apple Chancery" w:cs="Apple Chancery"/>
        </w:rPr>
        <w:t>GOD SAVE THE QUEEN!</w:t>
      </w:r>
    </w:p>
    <w:p w14:paraId="3A4E730E" w14:textId="4DD5271E" w:rsidR="00307AFD" w:rsidRDefault="00307AFD" w:rsidP="00307AFD">
      <w:pPr>
        <w:jc w:val="center"/>
        <w:rPr>
          <w:rFonts w:ascii="Apple Chancery" w:hAnsi="Apple Chancery" w:cs="Apple Chancery"/>
        </w:rPr>
      </w:pPr>
      <w:r>
        <w:rPr>
          <w:rFonts w:ascii="Apple Chancery" w:hAnsi="Apple Chancery" w:cs="Apple Chancery"/>
        </w:rPr>
        <w:t>May Her</w:t>
      </w:r>
      <w:r w:rsidRPr="00307AFD">
        <w:rPr>
          <w:rFonts w:ascii="Apple Chancery" w:hAnsi="Apple Chancery" w:cs="Apple Chancery"/>
        </w:rPr>
        <w:t xml:space="preserve"> Enemies Be Quashed Like Unreasonable Tribunal Rulings!</w:t>
      </w:r>
    </w:p>
    <w:p w14:paraId="24A44093" w14:textId="77777777" w:rsidR="00307AFD" w:rsidRDefault="00307AFD" w:rsidP="00307AFD">
      <w:pPr>
        <w:jc w:val="center"/>
        <w:rPr>
          <w:rFonts w:ascii="Apple Chancery" w:hAnsi="Apple Chancery" w:cs="Apple Chancery"/>
        </w:rPr>
      </w:pPr>
    </w:p>
    <w:p w14:paraId="4C4E08F7" w14:textId="77777777" w:rsidR="00307AFD" w:rsidRPr="00307AFD" w:rsidRDefault="00307AFD" w:rsidP="00307AFD">
      <w:pPr>
        <w:jc w:val="center"/>
        <w:rPr>
          <w:rFonts w:ascii="Apple Chancery" w:hAnsi="Apple Chancery" w:cs="Apple Chancery"/>
        </w:rPr>
      </w:pPr>
    </w:p>
    <w:sdt>
      <w:sdtPr>
        <w:rPr>
          <w:rFonts w:asciiTheme="minorHAnsi" w:eastAsiaTheme="minorEastAsia" w:hAnsiTheme="minorHAnsi" w:cstheme="minorBidi"/>
          <w:b w:val="0"/>
          <w:bCs w:val="0"/>
          <w:color w:val="auto"/>
          <w:sz w:val="24"/>
          <w:szCs w:val="24"/>
          <w:lang w:eastAsia="zh-CN"/>
        </w:rPr>
        <w:id w:val="731814522"/>
        <w:docPartObj>
          <w:docPartGallery w:val="Table of Contents"/>
          <w:docPartUnique/>
        </w:docPartObj>
      </w:sdtPr>
      <w:sdtEndPr>
        <w:rPr>
          <w:noProof/>
        </w:rPr>
      </w:sdtEndPr>
      <w:sdtContent>
        <w:p w14:paraId="0E85369D" w14:textId="0B2ECDA9" w:rsidR="00307AFD" w:rsidRPr="00307AFD" w:rsidRDefault="00307AFD">
          <w:pPr>
            <w:pStyle w:val="TOCHeading"/>
            <w:rPr>
              <w:color w:val="auto"/>
            </w:rPr>
          </w:pPr>
          <w:r w:rsidRPr="00307AFD">
            <w:rPr>
              <w:color w:val="auto"/>
            </w:rPr>
            <w:t>Table of Contents</w:t>
          </w:r>
        </w:p>
        <w:p w14:paraId="61495B86" w14:textId="77777777" w:rsidR="000469B0" w:rsidRDefault="00307AFD">
          <w:pPr>
            <w:pStyle w:val="TOC1"/>
            <w:tabs>
              <w:tab w:val="right" w:leader="dot" w:pos="8530"/>
            </w:tabs>
            <w:rPr>
              <w:b w:val="0"/>
              <w:caps w:val="0"/>
              <w:noProof/>
              <w:sz w:val="24"/>
              <w:szCs w:val="24"/>
              <w:lang w:val="en-GB" w:eastAsia="ja-JP"/>
            </w:rPr>
          </w:pPr>
          <w:r>
            <w:rPr>
              <w:b w:val="0"/>
            </w:rPr>
            <w:fldChar w:fldCharType="begin"/>
          </w:r>
          <w:r>
            <w:instrText xml:space="preserve"> TOC \o "1-3" \h \z \u </w:instrText>
          </w:r>
          <w:r>
            <w:rPr>
              <w:b w:val="0"/>
            </w:rPr>
            <w:fldChar w:fldCharType="separate"/>
          </w:r>
          <w:r w:rsidR="000469B0">
            <w:rPr>
              <w:noProof/>
            </w:rPr>
            <w:t>Procedural Fairness</w:t>
          </w:r>
          <w:r w:rsidR="000469B0">
            <w:rPr>
              <w:noProof/>
            </w:rPr>
            <w:tab/>
          </w:r>
          <w:r w:rsidR="000469B0">
            <w:rPr>
              <w:noProof/>
            </w:rPr>
            <w:fldChar w:fldCharType="begin"/>
          </w:r>
          <w:r w:rsidR="000469B0">
            <w:rPr>
              <w:noProof/>
            </w:rPr>
            <w:instrText xml:space="preserve"> PAGEREF _Toc259106255 \h </w:instrText>
          </w:r>
          <w:r w:rsidR="000469B0">
            <w:rPr>
              <w:noProof/>
            </w:rPr>
          </w:r>
          <w:r w:rsidR="000469B0">
            <w:rPr>
              <w:noProof/>
            </w:rPr>
            <w:fldChar w:fldCharType="separate"/>
          </w:r>
          <w:r w:rsidR="000469B0">
            <w:rPr>
              <w:noProof/>
            </w:rPr>
            <w:t>2</w:t>
          </w:r>
          <w:r w:rsidR="000469B0">
            <w:rPr>
              <w:noProof/>
            </w:rPr>
            <w:fldChar w:fldCharType="end"/>
          </w:r>
        </w:p>
        <w:p w14:paraId="564910B3" w14:textId="77777777" w:rsidR="000469B0" w:rsidRDefault="000469B0">
          <w:pPr>
            <w:pStyle w:val="TOC2"/>
            <w:tabs>
              <w:tab w:val="right" w:leader="dot" w:pos="8530"/>
            </w:tabs>
            <w:rPr>
              <w:smallCaps w:val="0"/>
              <w:noProof/>
              <w:sz w:val="24"/>
              <w:szCs w:val="24"/>
              <w:lang w:val="en-GB" w:eastAsia="ja-JP"/>
            </w:rPr>
          </w:pPr>
          <w:r>
            <w:rPr>
              <w:noProof/>
            </w:rPr>
            <w:t>Content of Procedural Fairness</w:t>
          </w:r>
          <w:r>
            <w:rPr>
              <w:noProof/>
            </w:rPr>
            <w:tab/>
          </w:r>
          <w:r>
            <w:rPr>
              <w:noProof/>
            </w:rPr>
            <w:fldChar w:fldCharType="begin"/>
          </w:r>
          <w:r>
            <w:rPr>
              <w:noProof/>
            </w:rPr>
            <w:instrText xml:space="preserve"> PAGEREF _Toc259106256 \h </w:instrText>
          </w:r>
          <w:r>
            <w:rPr>
              <w:noProof/>
            </w:rPr>
          </w:r>
          <w:r>
            <w:rPr>
              <w:noProof/>
            </w:rPr>
            <w:fldChar w:fldCharType="separate"/>
          </w:r>
          <w:r>
            <w:rPr>
              <w:noProof/>
            </w:rPr>
            <w:t>2</w:t>
          </w:r>
          <w:r>
            <w:rPr>
              <w:noProof/>
            </w:rPr>
            <w:fldChar w:fldCharType="end"/>
          </w:r>
        </w:p>
        <w:p w14:paraId="4C1287E1" w14:textId="77777777" w:rsidR="000469B0" w:rsidRDefault="000469B0">
          <w:pPr>
            <w:pStyle w:val="TOC2"/>
            <w:tabs>
              <w:tab w:val="right" w:leader="dot" w:pos="8530"/>
            </w:tabs>
            <w:rPr>
              <w:smallCaps w:val="0"/>
              <w:noProof/>
              <w:sz w:val="24"/>
              <w:szCs w:val="24"/>
              <w:lang w:val="en-GB" w:eastAsia="ja-JP"/>
            </w:rPr>
          </w:pPr>
          <w:r>
            <w:rPr>
              <w:noProof/>
            </w:rPr>
            <w:t>Reasonable Apprehension of Bias</w:t>
          </w:r>
          <w:r>
            <w:rPr>
              <w:noProof/>
            </w:rPr>
            <w:tab/>
          </w:r>
          <w:r>
            <w:rPr>
              <w:noProof/>
            </w:rPr>
            <w:fldChar w:fldCharType="begin"/>
          </w:r>
          <w:r>
            <w:rPr>
              <w:noProof/>
            </w:rPr>
            <w:instrText xml:space="preserve"> PAGEREF _Toc259106257 \h </w:instrText>
          </w:r>
          <w:r>
            <w:rPr>
              <w:noProof/>
            </w:rPr>
          </w:r>
          <w:r>
            <w:rPr>
              <w:noProof/>
            </w:rPr>
            <w:fldChar w:fldCharType="separate"/>
          </w:r>
          <w:r>
            <w:rPr>
              <w:noProof/>
            </w:rPr>
            <w:t>3</w:t>
          </w:r>
          <w:r>
            <w:rPr>
              <w:noProof/>
            </w:rPr>
            <w:fldChar w:fldCharType="end"/>
          </w:r>
        </w:p>
        <w:p w14:paraId="7DF3AF4E" w14:textId="77777777" w:rsidR="000469B0" w:rsidRDefault="000469B0">
          <w:pPr>
            <w:pStyle w:val="TOC2"/>
            <w:tabs>
              <w:tab w:val="right" w:leader="dot" w:pos="8530"/>
            </w:tabs>
            <w:rPr>
              <w:smallCaps w:val="0"/>
              <w:noProof/>
              <w:sz w:val="24"/>
              <w:szCs w:val="24"/>
              <w:lang w:val="en-GB" w:eastAsia="ja-JP"/>
            </w:rPr>
          </w:pPr>
          <w:r>
            <w:rPr>
              <w:noProof/>
            </w:rPr>
            <w:t>Institutional Independence</w:t>
          </w:r>
          <w:r>
            <w:rPr>
              <w:noProof/>
            </w:rPr>
            <w:tab/>
          </w:r>
          <w:r>
            <w:rPr>
              <w:noProof/>
            </w:rPr>
            <w:fldChar w:fldCharType="begin"/>
          </w:r>
          <w:r>
            <w:rPr>
              <w:noProof/>
            </w:rPr>
            <w:instrText xml:space="preserve"> PAGEREF _Toc259106258 \h </w:instrText>
          </w:r>
          <w:r>
            <w:rPr>
              <w:noProof/>
            </w:rPr>
          </w:r>
          <w:r>
            <w:rPr>
              <w:noProof/>
            </w:rPr>
            <w:fldChar w:fldCharType="separate"/>
          </w:r>
          <w:r>
            <w:rPr>
              <w:noProof/>
            </w:rPr>
            <w:t>4</w:t>
          </w:r>
          <w:r>
            <w:rPr>
              <w:noProof/>
            </w:rPr>
            <w:fldChar w:fldCharType="end"/>
          </w:r>
        </w:p>
        <w:p w14:paraId="08994B1C" w14:textId="77777777" w:rsidR="000469B0" w:rsidRDefault="000469B0">
          <w:pPr>
            <w:pStyle w:val="TOC2"/>
            <w:tabs>
              <w:tab w:val="right" w:leader="dot" w:pos="8530"/>
            </w:tabs>
            <w:rPr>
              <w:smallCaps w:val="0"/>
              <w:noProof/>
              <w:sz w:val="24"/>
              <w:szCs w:val="24"/>
              <w:lang w:val="en-GB" w:eastAsia="ja-JP"/>
            </w:rPr>
          </w:pPr>
          <w:r>
            <w:rPr>
              <w:noProof/>
            </w:rPr>
            <w:t>Adequacy of Reasons</w:t>
          </w:r>
          <w:r>
            <w:rPr>
              <w:noProof/>
            </w:rPr>
            <w:tab/>
          </w:r>
          <w:r>
            <w:rPr>
              <w:noProof/>
            </w:rPr>
            <w:fldChar w:fldCharType="begin"/>
          </w:r>
          <w:r>
            <w:rPr>
              <w:noProof/>
            </w:rPr>
            <w:instrText xml:space="preserve"> PAGEREF _Toc259106259 \h </w:instrText>
          </w:r>
          <w:r>
            <w:rPr>
              <w:noProof/>
            </w:rPr>
          </w:r>
          <w:r>
            <w:rPr>
              <w:noProof/>
            </w:rPr>
            <w:fldChar w:fldCharType="separate"/>
          </w:r>
          <w:r>
            <w:rPr>
              <w:noProof/>
            </w:rPr>
            <w:t>5</w:t>
          </w:r>
          <w:r>
            <w:rPr>
              <w:noProof/>
            </w:rPr>
            <w:fldChar w:fldCharType="end"/>
          </w:r>
        </w:p>
        <w:p w14:paraId="7BE329BD" w14:textId="77777777" w:rsidR="000469B0" w:rsidRDefault="000469B0">
          <w:pPr>
            <w:pStyle w:val="TOC2"/>
            <w:tabs>
              <w:tab w:val="right" w:leader="dot" w:pos="8530"/>
            </w:tabs>
            <w:rPr>
              <w:smallCaps w:val="0"/>
              <w:noProof/>
              <w:sz w:val="24"/>
              <w:szCs w:val="24"/>
              <w:lang w:val="en-GB" w:eastAsia="ja-JP"/>
            </w:rPr>
          </w:pPr>
          <w:r>
            <w:rPr>
              <w:noProof/>
            </w:rPr>
            <w:t>Oral Hearings and Cross Examination</w:t>
          </w:r>
          <w:r>
            <w:rPr>
              <w:noProof/>
            </w:rPr>
            <w:tab/>
          </w:r>
          <w:r>
            <w:rPr>
              <w:noProof/>
            </w:rPr>
            <w:fldChar w:fldCharType="begin"/>
          </w:r>
          <w:r>
            <w:rPr>
              <w:noProof/>
            </w:rPr>
            <w:instrText xml:space="preserve"> PAGEREF _Toc259106260 \h </w:instrText>
          </w:r>
          <w:r>
            <w:rPr>
              <w:noProof/>
            </w:rPr>
          </w:r>
          <w:r>
            <w:rPr>
              <w:noProof/>
            </w:rPr>
            <w:fldChar w:fldCharType="separate"/>
          </w:r>
          <w:r>
            <w:rPr>
              <w:noProof/>
            </w:rPr>
            <w:t>5</w:t>
          </w:r>
          <w:r>
            <w:rPr>
              <w:noProof/>
            </w:rPr>
            <w:fldChar w:fldCharType="end"/>
          </w:r>
        </w:p>
        <w:p w14:paraId="54C53D2E" w14:textId="77777777" w:rsidR="000469B0" w:rsidRDefault="000469B0">
          <w:pPr>
            <w:pStyle w:val="TOC2"/>
            <w:tabs>
              <w:tab w:val="right" w:leader="dot" w:pos="8530"/>
            </w:tabs>
            <w:rPr>
              <w:smallCaps w:val="0"/>
              <w:noProof/>
              <w:sz w:val="24"/>
              <w:szCs w:val="24"/>
              <w:lang w:val="en-GB" w:eastAsia="ja-JP"/>
            </w:rPr>
          </w:pPr>
          <w:r>
            <w:rPr>
              <w:noProof/>
            </w:rPr>
            <w:t>Document Disclosure</w:t>
          </w:r>
          <w:r>
            <w:rPr>
              <w:noProof/>
            </w:rPr>
            <w:tab/>
          </w:r>
          <w:r>
            <w:rPr>
              <w:noProof/>
            </w:rPr>
            <w:fldChar w:fldCharType="begin"/>
          </w:r>
          <w:r>
            <w:rPr>
              <w:noProof/>
            </w:rPr>
            <w:instrText xml:space="preserve"> PAGEREF _Toc259106261 \h </w:instrText>
          </w:r>
          <w:r>
            <w:rPr>
              <w:noProof/>
            </w:rPr>
          </w:r>
          <w:r>
            <w:rPr>
              <w:noProof/>
            </w:rPr>
            <w:fldChar w:fldCharType="separate"/>
          </w:r>
          <w:r>
            <w:rPr>
              <w:noProof/>
            </w:rPr>
            <w:t>6</w:t>
          </w:r>
          <w:r>
            <w:rPr>
              <w:noProof/>
            </w:rPr>
            <w:fldChar w:fldCharType="end"/>
          </w:r>
        </w:p>
        <w:p w14:paraId="2DC901ED" w14:textId="77777777" w:rsidR="000469B0" w:rsidRDefault="000469B0">
          <w:pPr>
            <w:pStyle w:val="TOC2"/>
            <w:tabs>
              <w:tab w:val="right" w:leader="dot" w:pos="8530"/>
            </w:tabs>
            <w:rPr>
              <w:smallCaps w:val="0"/>
              <w:noProof/>
              <w:sz w:val="24"/>
              <w:szCs w:val="24"/>
              <w:lang w:val="en-GB" w:eastAsia="ja-JP"/>
            </w:rPr>
          </w:pPr>
          <w:r>
            <w:rPr>
              <w:noProof/>
            </w:rPr>
            <w:t>Disclosure in Investigations</w:t>
          </w:r>
          <w:r>
            <w:rPr>
              <w:noProof/>
            </w:rPr>
            <w:tab/>
          </w:r>
          <w:r>
            <w:rPr>
              <w:noProof/>
            </w:rPr>
            <w:fldChar w:fldCharType="begin"/>
          </w:r>
          <w:r>
            <w:rPr>
              <w:noProof/>
            </w:rPr>
            <w:instrText xml:space="preserve"> PAGEREF _Toc259106262 \h </w:instrText>
          </w:r>
          <w:r>
            <w:rPr>
              <w:noProof/>
            </w:rPr>
          </w:r>
          <w:r>
            <w:rPr>
              <w:noProof/>
            </w:rPr>
            <w:fldChar w:fldCharType="separate"/>
          </w:r>
          <w:r>
            <w:rPr>
              <w:noProof/>
            </w:rPr>
            <w:t>6</w:t>
          </w:r>
          <w:r>
            <w:rPr>
              <w:noProof/>
            </w:rPr>
            <w:fldChar w:fldCharType="end"/>
          </w:r>
        </w:p>
        <w:p w14:paraId="135BB060" w14:textId="77777777" w:rsidR="000469B0" w:rsidRDefault="000469B0">
          <w:pPr>
            <w:pStyle w:val="TOC2"/>
            <w:tabs>
              <w:tab w:val="right" w:leader="dot" w:pos="8530"/>
            </w:tabs>
            <w:rPr>
              <w:smallCaps w:val="0"/>
              <w:noProof/>
              <w:sz w:val="24"/>
              <w:szCs w:val="24"/>
              <w:lang w:val="en-GB" w:eastAsia="ja-JP"/>
            </w:rPr>
          </w:pPr>
          <w:r>
            <w:rPr>
              <w:noProof/>
            </w:rPr>
            <w:t>Result of Breach of Procedural Fairness</w:t>
          </w:r>
          <w:r>
            <w:rPr>
              <w:noProof/>
            </w:rPr>
            <w:tab/>
          </w:r>
          <w:r>
            <w:rPr>
              <w:noProof/>
            </w:rPr>
            <w:fldChar w:fldCharType="begin"/>
          </w:r>
          <w:r>
            <w:rPr>
              <w:noProof/>
            </w:rPr>
            <w:instrText xml:space="preserve"> PAGEREF _Toc259106263 \h </w:instrText>
          </w:r>
          <w:r>
            <w:rPr>
              <w:noProof/>
            </w:rPr>
          </w:r>
          <w:r>
            <w:rPr>
              <w:noProof/>
            </w:rPr>
            <w:fldChar w:fldCharType="separate"/>
          </w:r>
          <w:r>
            <w:rPr>
              <w:noProof/>
            </w:rPr>
            <w:t>6</w:t>
          </w:r>
          <w:r>
            <w:rPr>
              <w:noProof/>
            </w:rPr>
            <w:fldChar w:fldCharType="end"/>
          </w:r>
        </w:p>
        <w:p w14:paraId="3F8A0D18" w14:textId="77777777" w:rsidR="000469B0" w:rsidRDefault="000469B0">
          <w:pPr>
            <w:pStyle w:val="TOC3"/>
            <w:tabs>
              <w:tab w:val="right" w:leader="dot" w:pos="8530"/>
            </w:tabs>
            <w:rPr>
              <w:i w:val="0"/>
              <w:noProof/>
              <w:sz w:val="24"/>
              <w:szCs w:val="24"/>
              <w:lang w:val="en-GB" w:eastAsia="ja-JP"/>
            </w:rPr>
          </w:pPr>
          <w:r w:rsidRPr="00F20113">
            <w:rPr>
              <w:noProof/>
            </w:rPr>
            <w:t>Exception 1: Triviality or Mootness</w:t>
          </w:r>
          <w:r>
            <w:rPr>
              <w:noProof/>
            </w:rPr>
            <w:tab/>
          </w:r>
          <w:r>
            <w:rPr>
              <w:noProof/>
            </w:rPr>
            <w:fldChar w:fldCharType="begin"/>
          </w:r>
          <w:r>
            <w:rPr>
              <w:noProof/>
            </w:rPr>
            <w:instrText xml:space="preserve"> PAGEREF _Toc259106264 \h </w:instrText>
          </w:r>
          <w:r>
            <w:rPr>
              <w:noProof/>
            </w:rPr>
          </w:r>
          <w:r>
            <w:rPr>
              <w:noProof/>
            </w:rPr>
            <w:fldChar w:fldCharType="separate"/>
          </w:r>
          <w:r>
            <w:rPr>
              <w:noProof/>
            </w:rPr>
            <w:t>7</w:t>
          </w:r>
          <w:r>
            <w:rPr>
              <w:noProof/>
            </w:rPr>
            <w:fldChar w:fldCharType="end"/>
          </w:r>
        </w:p>
        <w:p w14:paraId="2E2530BB" w14:textId="77777777" w:rsidR="000469B0" w:rsidRDefault="000469B0">
          <w:pPr>
            <w:pStyle w:val="TOC3"/>
            <w:tabs>
              <w:tab w:val="right" w:leader="dot" w:pos="8530"/>
            </w:tabs>
            <w:rPr>
              <w:i w:val="0"/>
              <w:noProof/>
              <w:sz w:val="24"/>
              <w:szCs w:val="24"/>
              <w:lang w:val="en-GB" w:eastAsia="ja-JP"/>
            </w:rPr>
          </w:pPr>
          <w:r w:rsidRPr="00F20113">
            <w:rPr>
              <w:noProof/>
            </w:rPr>
            <w:t>Exception 2: Obligation to Exhaust Internal Remedies</w:t>
          </w:r>
          <w:r>
            <w:rPr>
              <w:noProof/>
            </w:rPr>
            <w:tab/>
          </w:r>
          <w:r>
            <w:rPr>
              <w:noProof/>
            </w:rPr>
            <w:fldChar w:fldCharType="begin"/>
          </w:r>
          <w:r>
            <w:rPr>
              <w:noProof/>
            </w:rPr>
            <w:instrText xml:space="preserve"> PAGEREF _Toc259106265 \h </w:instrText>
          </w:r>
          <w:r>
            <w:rPr>
              <w:noProof/>
            </w:rPr>
          </w:r>
          <w:r>
            <w:rPr>
              <w:noProof/>
            </w:rPr>
            <w:fldChar w:fldCharType="separate"/>
          </w:r>
          <w:r>
            <w:rPr>
              <w:noProof/>
            </w:rPr>
            <w:t>8</w:t>
          </w:r>
          <w:r>
            <w:rPr>
              <w:noProof/>
            </w:rPr>
            <w:fldChar w:fldCharType="end"/>
          </w:r>
        </w:p>
        <w:p w14:paraId="63CB35B2" w14:textId="77777777" w:rsidR="000469B0" w:rsidRDefault="000469B0">
          <w:pPr>
            <w:pStyle w:val="TOC2"/>
            <w:tabs>
              <w:tab w:val="right" w:leader="dot" w:pos="8530"/>
            </w:tabs>
            <w:rPr>
              <w:smallCaps w:val="0"/>
              <w:noProof/>
              <w:sz w:val="24"/>
              <w:szCs w:val="24"/>
              <w:lang w:val="en-GB" w:eastAsia="ja-JP"/>
            </w:rPr>
          </w:pPr>
          <w:r>
            <w:rPr>
              <w:noProof/>
            </w:rPr>
            <w:t>Waiver</w:t>
          </w:r>
          <w:r>
            <w:rPr>
              <w:noProof/>
            </w:rPr>
            <w:tab/>
          </w:r>
          <w:r>
            <w:rPr>
              <w:noProof/>
            </w:rPr>
            <w:fldChar w:fldCharType="begin"/>
          </w:r>
          <w:r>
            <w:rPr>
              <w:noProof/>
            </w:rPr>
            <w:instrText xml:space="preserve"> PAGEREF _Toc259106266 \h </w:instrText>
          </w:r>
          <w:r>
            <w:rPr>
              <w:noProof/>
            </w:rPr>
          </w:r>
          <w:r>
            <w:rPr>
              <w:noProof/>
            </w:rPr>
            <w:fldChar w:fldCharType="separate"/>
          </w:r>
          <w:r>
            <w:rPr>
              <w:noProof/>
            </w:rPr>
            <w:t>8</w:t>
          </w:r>
          <w:r>
            <w:rPr>
              <w:noProof/>
            </w:rPr>
            <w:fldChar w:fldCharType="end"/>
          </w:r>
        </w:p>
        <w:p w14:paraId="05D7DD9C" w14:textId="77777777" w:rsidR="000469B0" w:rsidRDefault="000469B0">
          <w:pPr>
            <w:pStyle w:val="TOC2"/>
            <w:tabs>
              <w:tab w:val="right" w:leader="dot" w:pos="8530"/>
            </w:tabs>
            <w:rPr>
              <w:smallCaps w:val="0"/>
              <w:noProof/>
              <w:sz w:val="24"/>
              <w:szCs w:val="24"/>
              <w:lang w:val="en-GB" w:eastAsia="ja-JP"/>
            </w:rPr>
          </w:pPr>
          <w:r>
            <w:rPr>
              <w:noProof/>
            </w:rPr>
            <w:t>Doctrine of Unclean Hands</w:t>
          </w:r>
          <w:r>
            <w:rPr>
              <w:noProof/>
            </w:rPr>
            <w:tab/>
          </w:r>
          <w:r>
            <w:rPr>
              <w:noProof/>
            </w:rPr>
            <w:fldChar w:fldCharType="begin"/>
          </w:r>
          <w:r>
            <w:rPr>
              <w:noProof/>
            </w:rPr>
            <w:instrText xml:space="preserve"> PAGEREF _Toc259106267 \h </w:instrText>
          </w:r>
          <w:r>
            <w:rPr>
              <w:noProof/>
            </w:rPr>
          </w:r>
          <w:r>
            <w:rPr>
              <w:noProof/>
            </w:rPr>
            <w:fldChar w:fldCharType="separate"/>
          </w:r>
          <w:r>
            <w:rPr>
              <w:noProof/>
            </w:rPr>
            <w:t>9</w:t>
          </w:r>
          <w:r>
            <w:rPr>
              <w:noProof/>
            </w:rPr>
            <w:fldChar w:fldCharType="end"/>
          </w:r>
        </w:p>
        <w:p w14:paraId="455D6B62" w14:textId="77777777" w:rsidR="000469B0" w:rsidRDefault="000469B0">
          <w:pPr>
            <w:pStyle w:val="TOC2"/>
            <w:tabs>
              <w:tab w:val="right" w:leader="dot" w:pos="8530"/>
            </w:tabs>
            <w:rPr>
              <w:smallCaps w:val="0"/>
              <w:noProof/>
              <w:sz w:val="24"/>
              <w:szCs w:val="24"/>
              <w:lang w:val="en-GB" w:eastAsia="ja-JP"/>
            </w:rPr>
          </w:pPr>
          <w:r>
            <w:rPr>
              <w:noProof/>
            </w:rPr>
            <w:t>Balance of Convenience</w:t>
          </w:r>
          <w:r>
            <w:rPr>
              <w:noProof/>
            </w:rPr>
            <w:tab/>
          </w:r>
          <w:r>
            <w:rPr>
              <w:noProof/>
            </w:rPr>
            <w:fldChar w:fldCharType="begin"/>
          </w:r>
          <w:r>
            <w:rPr>
              <w:noProof/>
            </w:rPr>
            <w:instrText xml:space="preserve"> PAGEREF _Toc259106268 \h </w:instrText>
          </w:r>
          <w:r>
            <w:rPr>
              <w:noProof/>
            </w:rPr>
          </w:r>
          <w:r>
            <w:rPr>
              <w:noProof/>
            </w:rPr>
            <w:fldChar w:fldCharType="separate"/>
          </w:r>
          <w:r>
            <w:rPr>
              <w:noProof/>
            </w:rPr>
            <w:t>9</w:t>
          </w:r>
          <w:r>
            <w:rPr>
              <w:noProof/>
            </w:rPr>
            <w:fldChar w:fldCharType="end"/>
          </w:r>
        </w:p>
        <w:p w14:paraId="2BED73E8" w14:textId="77777777" w:rsidR="000469B0" w:rsidRDefault="000469B0">
          <w:pPr>
            <w:pStyle w:val="TOC1"/>
            <w:tabs>
              <w:tab w:val="right" w:leader="dot" w:pos="8530"/>
            </w:tabs>
            <w:rPr>
              <w:b w:val="0"/>
              <w:caps w:val="0"/>
              <w:noProof/>
              <w:sz w:val="24"/>
              <w:szCs w:val="24"/>
              <w:lang w:val="en-GB" w:eastAsia="ja-JP"/>
            </w:rPr>
          </w:pPr>
          <w:r>
            <w:rPr>
              <w:noProof/>
            </w:rPr>
            <w:t>Standing of Administrative Tribunals on Judicial Review</w:t>
          </w:r>
          <w:r>
            <w:rPr>
              <w:noProof/>
            </w:rPr>
            <w:tab/>
          </w:r>
          <w:r>
            <w:rPr>
              <w:noProof/>
            </w:rPr>
            <w:fldChar w:fldCharType="begin"/>
          </w:r>
          <w:r>
            <w:rPr>
              <w:noProof/>
            </w:rPr>
            <w:instrText xml:space="preserve"> PAGEREF _Toc259106269 \h </w:instrText>
          </w:r>
          <w:r>
            <w:rPr>
              <w:noProof/>
            </w:rPr>
          </w:r>
          <w:r>
            <w:rPr>
              <w:noProof/>
            </w:rPr>
            <w:fldChar w:fldCharType="separate"/>
          </w:r>
          <w:r>
            <w:rPr>
              <w:noProof/>
            </w:rPr>
            <w:t>9</w:t>
          </w:r>
          <w:r>
            <w:rPr>
              <w:noProof/>
            </w:rPr>
            <w:fldChar w:fldCharType="end"/>
          </w:r>
        </w:p>
        <w:p w14:paraId="4F8454EF" w14:textId="77777777" w:rsidR="000469B0" w:rsidRDefault="000469B0">
          <w:pPr>
            <w:pStyle w:val="TOC1"/>
            <w:tabs>
              <w:tab w:val="right" w:leader="dot" w:pos="8530"/>
            </w:tabs>
            <w:rPr>
              <w:b w:val="0"/>
              <w:caps w:val="0"/>
              <w:noProof/>
              <w:sz w:val="24"/>
              <w:szCs w:val="24"/>
              <w:lang w:val="en-GB" w:eastAsia="ja-JP"/>
            </w:rPr>
          </w:pPr>
          <w:r>
            <w:rPr>
              <w:noProof/>
            </w:rPr>
            <w:t>Standard of Review</w:t>
          </w:r>
          <w:r>
            <w:rPr>
              <w:noProof/>
            </w:rPr>
            <w:tab/>
          </w:r>
          <w:r>
            <w:rPr>
              <w:noProof/>
            </w:rPr>
            <w:fldChar w:fldCharType="begin"/>
          </w:r>
          <w:r>
            <w:rPr>
              <w:noProof/>
            </w:rPr>
            <w:instrText xml:space="preserve"> PAGEREF _Toc259106270 \h </w:instrText>
          </w:r>
          <w:r>
            <w:rPr>
              <w:noProof/>
            </w:rPr>
          </w:r>
          <w:r>
            <w:rPr>
              <w:noProof/>
            </w:rPr>
            <w:fldChar w:fldCharType="separate"/>
          </w:r>
          <w:r>
            <w:rPr>
              <w:noProof/>
            </w:rPr>
            <w:t>10</w:t>
          </w:r>
          <w:r>
            <w:rPr>
              <w:noProof/>
            </w:rPr>
            <w:fldChar w:fldCharType="end"/>
          </w:r>
        </w:p>
        <w:p w14:paraId="22BB43DF" w14:textId="77777777" w:rsidR="000469B0" w:rsidRDefault="000469B0">
          <w:pPr>
            <w:pStyle w:val="TOC1"/>
            <w:tabs>
              <w:tab w:val="right" w:leader="dot" w:pos="8530"/>
            </w:tabs>
            <w:rPr>
              <w:b w:val="0"/>
              <w:caps w:val="0"/>
              <w:noProof/>
              <w:sz w:val="24"/>
              <w:szCs w:val="24"/>
              <w:lang w:val="en-GB" w:eastAsia="ja-JP"/>
            </w:rPr>
          </w:pPr>
          <w:r>
            <w:rPr>
              <w:noProof/>
            </w:rPr>
            <w:t>Delegation and Sub-Delegation</w:t>
          </w:r>
          <w:r>
            <w:rPr>
              <w:noProof/>
            </w:rPr>
            <w:tab/>
          </w:r>
          <w:r>
            <w:rPr>
              <w:noProof/>
            </w:rPr>
            <w:fldChar w:fldCharType="begin"/>
          </w:r>
          <w:r>
            <w:rPr>
              <w:noProof/>
            </w:rPr>
            <w:instrText xml:space="preserve"> PAGEREF _Toc259106271 \h </w:instrText>
          </w:r>
          <w:r>
            <w:rPr>
              <w:noProof/>
            </w:rPr>
          </w:r>
          <w:r>
            <w:rPr>
              <w:noProof/>
            </w:rPr>
            <w:fldChar w:fldCharType="separate"/>
          </w:r>
          <w:r>
            <w:rPr>
              <w:noProof/>
            </w:rPr>
            <w:t>13</w:t>
          </w:r>
          <w:r>
            <w:rPr>
              <w:noProof/>
            </w:rPr>
            <w:fldChar w:fldCharType="end"/>
          </w:r>
        </w:p>
        <w:p w14:paraId="05277CD6" w14:textId="77777777" w:rsidR="000469B0" w:rsidRDefault="000469B0">
          <w:pPr>
            <w:pStyle w:val="TOC2"/>
            <w:tabs>
              <w:tab w:val="right" w:leader="dot" w:pos="8530"/>
            </w:tabs>
            <w:rPr>
              <w:smallCaps w:val="0"/>
              <w:noProof/>
              <w:sz w:val="24"/>
              <w:szCs w:val="24"/>
              <w:lang w:val="en-GB" w:eastAsia="ja-JP"/>
            </w:rPr>
          </w:pPr>
          <w:r>
            <w:rPr>
              <w:noProof/>
            </w:rPr>
            <w:t>Delegated Rule Making</w:t>
          </w:r>
          <w:r>
            <w:rPr>
              <w:noProof/>
            </w:rPr>
            <w:tab/>
          </w:r>
          <w:r>
            <w:rPr>
              <w:noProof/>
            </w:rPr>
            <w:fldChar w:fldCharType="begin"/>
          </w:r>
          <w:r>
            <w:rPr>
              <w:noProof/>
            </w:rPr>
            <w:instrText xml:space="preserve"> PAGEREF _Toc259106272 \h </w:instrText>
          </w:r>
          <w:r>
            <w:rPr>
              <w:noProof/>
            </w:rPr>
          </w:r>
          <w:r>
            <w:rPr>
              <w:noProof/>
            </w:rPr>
            <w:fldChar w:fldCharType="separate"/>
          </w:r>
          <w:r>
            <w:rPr>
              <w:noProof/>
            </w:rPr>
            <w:t>14</w:t>
          </w:r>
          <w:r>
            <w:rPr>
              <w:noProof/>
            </w:rPr>
            <w:fldChar w:fldCharType="end"/>
          </w:r>
        </w:p>
        <w:p w14:paraId="56ECC168" w14:textId="77777777" w:rsidR="000469B0" w:rsidRDefault="000469B0">
          <w:pPr>
            <w:pStyle w:val="TOC1"/>
            <w:tabs>
              <w:tab w:val="right" w:leader="dot" w:pos="8530"/>
            </w:tabs>
            <w:rPr>
              <w:b w:val="0"/>
              <w:caps w:val="0"/>
              <w:noProof/>
              <w:sz w:val="24"/>
              <w:szCs w:val="24"/>
              <w:lang w:val="en-GB" w:eastAsia="ja-JP"/>
            </w:rPr>
          </w:pPr>
          <w:r>
            <w:rPr>
              <w:noProof/>
            </w:rPr>
            <w:t>Constitution and Human Rights</w:t>
          </w:r>
          <w:r>
            <w:rPr>
              <w:noProof/>
            </w:rPr>
            <w:tab/>
          </w:r>
          <w:r>
            <w:rPr>
              <w:noProof/>
            </w:rPr>
            <w:fldChar w:fldCharType="begin"/>
          </w:r>
          <w:r>
            <w:rPr>
              <w:noProof/>
            </w:rPr>
            <w:instrText xml:space="preserve"> PAGEREF _Toc259106273 \h </w:instrText>
          </w:r>
          <w:r>
            <w:rPr>
              <w:noProof/>
            </w:rPr>
          </w:r>
          <w:r>
            <w:rPr>
              <w:noProof/>
            </w:rPr>
            <w:fldChar w:fldCharType="separate"/>
          </w:r>
          <w:r>
            <w:rPr>
              <w:noProof/>
            </w:rPr>
            <w:t>15</w:t>
          </w:r>
          <w:r>
            <w:rPr>
              <w:noProof/>
            </w:rPr>
            <w:fldChar w:fldCharType="end"/>
          </w:r>
        </w:p>
        <w:p w14:paraId="53C49E4D" w14:textId="77777777" w:rsidR="000469B0" w:rsidRDefault="000469B0">
          <w:pPr>
            <w:pStyle w:val="TOC2"/>
            <w:tabs>
              <w:tab w:val="right" w:leader="dot" w:pos="8530"/>
            </w:tabs>
            <w:rPr>
              <w:smallCaps w:val="0"/>
              <w:noProof/>
              <w:sz w:val="24"/>
              <w:szCs w:val="24"/>
              <w:lang w:val="en-GB" w:eastAsia="ja-JP"/>
            </w:rPr>
          </w:pPr>
          <w:r>
            <w:rPr>
              <w:noProof/>
            </w:rPr>
            <w:t>Charter Values</w:t>
          </w:r>
          <w:r>
            <w:rPr>
              <w:noProof/>
            </w:rPr>
            <w:tab/>
          </w:r>
          <w:r>
            <w:rPr>
              <w:noProof/>
            </w:rPr>
            <w:fldChar w:fldCharType="begin"/>
          </w:r>
          <w:r>
            <w:rPr>
              <w:noProof/>
            </w:rPr>
            <w:instrText xml:space="preserve"> PAGEREF _Toc259106274 \h </w:instrText>
          </w:r>
          <w:r>
            <w:rPr>
              <w:noProof/>
            </w:rPr>
          </w:r>
          <w:r>
            <w:rPr>
              <w:noProof/>
            </w:rPr>
            <w:fldChar w:fldCharType="separate"/>
          </w:r>
          <w:r>
            <w:rPr>
              <w:noProof/>
            </w:rPr>
            <w:t>16</w:t>
          </w:r>
          <w:r>
            <w:rPr>
              <w:noProof/>
            </w:rPr>
            <w:fldChar w:fldCharType="end"/>
          </w:r>
        </w:p>
        <w:p w14:paraId="38F9E2EA" w14:textId="77777777" w:rsidR="000469B0" w:rsidRDefault="000469B0">
          <w:pPr>
            <w:pStyle w:val="TOC2"/>
            <w:tabs>
              <w:tab w:val="right" w:leader="dot" w:pos="8530"/>
            </w:tabs>
            <w:rPr>
              <w:smallCaps w:val="0"/>
              <w:noProof/>
              <w:sz w:val="24"/>
              <w:szCs w:val="24"/>
              <w:lang w:val="en-GB" w:eastAsia="ja-JP"/>
            </w:rPr>
          </w:pPr>
          <w:r>
            <w:rPr>
              <w:noProof/>
            </w:rPr>
            <w:t>Human Rights Jurisdiction of the Tribunal</w:t>
          </w:r>
          <w:r>
            <w:rPr>
              <w:noProof/>
            </w:rPr>
            <w:tab/>
          </w:r>
          <w:r>
            <w:rPr>
              <w:noProof/>
            </w:rPr>
            <w:fldChar w:fldCharType="begin"/>
          </w:r>
          <w:r>
            <w:rPr>
              <w:noProof/>
            </w:rPr>
            <w:instrText xml:space="preserve"> PAGEREF _Toc259106275 \h </w:instrText>
          </w:r>
          <w:r>
            <w:rPr>
              <w:noProof/>
            </w:rPr>
          </w:r>
          <w:r>
            <w:rPr>
              <w:noProof/>
            </w:rPr>
            <w:fldChar w:fldCharType="separate"/>
          </w:r>
          <w:r>
            <w:rPr>
              <w:noProof/>
            </w:rPr>
            <w:t>16</w:t>
          </w:r>
          <w:r>
            <w:rPr>
              <w:noProof/>
            </w:rPr>
            <w:fldChar w:fldCharType="end"/>
          </w:r>
        </w:p>
        <w:p w14:paraId="6582F6E9" w14:textId="77777777" w:rsidR="000469B0" w:rsidRDefault="000469B0">
          <w:pPr>
            <w:pStyle w:val="TOC1"/>
            <w:tabs>
              <w:tab w:val="right" w:leader="dot" w:pos="8530"/>
            </w:tabs>
            <w:rPr>
              <w:b w:val="0"/>
              <w:caps w:val="0"/>
              <w:noProof/>
              <w:sz w:val="24"/>
              <w:szCs w:val="24"/>
              <w:lang w:val="en-GB" w:eastAsia="ja-JP"/>
            </w:rPr>
          </w:pPr>
          <w:r>
            <w:rPr>
              <w:noProof/>
            </w:rPr>
            <w:t>Power to Reconsider</w:t>
          </w:r>
          <w:r>
            <w:rPr>
              <w:noProof/>
            </w:rPr>
            <w:tab/>
          </w:r>
          <w:r>
            <w:rPr>
              <w:noProof/>
            </w:rPr>
            <w:fldChar w:fldCharType="begin"/>
          </w:r>
          <w:r>
            <w:rPr>
              <w:noProof/>
            </w:rPr>
            <w:instrText xml:space="preserve"> PAGEREF _Toc259106276 \h </w:instrText>
          </w:r>
          <w:r>
            <w:rPr>
              <w:noProof/>
            </w:rPr>
          </w:r>
          <w:r>
            <w:rPr>
              <w:noProof/>
            </w:rPr>
            <w:fldChar w:fldCharType="separate"/>
          </w:r>
          <w:r>
            <w:rPr>
              <w:noProof/>
            </w:rPr>
            <w:t>17</w:t>
          </w:r>
          <w:r>
            <w:rPr>
              <w:noProof/>
            </w:rPr>
            <w:fldChar w:fldCharType="end"/>
          </w:r>
        </w:p>
        <w:p w14:paraId="278CD870" w14:textId="2657A3AC" w:rsidR="00307AFD" w:rsidRDefault="00307AFD">
          <w:r>
            <w:rPr>
              <w:b/>
              <w:bCs/>
              <w:noProof/>
            </w:rPr>
            <w:fldChar w:fldCharType="end"/>
          </w:r>
        </w:p>
      </w:sdtContent>
    </w:sdt>
    <w:p w14:paraId="7284C21E" w14:textId="77777777" w:rsidR="00307AFD" w:rsidRDefault="00307AFD" w:rsidP="00307AFD">
      <w:pPr>
        <w:pStyle w:val="Heading1"/>
      </w:pPr>
    </w:p>
    <w:p w14:paraId="18984538" w14:textId="77777777" w:rsidR="00307AFD" w:rsidRDefault="00307AFD">
      <w:pPr>
        <w:rPr>
          <w:rFonts w:asciiTheme="majorHAnsi" w:eastAsiaTheme="majorEastAsia" w:hAnsiTheme="majorHAnsi" w:cstheme="majorBidi"/>
          <w:b/>
          <w:bCs/>
          <w:sz w:val="32"/>
          <w:szCs w:val="32"/>
        </w:rPr>
      </w:pPr>
      <w:r>
        <w:br w:type="page"/>
      </w:r>
    </w:p>
    <w:p w14:paraId="566A5536" w14:textId="054A908E" w:rsidR="00D97A02" w:rsidRPr="00307AFD" w:rsidRDefault="00D97A02" w:rsidP="00307AFD">
      <w:pPr>
        <w:pStyle w:val="Heading1"/>
      </w:pPr>
      <w:bookmarkStart w:id="0" w:name="_Toc259106255"/>
      <w:r w:rsidRPr="00307AFD">
        <w:lastRenderedPageBreak/>
        <w:t>Procedural Fairness</w:t>
      </w:r>
      <w:bookmarkEnd w:id="0"/>
    </w:p>
    <w:p w14:paraId="4853E2A4" w14:textId="77777777" w:rsidR="00D97A02" w:rsidRPr="00D85E64" w:rsidRDefault="00D97A02">
      <w:pPr>
        <w:rPr>
          <w:i/>
        </w:rPr>
      </w:pPr>
    </w:p>
    <w:p w14:paraId="583B54E7" w14:textId="77777777" w:rsidR="00E33BF4" w:rsidRPr="00E21495" w:rsidRDefault="001B32B1">
      <w:pPr>
        <w:rPr>
          <w:sz w:val="22"/>
          <w:szCs w:val="22"/>
        </w:rPr>
      </w:pPr>
      <w:r w:rsidRPr="00E21495">
        <w:rPr>
          <w:i/>
          <w:sz w:val="22"/>
          <w:szCs w:val="22"/>
        </w:rPr>
        <w:t>Nicholson v. Haldimand Norfolk (Regional) Police Commissioners</w:t>
      </w:r>
      <w:r w:rsidRPr="00E21495">
        <w:rPr>
          <w:sz w:val="22"/>
          <w:szCs w:val="22"/>
        </w:rPr>
        <w:t xml:space="preserve"> (SCC, 1979):</w:t>
      </w:r>
    </w:p>
    <w:p w14:paraId="773505B8" w14:textId="3AF5B6D4" w:rsidR="001B32B1" w:rsidRPr="00E21495" w:rsidRDefault="001B32B1" w:rsidP="00B95FDA">
      <w:pPr>
        <w:rPr>
          <w:sz w:val="22"/>
          <w:szCs w:val="22"/>
        </w:rPr>
      </w:pPr>
      <w:r w:rsidRPr="00E21495">
        <w:rPr>
          <w:sz w:val="22"/>
          <w:szCs w:val="22"/>
        </w:rPr>
        <w:t xml:space="preserve">-If the rights, entitlements, interests or obligations of a party </w:t>
      </w:r>
      <w:r w:rsidR="00DF4028" w:rsidRPr="00E21495">
        <w:rPr>
          <w:sz w:val="22"/>
          <w:szCs w:val="22"/>
        </w:rPr>
        <w:t xml:space="preserve">are </w:t>
      </w:r>
      <w:r w:rsidR="00C364D9" w:rsidRPr="00E21495">
        <w:rPr>
          <w:sz w:val="22"/>
          <w:szCs w:val="22"/>
        </w:rPr>
        <w:t>being affected by a decision-</w:t>
      </w:r>
      <w:r w:rsidRPr="00E21495">
        <w:rPr>
          <w:sz w:val="22"/>
          <w:szCs w:val="22"/>
        </w:rPr>
        <w:t>maker, then a right to procedural fairness arises.</w:t>
      </w:r>
    </w:p>
    <w:p w14:paraId="482961F3" w14:textId="77777777" w:rsidR="001B32B1" w:rsidRPr="00E21495" w:rsidRDefault="001B32B1" w:rsidP="001B32B1">
      <w:pPr>
        <w:rPr>
          <w:sz w:val="22"/>
          <w:szCs w:val="22"/>
        </w:rPr>
      </w:pPr>
    </w:p>
    <w:p w14:paraId="2A5BE05F" w14:textId="77777777" w:rsidR="000308E7" w:rsidRPr="00E21495" w:rsidRDefault="000308E7" w:rsidP="000308E7">
      <w:pPr>
        <w:rPr>
          <w:sz w:val="22"/>
          <w:szCs w:val="22"/>
        </w:rPr>
      </w:pPr>
      <w:r w:rsidRPr="00E21495">
        <w:rPr>
          <w:i/>
          <w:sz w:val="22"/>
          <w:szCs w:val="22"/>
        </w:rPr>
        <w:t>Cardinal v. Kent Institution</w:t>
      </w:r>
      <w:r w:rsidRPr="00E21495">
        <w:rPr>
          <w:sz w:val="22"/>
          <w:szCs w:val="22"/>
        </w:rPr>
        <w:t xml:space="preserve"> (SCC, 1985):</w:t>
      </w:r>
    </w:p>
    <w:p w14:paraId="25072F4E" w14:textId="37B827EF" w:rsidR="00E42198" w:rsidRPr="00E21495" w:rsidRDefault="00E42198" w:rsidP="00B95FDA">
      <w:pPr>
        <w:rPr>
          <w:sz w:val="22"/>
          <w:szCs w:val="22"/>
        </w:rPr>
      </w:pPr>
      <w:r w:rsidRPr="00E21495">
        <w:rPr>
          <w:sz w:val="22"/>
          <w:szCs w:val="22"/>
        </w:rPr>
        <w:t>-Procedural fairness applies to every public authority making an administrative decision that is not of a legislative nature and which affects the rights, privileges, or interests of an individual (paragraph 14).</w:t>
      </w:r>
    </w:p>
    <w:p w14:paraId="287397DC" w14:textId="079C02D6" w:rsidR="00C364D9" w:rsidRPr="00E21495" w:rsidRDefault="00C364D9" w:rsidP="00B95FDA">
      <w:pPr>
        <w:rPr>
          <w:sz w:val="22"/>
          <w:szCs w:val="22"/>
        </w:rPr>
      </w:pPr>
      <w:r w:rsidRPr="00E21495">
        <w:rPr>
          <w:sz w:val="22"/>
          <w:szCs w:val="22"/>
        </w:rPr>
        <w:t>-A breach of procedural fairness, whether it results in substantive unfairness or not, will result in a quashing of the decision.  It does not matter if outcome will be the same.</w:t>
      </w:r>
    </w:p>
    <w:p w14:paraId="71ABACCD" w14:textId="3D54E6F5" w:rsidR="000308E7" w:rsidRPr="00E21495" w:rsidRDefault="000308E7" w:rsidP="00B95FDA">
      <w:pPr>
        <w:rPr>
          <w:sz w:val="22"/>
          <w:szCs w:val="22"/>
        </w:rPr>
      </w:pPr>
      <w:r w:rsidRPr="00E21495">
        <w:rPr>
          <w:sz w:val="22"/>
          <w:szCs w:val="22"/>
        </w:rPr>
        <w:t>-Emergency circumstances can result in temporary suspension of procedural fairness (but not its permanent abolition).</w:t>
      </w:r>
      <w:r w:rsidR="0012470E" w:rsidRPr="00E21495">
        <w:rPr>
          <w:sz w:val="22"/>
          <w:szCs w:val="22"/>
        </w:rPr>
        <w:tab/>
      </w:r>
    </w:p>
    <w:p w14:paraId="405C10B2" w14:textId="77777777" w:rsidR="00DF4028" w:rsidRPr="00E21495" w:rsidRDefault="00DF4028" w:rsidP="000308E7">
      <w:pPr>
        <w:rPr>
          <w:sz w:val="22"/>
          <w:szCs w:val="22"/>
        </w:rPr>
      </w:pPr>
    </w:p>
    <w:p w14:paraId="62112769" w14:textId="77777777" w:rsidR="000308E7" w:rsidRPr="00E21495" w:rsidRDefault="000308E7" w:rsidP="000308E7">
      <w:pPr>
        <w:rPr>
          <w:sz w:val="22"/>
          <w:szCs w:val="22"/>
        </w:rPr>
      </w:pPr>
      <w:r w:rsidRPr="00E21495">
        <w:rPr>
          <w:i/>
          <w:sz w:val="22"/>
          <w:szCs w:val="22"/>
        </w:rPr>
        <w:t xml:space="preserve">Knight v. Indian Head School Division No. 19 </w:t>
      </w:r>
      <w:r w:rsidRPr="00E21495">
        <w:rPr>
          <w:sz w:val="22"/>
          <w:szCs w:val="22"/>
        </w:rPr>
        <w:t>(SCC, 1990):</w:t>
      </w:r>
    </w:p>
    <w:p w14:paraId="04A8625B" w14:textId="77777777" w:rsidR="00714EC1" w:rsidRPr="00E21495" w:rsidRDefault="00714EC1" w:rsidP="00B95FDA">
      <w:pPr>
        <w:rPr>
          <w:rFonts w:ascii="Cambria" w:hAnsi="Cambria"/>
          <w:sz w:val="22"/>
          <w:szCs w:val="22"/>
        </w:rPr>
      </w:pPr>
      <w:r w:rsidRPr="00E21495">
        <w:rPr>
          <w:rFonts w:ascii="Cambria" w:hAnsi="Cambria"/>
          <w:sz w:val="22"/>
          <w:szCs w:val="22"/>
        </w:rPr>
        <w:t>-Content of the duty of procedural fairness is imminently variable.  In this case, it was satisfied by discussions between employer and employee.</w:t>
      </w:r>
    </w:p>
    <w:p w14:paraId="47B7562F" w14:textId="15817620" w:rsidR="00E42198" w:rsidRPr="00E21495" w:rsidRDefault="000308E7" w:rsidP="00B95FDA">
      <w:pPr>
        <w:rPr>
          <w:rFonts w:ascii="Cambria" w:hAnsi="Cambria"/>
          <w:sz w:val="22"/>
          <w:szCs w:val="22"/>
        </w:rPr>
      </w:pPr>
      <w:r w:rsidRPr="00E21495">
        <w:rPr>
          <w:sz w:val="22"/>
          <w:szCs w:val="22"/>
        </w:rPr>
        <w:t>-</w:t>
      </w:r>
      <w:r w:rsidR="00714EC1" w:rsidRPr="00E21495">
        <w:rPr>
          <w:sz w:val="22"/>
          <w:szCs w:val="22"/>
        </w:rPr>
        <w:t>Three factors to look at</w:t>
      </w:r>
      <w:r w:rsidR="00725E30" w:rsidRPr="00E21495">
        <w:rPr>
          <w:sz w:val="22"/>
          <w:szCs w:val="22"/>
        </w:rPr>
        <w:t xml:space="preserve"> </w:t>
      </w:r>
      <w:r w:rsidR="00714EC1" w:rsidRPr="00E21495">
        <w:rPr>
          <w:rFonts w:ascii="Cambria" w:hAnsi="Cambria"/>
          <w:sz w:val="22"/>
          <w:szCs w:val="22"/>
        </w:rPr>
        <w:t>in</w:t>
      </w:r>
      <w:r w:rsidR="00725E30" w:rsidRPr="00E21495">
        <w:rPr>
          <w:rFonts w:ascii="Cambria" w:hAnsi="Cambria"/>
          <w:sz w:val="22"/>
          <w:szCs w:val="22"/>
        </w:rPr>
        <w:t xml:space="preserve"> determining whether the right to procedural fairness</w:t>
      </w:r>
      <w:r w:rsidR="00DF4028" w:rsidRPr="00E21495">
        <w:rPr>
          <w:rFonts w:ascii="Cambria" w:hAnsi="Cambria"/>
          <w:sz w:val="22"/>
          <w:szCs w:val="22"/>
        </w:rPr>
        <w:t xml:space="preserve"> arises</w:t>
      </w:r>
      <w:r w:rsidR="00725E30" w:rsidRPr="00E21495">
        <w:rPr>
          <w:rFonts w:ascii="Cambria" w:hAnsi="Cambria"/>
          <w:sz w:val="22"/>
          <w:szCs w:val="22"/>
        </w:rPr>
        <w:t>:</w:t>
      </w:r>
    </w:p>
    <w:p w14:paraId="01DE17E9" w14:textId="77777777" w:rsidR="00B95FDA" w:rsidRPr="00E21495" w:rsidRDefault="00B95FDA" w:rsidP="00B95FDA">
      <w:pPr>
        <w:ind w:left="720"/>
        <w:rPr>
          <w:rFonts w:ascii="Cambria" w:hAnsi="Cambria"/>
          <w:sz w:val="22"/>
          <w:szCs w:val="22"/>
        </w:rPr>
      </w:pPr>
      <w:r w:rsidRPr="00E21495">
        <w:rPr>
          <w:rFonts w:ascii="Cambria" w:hAnsi="Cambria"/>
          <w:sz w:val="22"/>
          <w:szCs w:val="22"/>
        </w:rPr>
        <w:t>1.) look at nature of decision being made by administrative body in question.  Considerations include: is the decision specific to a narrow group of parties? Is it administrative in nature or policy related?  Is it final?  (interim decisions are not subject to judicial review on procedural fairness grounds).</w:t>
      </w:r>
    </w:p>
    <w:p w14:paraId="404808C8" w14:textId="77777777" w:rsidR="00B95FDA" w:rsidRPr="00E21495" w:rsidRDefault="00B95FDA" w:rsidP="00B95FDA">
      <w:pPr>
        <w:ind w:left="720"/>
        <w:rPr>
          <w:rFonts w:ascii="Cambria" w:hAnsi="Cambria"/>
          <w:sz w:val="22"/>
          <w:szCs w:val="22"/>
        </w:rPr>
      </w:pPr>
      <w:r w:rsidRPr="00E21495">
        <w:rPr>
          <w:rFonts w:ascii="Cambria" w:hAnsi="Cambria"/>
          <w:sz w:val="22"/>
          <w:szCs w:val="22"/>
        </w:rPr>
        <w:t>2.) Relationship existing between body in question and individual: if the relationship is of master and servant, that is a pure employment relationship and there is no right to procedural fairness—just look to employment law to resolve dispute.  If office holder or office holder at pleasure, then some right to fairness will arise. (applies only in employment settings)</w:t>
      </w:r>
    </w:p>
    <w:p w14:paraId="2685B0E9" w14:textId="77777777" w:rsidR="00B95FDA" w:rsidRPr="00E21495" w:rsidRDefault="00B95FDA" w:rsidP="00B95FDA">
      <w:pPr>
        <w:ind w:left="720"/>
        <w:rPr>
          <w:rFonts w:ascii="Cambria" w:hAnsi="Cambria"/>
          <w:sz w:val="22"/>
          <w:szCs w:val="22"/>
        </w:rPr>
      </w:pPr>
      <w:r w:rsidRPr="00E21495">
        <w:rPr>
          <w:rFonts w:ascii="Cambria" w:hAnsi="Cambria"/>
          <w:sz w:val="22"/>
          <w:szCs w:val="22"/>
        </w:rPr>
        <w:t>3.) Consider how the decision affects the individual’s rights.  “There is a right to procedural fairness only if the decision is a significant one and has an important impact on the individual.”</w:t>
      </w:r>
    </w:p>
    <w:p w14:paraId="229D78CA" w14:textId="77777777" w:rsidR="00B95FDA" w:rsidRPr="00E21495" w:rsidRDefault="00B95FDA" w:rsidP="00B95FDA">
      <w:pPr>
        <w:rPr>
          <w:rFonts w:ascii="Cambria" w:hAnsi="Cambria"/>
          <w:sz w:val="22"/>
          <w:szCs w:val="22"/>
        </w:rPr>
      </w:pPr>
    </w:p>
    <w:p w14:paraId="07C1E82C" w14:textId="77777777" w:rsidR="00E42198" w:rsidRPr="00E21495" w:rsidRDefault="00E42198" w:rsidP="00E42198">
      <w:pPr>
        <w:rPr>
          <w:bCs/>
          <w:sz w:val="22"/>
          <w:szCs w:val="22"/>
        </w:rPr>
      </w:pPr>
      <w:r w:rsidRPr="00E21495">
        <w:rPr>
          <w:i/>
          <w:sz w:val="22"/>
          <w:szCs w:val="22"/>
        </w:rPr>
        <w:t>A</w:t>
      </w:r>
      <w:r w:rsidRPr="00E21495">
        <w:rPr>
          <w:bCs/>
          <w:i/>
          <w:sz w:val="22"/>
          <w:szCs w:val="22"/>
        </w:rPr>
        <w:t xml:space="preserve">ttorney General of Canada v. Inuit Tapirisat et al </w:t>
      </w:r>
      <w:r w:rsidRPr="00E21495">
        <w:rPr>
          <w:bCs/>
          <w:sz w:val="22"/>
          <w:szCs w:val="22"/>
        </w:rPr>
        <w:t>(SCC, 1980):</w:t>
      </w:r>
    </w:p>
    <w:p w14:paraId="34F4970F" w14:textId="77777777" w:rsidR="00E42198" w:rsidRPr="00E21495" w:rsidRDefault="00E42198" w:rsidP="00B95FDA">
      <w:pPr>
        <w:rPr>
          <w:bCs/>
          <w:sz w:val="22"/>
          <w:szCs w:val="22"/>
        </w:rPr>
      </w:pPr>
      <w:r w:rsidRPr="00E21495">
        <w:rPr>
          <w:bCs/>
          <w:sz w:val="22"/>
          <w:szCs w:val="22"/>
        </w:rPr>
        <w:t>-Legislative action, such as a decision being made by the governor-in-counsel, is not subject to a duty of procedural fairness.</w:t>
      </w:r>
    </w:p>
    <w:p w14:paraId="2653E155" w14:textId="77777777" w:rsidR="00E42198" w:rsidRPr="00E21495" w:rsidRDefault="00E42198" w:rsidP="00B95FDA">
      <w:pPr>
        <w:rPr>
          <w:bCs/>
          <w:sz w:val="22"/>
          <w:szCs w:val="22"/>
        </w:rPr>
      </w:pPr>
      <w:r w:rsidRPr="00E21495">
        <w:rPr>
          <w:bCs/>
          <w:sz w:val="22"/>
          <w:szCs w:val="22"/>
        </w:rPr>
        <w:t>-In order to ascertain whether the statutory decision-maker is subject to a duty of fairness, it is necessary to examine the statute in order to determine the legislature’s intent.</w:t>
      </w:r>
    </w:p>
    <w:p w14:paraId="7AF84D45" w14:textId="77777777" w:rsidR="00E42198" w:rsidRPr="00E21495" w:rsidRDefault="00E42198" w:rsidP="00E42198">
      <w:pPr>
        <w:rPr>
          <w:sz w:val="22"/>
          <w:szCs w:val="22"/>
        </w:rPr>
      </w:pPr>
    </w:p>
    <w:p w14:paraId="22B956A4" w14:textId="77777777" w:rsidR="00E42198" w:rsidRPr="00E21495" w:rsidRDefault="00E42198" w:rsidP="00E42198">
      <w:pPr>
        <w:rPr>
          <w:sz w:val="22"/>
          <w:szCs w:val="22"/>
        </w:rPr>
      </w:pPr>
      <w:r w:rsidRPr="00E21495">
        <w:rPr>
          <w:i/>
          <w:sz w:val="22"/>
          <w:szCs w:val="22"/>
        </w:rPr>
        <w:t>Reference Re Canada Assistance Plan (B.C.)</w:t>
      </w:r>
      <w:r w:rsidRPr="00E21495">
        <w:rPr>
          <w:sz w:val="22"/>
          <w:szCs w:val="22"/>
        </w:rPr>
        <w:t xml:space="preserve"> (SCC, 1991):</w:t>
      </w:r>
    </w:p>
    <w:p w14:paraId="6178B74C" w14:textId="352C53CC" w:rsidR="00DF4028" w:rsidRDefault="00E42198" w:rsidP="00725E30">
      <w:pPr>
        <w:rPr>
          <w:sz w:val="22"/>
          <w:szCs w:val="22"/>
        </w:rPr>
      </w:pPr>
      <w:r w:rsidRPr="00E21495">
        <w:rPr>
          <w:sz w:val="22"/>
          <w:szCs w:val="22"/>
        </w:rPr>
        <w:t>-Legitimate expectations cannot give rise to substantive rights or outcomes but can give rise to procedural requirements (i.e., procedural fairness).  You can have legitimate expectations about process.</w:t>
      </w:r>
    </w:p>
    <w:p w14:paraId="009787F0" w14:textId="77777777" w:rsidR="00E21495" w:rsidRPr="00E21495" w:rsidRDefault="00E21495" w:rsidP="00725E30">
      <w:pPr>
        <w:rPr>
          <w:sz w:val="22"/>
          <w:szCs w:val="22"/>
        </w:rPr>
      </w:pPr>
    </w:p>
    <w:p w14:paraId="34735E6C" w14:textId="77777777" w:rsidR="00714EC1" w:rsidRPr="00307AFD" w:rsidRDefault="00714EC1" w:rsidP="00307AFD">
      <w:pPr>
        <w:pStyle w:val="Heading2"/>
      </w:pPr>
      <w:bookmarkStart w:id="1" w:name="_Toc259106256"/>
      <w:r w:rsidRPr="00307AFD">
        <w:t>Content of Procedural Fairness</w:t>
      </w:r>
      <w:bookmarkEnd w:id="1"/>
    </w:p>
    <w:p w14:paraId="48FA1719" w14:textId="77777777" w:rsidR="00714EC1" w:rsidRPr="00714EC1" w:rsidRDefault="00714EC1" w:rsidP="00714EC1"/>
    <w:p w14:paraId="664668D0" w14:textId="161A91A7" w:rsidR="00725E30" w:rsidRPr="00E21495" w:rsidRDefault="00725E30" w:rsidP="00725E30">
      <w:pPr>
        <w:rPr>
          <w:rFonts w:ascii="Cambria" w:hAnsi="Cambria"/>
          <w:sz w:val="22"/>
          <w:szCs w:val="22"/>
        </w:rPr>
      </w:pPr>
      <w:r w:rsidRPr="00E21495">
        <w:rPr>
          <w:rFonts w:ascii="Cambria" w:hAnsi="Cambria"/>
          <w:i/>
          <w:sz w:val="22"/>
          <w:szCs w:val="22"/>
        </w:rPr>
        <w:t>Baker</w:t>
      </w:r>
      <w:r w:rsidR="006F651D" w:rsidRPr="00E21495">
        <w:rPr>
          <w:rFonts w:ascii="Cambria" w:hAnsi="Cambria"/>
          <w:i/>
          <w:sz w:val="22"/>
          <w:szCs w:val="22"/>
        </w:rPr>
        <w:t xml:space="preserve"> v Canada</w:t>
      </w:r>
      <w:r w:rsidR="006F651D" w:rsidRPr="00E21495">
        <w:rPr>
          <w:rFonts w:ascii="Cambria" w:hAnsi="Cambria"/>
          <w:sz w:val="22"/>
          <w:szCs w:val="22"/>
        </w:rPr>
        <w:t xml:space="preserve"> (SCC, 1999):</w:t>
      </w:r>
      <w:r w:rsidR="006F651D" w:rsidRPr="00E21495">
        <w:rPr>
          <w:rFonts w:ascii="Cambria" w:hAnsi="Cambria"/>
          <w:sz w:val="22"/>
          <w:szCs w:val="22"/>
        </w:rPr>
        <w:tab/>
      </w:r>
    </w:p>
    <w:p w14:paraId="157790C0" w14:textId="5E04DB26" w:rsidR="00DF4028" w:rsidRPr="00E21495" w:rsidRDefault="006F651D" w:rsidP="00B95FDA">
      <w:pPr>
        <w:rPr>
          <w:rFonts w:ascii="Cambria" w:hAnsi="Cambria"/>
          <w:sz w:val="22"/>
          <w:szCs w:val="22"/>
        </w:rPr>
      </w:pPr>
      <w:r w:rsidRPr="00E21495">
        <w:rPr>
          <w:rFonts w:ascii="Cambria" w:hAnsi="Cambria"/>
          <w:sz w:val="22"/>
          <w:szCs w:val="22"/>
        </w:rPr>
        <w:t>-Five factors for calibrating the degree of procedural fairness that is appropriate in a given case:</w:t>
      </w:r>
    </w:p>
    <w:p w14:paraId="25B000BD" w14:textId="77777777" w:rsidR="0012075B" w:rsidRPr="00E21495" w:rsidRDefault="0012075B" w:rsidP="00B95FDA">
      <w:pPr>
        <w:ind w:left="720"/>
        <w:rPr>
          <w:sz w:val="22"/>
          <w:szCs w:val="22"/>
        </w:rPr>
      </w:pPr>
      <w:r w:rsidRPr="00E21495">
        <w:rPr>
          <w:sz w:val="22"/>
          <w:szCs w:val="22"/>
        </w:rPr>
        <w:t xml:space="preserve">1.) Nature of decision being made and the process followed in making it.  The more this looks judicial, the greater the degree of fairness will be required.  </w:t>
      </w:r>
    </w:p>
    <w:p w14:paraId="6C191EA3" w14:textId="77777777" w:rsidR="0012075B" w:rsidRPr="00E21495" w:rsidRDefault="0012075B" w:rsidP="00B95FDA">
      <w:pPr>
        <w:ind w:left="720"/>
        <w:rPr>
          <w:sz w:val="22"/>
          <w:szCs w:val="22"/>
        </w:rPr>
      </w:pPr>
      <w:r w:rsidRPr="00E21495">
        <w:rPr>
          <w:sz w:val="22"/>
          <w:szCs w:val="22"/>
        </w:rPr>
        <w:t>2.) Nature of statutory scheme and terms pursuant to which the body operates.  E.g., if there a right to appeal to some other body, then initial decision will require less fairness.  If quick turn around time, then less fairness will be owed.</w:t>
      </w:r>
    </w:p>
    <w:p w14:paraId="1AB9341A" w14:textId="77777777" w:rsidR="0012075B" w:rsidRPr="00E21495" w:rsidRDefault="0012075B" w:rsidP="00B95FDA">
      <w:pPr>
        <w:ind w:left="720"/>
        <w:rPr>
          <w:sz w:val="22"/>
          <w:szCs w:val="22"/>
        </w:rPr>
      </w:pPr>
      <w:r w:rsidRPr="00E21495">
        <w:rPr>
          <w:sz w:val="22"/>
          <w:szCs w:val="22"/>
        </w:rPr>
        <w:t>3.) The importance of the decision to the individual(s) affected.  The more important (the greater the impact on their life), the more stringent protections are required.</w:t>
      </w:r>
    </w:p>
    <w:p w14:paraId="4E1077AD" w14:textId="1532A37C" w:rsidR="0012075B" w:rsidRPr="00E21495" w:rsidRDefault="0012075B" w:rsidP="00B95FDA">
      <w:pPr>
        <w:ind w:left="720"/>
        <w:rPr>
          <w:sz w:val="22"/>
          <w:szCs w:val="22"/>
        </w:rPr>
      </w:pPr>
      <w:r w:rsidRPr="00E21495">
        <w:rPr>
          <w:sz w:val="22"/>
          <w:szCs w:val="22"/>
        </w:rPr>
        <w:t>4.) Legitimate expectations of the parties in terms of what procedure should be used.  Legitimate expectations can create procedural, but not substantive, rights.</w:t>
      </w:r>
      <w:r w:rsidR="009C7A24" w:rsidRPr="00E21495">
        <w:rPr>
          <w:sz w:val="22"/>
          <w:szCs w:val="22"/>
        </w:rPr>
        <w:t xml:space="preserve">  Look to applicable act and relevant documents about the tribunal.</w:t>
      </w:r>
    </w:p>
    <w:p w14:paraId="3DF9B374" w14:textId="0FD697BE" w:rsidR="006F651D" w:rsidRPr="00E21495" w:rsidRDefault="0012075B" w:rsidP="00B95FDA">
      <w:pPr>
        <w:ind w:left="720"/>
        <w:rPr>
          <w:sz w:val="22"/>
          <w:szCs w:val="22"/>
        </w:rPr>
      </w:pPr>
      <w:r w:rsidRPr="00E21495">
        <w:rPr>
          <w:sz w:val="22"/>
          <w:szCs w:val="22"/>
        </w:rPr>
        <w:t xml:space="preserve">5.) Choice of procedure made by agency itself.  Some weight should be given to tribunal’s choice of procedure because of its </w:t>
      </w:r>
      <w:r w:rsidR="007251E8" w:rsidRPr="00E21495">
        <w:rPr>
          <w:sz w:val="22"/>
          <w:szCs w:val="22"/>
        </w:rPr>
        <w:t>specialty</w:t>
      </w:r>
      <w:r w:rsidRPr="00E21495">
        <w:rPr>
          <w:sz w:val="22"/>
          <w:szCs w:val="22"/>
        </w:rPr>
        <w:t xml:space="preserve"> in that area.</w:t>
      </w:r>
    </w:p>
    <w:p w14:paraId="26F8C854" w14:textId="77777777" w:rsidR="00DF4028" w:rsidRPr="00E21495" w:rsidRDefault="00DF4028" w:rsidP="0012470E">
      <w:pPr>
        <w:ind w:left="1440"/>
        <w:rPr>
          <w:sz w:val="22"/>
          <w:szCs w:val="22"/>
        </w:rPr>
      </w:pPr>
    </w:p>
    <w:p w14:paraId="52B693FA" w14:textId="5101467F" w:rsidR="009C7A24" w:rsidRPr="00E21495" w:rsidRDefault="0012470E" w:rsidP="00B95FDA">
      <w:pPr>
        <w:rPr>
          <w:sz w:val="22"/>
          <w:szCs w:val="22"/>
        </w:rPr>
      </w:pPr>
      <w:r w:rsidRPr="00E21495">
        <w:rPr>
          <w:sz w:val="22"/>
          <w:szCs w:val="22"/>
        </w:rPr>
        <w:t>-</w:t>
      </w:r>
      <w:r w:rsidR="00D25DBD" w:rsidRPr="00E21495">
        <w:rPr>
          <w:sz w:val="22"/>
          <w:szCs w:val="22"/>
        </w:rPr>
        <w:t xml:space="preserve">Note: first apply </w:t>
      </w:r>
      <w:r w:rsidR="00D25DBD" w:rsidRPr="00E21495">
        <w:rPr>
          <w:i/>
          <w:sz w:val="22"/>
          <w:szCs w:val="22"/>
        </w:rPr>
        <w:t>Nicholson</w:t>
      </w:r>
      <w:r w:rsidR="00D25DBD" w:rsidRPr="00E21495">
        <w:rPr>
          <w:sz w:val="22"/>
          <w:szCs w:val="22"/>
        </w:rPr>
        <w:t xml:space="preserve">, </w:t>
      </w:r>
      <w:r w:rsidR="00D25DBD" w:rsidRPr="00E21495">
        <w:rPr>
          <w:i/>
          <w:sz w:val="22"/>
          <w:szCs w:val="22"/>
        </w:rPr>
        <w:t>AG Canada v Inuit Tapirisat, Reference Re Canada Assistance Plan (B.C.)</w:t>
      </w:r>
      <w:r w:rsidR="00D25DBD" w:rsidRPr="00E21495">
        <w:rPr>
          <w:sz w:val="22"/>
          <w:szCs w:val="22"/>
        </w:rPr>
        <w:t xml:space="preserve">, </w:t>
      </w:r>
      <w:r w:rsidR="00D25DBD" w:rsidRPr="00E21495">
        <w:rPr>
          <w:i/>
          <w:sz w:val="22"/>
          <w:szCs w:val="22"/>
        </w:rPr>
        <w:t>Cardinal</w:t>
      </w:r>
      <w:r w:rsidRPr="00E21495">
        <w:rPr>
          <w:sz w:val="22"/>
          <w:szCs w:val="22"/>
        </w:rPr>
        <w:t xml:space="preserve"> and </w:t>
      </w:r>
      <w:r w:rsidRPr="00E21495">
        <w:rPr>
          <w:i/>
          <w:sz w:val="22"/>
          <w:szCs w:val="22"/>
        </w:rPr>
        <w:t>Knight</w:t>
      </w:r>
      <w:r w:rsidRPr="00E21495">
        <w:rPr>
          <w:sz w:val="22"/>
          <w:szCs w:val="22"/>
        </w:rPr>
        <w:t xml:space="preserve"> to determine whether procedural fairness is required.  If required, then use </w:t>
      </w:r>
      <w:r w:rsidRPr="00E21495">
        <w:rPr>
          <w:i/>
          <w:sz w:val="22"/>
          <w:szCs w:val="22"/>
        </w:rPr>
        <w:t>Baker</w:t>
      </w:r>
      <w:r w:rsidRPr="00E21495">
        <w:rPr>
          <w:sz w:val="22"/>
          <w:szCs w:val="22"/>
        </w:rPr>
        <w:t xml:space="preserve"> factors to determine content of the duty of procedural fairness required.</w:t>
      </w:r>
    </w:p>
    <w:p w14:paraId="0BA9AB3E" w14:textId="71E0935D" w:rsidR="0012470E" w:rsidRPr="00E21495" w:rsidRDefault="0012470E" w:rsidP="00725E30">
      <w:pPr>
        <w:rPr>
          <w:sz w:val="22"/>
          <w:szCs w:val="22"/>
        </w:rPr>
      </w:pPr>
      <w:r w:rsidRPr="00E21495">
        <w:rPr>
          <w:sz w:val="22"/>
          <w:szCs w:val="22"/>
        </w:rPr>
        <w:t>-Requirement to give</w:t>
      </w:r>
      <w:r w:rsidR="007251E8" w:rsidRPr="00E21495">
        <w:rPr>
          <w:sz w:val="22"/>
          <w:szCs w:val="22"/>
        </w:rPr>
        <w:t xml:space="preserve"> adequate</w:t>
      </w:r>
      <w:r w:rsidRPr="00E21495">
        <w:rPr>
          <w:sz w:val="22"/>
          <w:szCs w:val="22"/>
        </w:rPr>
        <w:t xml:space="preserve"> reasons comes from </w:t>
      </w:r>
      <w:r w:rsidRPr="00E21495">
        <w:rPr>
          <w:i/>
          <w:sz w:val="22"/>
          <w:szCs w:val="22"/>
        </w:rPr>
        <w:t>Baker</w:t>
      </w:r>
      <w:r w:rsidRPr="00E21495">
        <w:rPr>
          <w:sz w:val="22"/>
          <w:szCs w:val="22"/>
        </w:rPr>
        <w:t xml:space="preserve">.  </w:t>
      </w:r>
    </w:p>
    <w:p w14:paraId="071B253F" w14:textId="6408BE20" w:rsidR="0012470E" w:rsidRPr="00E21495" w:rsidRDefault="0012470E" w:rsidP="00B95FDA">
      <w:pPr>
        <w:rPr>
          <w:sz w:val="22"/>
          <w:szCs w:val="22"/>
        </w:rPr>
      </w:pPr>
      <w:r w:rsidRPr="00E21495">
        <w:rPr>
          <w:sz w:val="22"/>
          <w:szCs w:val="22"/>
        </w:rPr>
        <w:t>-Standard for reasonable apprehension of bias on reasons: would an informed person viewing the matter realistically and practically, and having thought the matter through, think it was decided fairly?  Decided on balance of probabilities.</w:t>
      </w:r>
    </w:p>
    <w:p w14:paraId="368801BB" w14:textId="77777777" w:rsidR="007251E8" w:rsidRPr="00E21495" w:rsidRDefault="007251E8" w:rsidP="007251E8">
      <w:pPr>
        <w:rPr>
          <w:sz w:val="22"/>
          <w:szCs w:val="22"/>
        </w:rPr>
      </w:pPr>
    </w:p>
    <w:p w14:paraId="0183F3ED" w14:textId="79111680" w:rsidR="00577E6F" w:rsidRPr="00577E6F" w:rsidRDefault="009C7A24" w:rsidP="00577E6F">
      <w:pPr>
        <w:pStyle w:val="Heading2"/>
      </w:pPr>
      <w:bookmarkStart w:id="2" w:name="_Toc259106257"/>
      <w:r>
        <w:t xml:space="preserve">Reasonable Apprehension of </w:t>
      </w:r>
      <w:r w:rsidR="00577E6F" w:rsidRPr="00577E6F">
        <w:t>Bias</w:t>
      </w:r>
      <w:bookmarkEnd w:id="2"/>
    </w:p>
    <w:p w14:paraId="3E3189F7" w14:textId="77777777" w:rsidR="00577E6F" w:rsidRDefault="00577E6F" w:rsidP="007251E8">
      <w:pPr>
        <w:rPr>
          <w:i/>
        </w:rPr>
      </w:pPr>
    </w:p>
    <w:p w14:paraId="7BEB952C" w14:textId="71A9ADA5" w:rsidR="00C64015" w:rsidRPr="00E21495" w:rsidRDefault="00C64015" w:rsidP="007251E8">
      <w:pPr>
        <w:rPr>
          <w:sz w:val="22"/>
          <w:szCs w:val="22"/>
        </w:rPr>
      </w:pPr>
      <w:r w:rsidRPr="00E21495">
        <w:rPr>
          <w:i/>
          <w:sz w:val="22"/>
          <w:szCs w:val="22"/>
        </w:rPr>
        <w:t>Committee for Justice and Liberty v</w:t>
      </w:r>
      <w:r w:rsidR="00DF4028" w:rsidRPr="00E21495">
        <w:rPr>
          <w:i/>
          <w:sz w:val="22"/>
          <w:szCs w:val="22"/>
        </w:rPr>
        <w:t>.</w:t>
      </w:r>
      <w:r w:rsidRPr="00E21495">
        <w:rPr>
          <w:i/>
          <w:sz w:val="22"/>
          <w:szCs w:val="22"/>
        </w:rPr>
        <w:t xml:space="preserve"> NEB</w:t>
      </w:r>
      <w:r w:rsidRPr="00E21495">
        <w:rPr>
          <w:sz w:val="22"/>
          <w:szCs w:val="22"/>
        </w:rPr>
        <w:t xml:space="preserve"> (SCC, 1978):</w:t>
      </w:r>
    </w:p>
    <w:p w14:paraId="28A9C5C9" w14:textId="77777777" w:rsidR="00C64015" w:rsidRPr="00E21495" w:rsidRDefault="00C64015" w:rsidP="00B95FDA">
      <w:pPr>
        <w:rPr>
          <w:sz w:val="22"/>
          <w:szCs w:val="22"/>
        </w:rPr>
      </w:pPr>
      <w:r w:rsidRPr="00E21495">
        <w:rPr>
          <w:sz w:val="22"/>
          <w:szCs w:val="22"/>
        </w:rPr>
        <w:t xml:space="preserve">-Minority judgment contains test for reasonable apprehension of bias: “what would an informed person with knowledge of all the circumstances, viewing the matter realistically and practically—and having thought the matter through—conclude”?  </w:t>
      </w:r>
    </w:p>
    <w:p w14:paraId="1AB73522" w14:textId="50B7F742" w:rsidR="007251E8" w:rsidRPr="00E21495" w:rsidRDefault="00C64015" w:rsidP="00B95FDA">
      <w:pPr>
        <w:rPr>
          <w:sz w:val="22"/>
          <w:szCs w:val="22"/>
        </w:rPr>
      </w:pPr>
      <w:r w:rsidRPr="00E21495">
        <w:rPr>
          <w:sz w:val="22"/>
          <w:szCs w:val="22"/>
        </w:rPr>
        <w:t xml:space="preserve">-Note: it is not a “very sensitive or scrupulous conscience” that is apprehending the bias.  </w:t>
      </w:r>
    </w:p>
    <w:p w14:paraId="5D4DFDD7" w14:textId="6987FB8C" w:rsidR="00C64015" w:rsidRPr="00E21495" w:rsidRDefault="00C64015" w:rsidP="00B95FDA">
      <w:pPr>
        <w:rPr>
          <w:sz w:val="22"/>
          <w:szCs w:val="22"/>
        </w:rPr>
      </w:pPr>
      <w:r w:rsidRPr="00E21495">
        <w:rPr>
          <w:sz w:val="22"/>
          <w:szCs w:val="22"/>
        </w:rPr>
        <w:t>-Policy consideration: if you want people with expertise and you don’t want them to have to recuse themselves all the time, you have to give tribunal members leeway to distance themselves from their prior connections.</w:t>
      </w:r>
    </w:p>
    <w:p w14:paraId="323C0145" w14:textId="70182417" w:rsidR="00577E6F" w:rsidRPr="00E21495" w:rsidRDefault="00577E6F" w:rsidP="00B95FDA">
      <w:pPr>
        <w:rPr>
          <w:sz w:val="22"/>
          <w:szCs w:val="22"/>
        </w:rPr>
      </w:pPr>
      <w:r w:rsidRPr="00E21495">
        <w:rPr>
          <w:sz w:val="22"/>
          <w:szCs w:val="22"/>
        </w:rPr>
        <w:t>-Sworn oath to uphold the statute fee of bias is a factor militating against the finding of a reasonable apprehension of bias.</w:t>
      </w:r>
    </w:p>
    <w:p w14:paraId="3C957CDD" w14:textId="77777777" w:rsidR="00C64015" w:rsidRPr="00E21495" w:rsidRDefault="00C64015" w:rsidP="00C64015">
      <w:pPr>
        <w:rPr>
          <w:sz w:val="22"/>
          <w:szCs w:val="22"/>
        </w:rPr>
      </w:pPr>
    </w:p>
    <w:p w14:paraId="4DE3F49D" w14:textId="5F8E63B0" w:rsidR="00C64015" w:rsidRPr="00E21495" w:rsidRDefault="00852D16" w:rsidP="00C64015">
      <w:pPr>
        <w:rPr>
          <w:sz w:val="22"/>
          <w:szCs w:val="22"/>
        </w:rPr>
      </w:pPr>
      <w:r w:rsidRPr="00E21495">
        <w:rPr>
          <w:i/>
          <w:sz w:val="22"/>
          <w:szCs w:val="22"/>
        </w:rPr>
        <w:t>Newfoundland Telephone v Newfoundland</w:t>
      </w:r>
      <w:r w:rsidRPr="00E21495">
        <w:rPr>
          <w:sz w:val="22"/>
          <w:szCs w:val="22"/>
        </w:rPr>
        <w:t xml:space="preserve"> (SCC, 1992):</w:t>
      </w:r>
    </w:p>
    <w:p w14:paraId="24424ACC" w14:textId="77777777" w:rsidR="00C129CC" w:rsidRPr="00E21495" w:rsidRDefault="00C129CC" w:rsidP="00B95FDA">
      <w:pPr>
        <w:rPr>
          <w:sz w:val="22"/>
          <w:szCs w:val="22"/>
        </w:rPr>
      </w:pPr>
      <w:r w:rsidRPr="00E21495">
        <w:rPr>
          <w:sz w:val="22"/>
          <w:szCs w:val="22"/>
        </w:rPr>
        <w:t xml:space="preserve">-Once the hearing begins, the tribunal member must appear to be at least open to being persuaded.  </w:t>
      </w:r>
    </w:p>
    <w:p w14:paraId="7F8D01E3" w14:textId="76B7BABE" w:rsidR="00852D16" w:rsidRPr="00E21495" w:rsidRDefault="00C129CC" w:rsidP="00B95FDA">
      <w:pPr>
        <w:rPr>
          <w:sz w:val="22"/>
          <w:szCs w:val="22"/>
        </w:rPr>
      </w:pPr>
      <w:r w:rsidRPr="00E21495">
        <w:rPr>
          <w:sz w:val="22"/>
          <w:szCs w:val="22"/>
        </w:rPr>
        <w:t xml:space="preserve">-Pre-hearing comments will not necessarily give rise to reasonable apprehension of bias, especially if decision </w:t>
      </w:r>
      <w:r w:rsidR="00577E6F" w:rsidRPr="00E21495">
        <w:rPr>
          <w:sz w:val="22"/>
          <w:szCs w:val="22"/>
        </w:rPr>
        <w:t>is on political end of spectrum unless the comments give rise to the impression of a closed mind on the part of the tribunal member.</w:t>
      </w:r>
    </w:p>
    <w:p w14:paraId="667EE82B" w14:textId="77777777" w:rsidR="00D97A02" w:rsidRPr="00D85E64" w:rsidRDefault="00D97A02" w:rsidP="00C129CC"/>
    <w:p w14:paraId="2D9D945C" w14:textId="4D984476" w:rsidR="00D97A02" w:rsidRPr="00D85E64" w:rsidRDefault="00D97A02" w:rsidP="00DF4028">
      <w:pPr>
        <w:pStyle w:val="Heading2"/>
      </w:pPr>
      <w:bookmarkStart w:id="3" w:name="_Toc259106258"/>
      <w:r w:rsidRPr="00D85E64">
        <w:t>Institutional Independence</w:t>
      </w:r>
      <w:bookmarkEnd w:id="3"/>
    </w:p>
    <w:p w14:paraId="115165FE" w14:textId="77777777" w:rsidR="00D97A02" w:rsidRPr="00D85E64" w:rsidRDefault="00D97A02" w:rsidP="00C129CC"/>
    <w:p w14:paraId="19F97212" w14:textId="2FECA0E9" w:rsidR="00C129CC" w:rsidRPr="00E21495" w:rsidRDefault="00C129CC" w:rsidP="00C129CC">
      <w:pPr>
        <w:rPr>
          <w:sz w:val="22"/>
          <w:szCs w:val="22"/>
        </w:rPr>
      </w:pPr>
      <w:r w:rsidRPr="00E21495">
        <w:rPr>
          <w:i/>
          <w:sz w:val="22"/>
          <w:szCs w:val="22"/>
        </w:rPr>
        <w:t>R v</w:t>
      </w:r>
      <w:r w:rsidR="00DF4028" w:rsidRPr="00E21495">
        <w:rPr>
          <w:i/>
          <w:sz w:val="22"/>
          <w:szCs w:val="22"/>
        </w:rPr>
        <w:t>.</w:t>
      </w:r>
      <w:r w:rsidRPr="00E21495">
        <w:rPr>
          <w:i/>
          <w:sz w:val="22"/>
          <w:szCs w:val="22"/>
        </w:rPr>
        <w:t xml:space="preserve"> Valente</w:t>
      </w:r>
      <w:r w:rsidR="00283FAE" w:rsidRPr="00E21495">
        <w:rPr>
          <w:i/>
          <w:sz w:val="22"/>
          <w:szCs w:val="22"/>
        </w:rPr>
        <w:t xml:space="preserve"> </w:t>
      </w:r>
      <w:r w:rsidR="00283FAE" w:rsidRPr="00E21495">
        <w:rPr>
          <w:sz w:val="22"/>
          <w:szCs w:val="22"/>
        </w:rPr>
        <w:t>(SCC, 1985)</w:t>
      </w:r>
      <w:r w:rsidRPr="00E21495">
        <w:rPr>
          <w:sz w:val="22"/>
          <w:szCs w:val="22"/>
        </w:rPr>
        <w:t>:</w:t>
      </w:r>
    </w:p>
    <w:p w14:paraId="4FF17FBC" w14:textId="2D872912" w:rsidR="00C129CC" w:rsidRPr="00E21495" w:rsidRDefault="00C129CC" w:rsidP="00B95FDA">
      <w:pPr>
        <w:rPr>
          <w:sz w:val="22"/>
          <w:szCs w:val="22"/>
        </w:rPr>
      </w:pPr>
      <w:r w:rsidRPr="00E21495">
        <w:rPr>
          <w:sz w:val="22"/>
          <w:szCs w:val="22"/>
        </w:rPr>
        <w:t xml:space="preserve">-When you are evaluating the institutional independence of a decision-making body (not a specific tribunal member), </w:t>
      </w:r>
      <w:r w:rsidR="00F80555" w:rsidRPr="00E21495">
        <w:rPr>
          <w:sz w:val="22"/>
          <w:szCs w:val="22"/>
        </w:rPr>
        <w:t>then you should consider the following:</w:t>
      </w:r>
    </w:p>
    <w:p w14:paraId="46F4B4AF" w14:textId="73EA66E7" w:rsidR="00F80555" w:rsidRPr="00E21495" w:rsidRDefault="00F80555" w:rsidP="00B95FDA">
      <w:pPr>
        <w:ind w:left="720"/>
        <w:rPr>
          <w:sz w:val="22"/>
          <w:szCs w:val="22"/>
        </w:rPr>
      </w:pPr>
      <w:r w:rsidRPr="00E21495">
        <w:rPr>
          <w:sz w:val="22"/>
          <w:szCs w:val="22"/>
        </w:rPr>
        <w:t>1.) the security of tenure of the adjudicator (if not secure, then cabinet might taint them);</w:t>
      </w:r>
    </w:p>
    <w:p w14:paraId="09616F45" w14:textId="2FCCD88E" w:rsidR="00F80555" w:rsidRPr="00E21495" w:rsidRDefault="00F80555" w:rsidP="00B95FDA">
      <w:pPr>
        <w:ind w:left="720"/>
        <w:rPr>
          <w:sz w:val="22"/>
          <w:szCs w:val="22"/>
        </w:rPr>
      </w:pPr>
      <w:r w:rsidRPr="00E21495">
        <w:rPr>
          <w:sz w:val="22"/>
          <w:szCs w:val="22"/>
        </w:rPr>
        <w:t>2.) the financial security of the adjudicator</w:t>
      </w:r>
      <w:r w:rsidR="00283FAE" w:rsidRPr="00E21495">
        <w:rPr>
          <w:sz w:val="22"/>
          <w:szCs w:val="22"/>
        </w:rPr>
        <w:t xml:space="preserve"> (is there a long term contract?  An instrument that requires the tribunal members to be paid?)</w:t>
      </w:r>
      <w:r w:rsidRPr="00E21495">
        <w:rPr>
          <w:sz w:val="22"/>
          <w:szCs w:val="22"/>
        </w:rPr>
        <w:t>;</w:t>
      </w:r>
    </w:p>
    <w:p w14:paraId="5D5C91FB" w14:textId="7619756D" w:rsidR="00F80555" w:rsidRPr="00E21495" w:rsidRDefault="00F80555" w:rsidP="00B95FDA">
      <w:pPr>
        <w:ind w:left="720"/>
        <w:rPr>
          <w:sz w:val="22"/>
          <w:szCs w:val="22"/>
        </w:rPr>
      </w:pPr>
      <w:r w:rsidRPr="00E21495">
        <w:rPr>
          <w:sz w:val="22"/>
          <w:szCs w:val="22"/>
        </w:rPr>
        <w:t>3.) the administrative independence of the tribunal (does the executive have day to day control of the tribunal? Who decides who hears what cases and what resources are available).</w:t>
      </w:r>
    </w:p>
    <w:p w14:paraId="0429A426" w14:textId="6A7ECB32" w:rsidR="00283FAE" w:rsidRPr="00E21495" w:rsidRDefault="00283FAE" w:rsidP="00B95FDA">
      <w:pPr>
        <w:rPr>
          <w:sz w:val="22"/>
          <w:szCs w:val="22"/>
        </w:rPr>
      </w:pPr>
      <w:r w:rsidRPr="00E21495">
        <w:rPr>
          <w:sz w:val="22"/>
          <w:szCs w:val="22"/>
        </w:rPr>
        <w:t>-Standard is objective observer, not an unduly suspicious person like a conspiracy theorist.</w:t>
      </w:r>
    </w:p>
    <w:p w14:paraId="72D5366F" w14:textId="0EF04A60" w:rsidR="00283FAE" w:rsidRPr="00E21495" w:rsidRDefault="00283FAE" w:rsidP="00B95FDA">
      <w:pPr>
        <w:rPr>
          <w:sz w:val="22"/>
          <w:szCs w:val="22"/>
        </w:rPr>
      </w:pPr>
      <w:r w:rsidRPr="00E21495">
        <w:rPr>
          <w:sz w:val="22"/>
          <w:szCs w:val="22"/>
        </w:rPr>
        <w:t>-When you are asking for judicial review a decision based on procedural fairness, you can use these factors to argue that the tribunal is not sufficiently independent.</w:t>
      </w:r>
    </w:p>
    <w:p w14:paraId="33620218" w14:textId="77777777" w:rsidR="00283FAE" w:rsidRPr="00E21495" w:rsidRDefault="00283FAE" w:rsidP="00283FAE">
      <w:pPr>
        <w:rPr>
          <w:sz w:val="22"/>
          <w:szCs w:val="22"/>
        </w:rPr>
      </w:pPr>
    </w:p>
    <w:p w14:paraId="1D46258B" w14:textId="5651D10A" w:rsidR="00283FAE" w:rsidRPr="00E21495" w:rsidRDefault="00283FAE" w:rsidP="00283FAE">
      <w:pPr>
        <w:rPr>
          <w:sz w:val="22"/>
          <w:szCs w:val="22"/>
        </w:rPr>
      </w:pPr>
      <w:r w:rsidRPr="00E21495">
        <w:rPr>
          <w:i/>
          <w:sz w:val="22"/>
          <w:szCs w:val="22"/>
        </w:rPr>
        <w:t>IWA v</w:t>
      </w:r>
      <w:r w:rsidR="00DF4028" w:rsidRPr="00E21495">
        <w:rPr>
          <w:i/>
          <w:sz w:val="22"/>
          <w:szCs w:val="22"/>
        </w:rPr>
        <w:t>.</w:t>
      </w:r>
      <w:r w:rsidRPr="00E21495">
        <w:rPr>
          <w:i/>
          <w:sz w:val="22"/>
          <w:szCs w:val="22"/>
        </w:rPr>
        <w:t xml:space="preserve"> Consolidated-Bathurst Packaging Ltd</w:t>
      </w:r>
      <w:r w:rsidR="00507F99" w:rsidRPr="00E21495">
        <w:rPr>
          <w:i/>
          <w:sz w:val="22"/>
          <w:szCs w:val="22"/>
        </w:rPr>
        <w:t xml:space="preserve"> </w:t>
      </w:r>
      <w:r w:rsidR="00507F99" w:rsidRPr="00E21495">
        <w:rPr>
          <w:sz w:val="22"/>
          <w:szCs w:val="22"/>
        </w:rPr>
        <w:t>(SCC, 1990)</w:t>
      </w:r>
      <w:r w:rsidRPr="00E21495">
        <w:rPr>
          <w:sz w:val="22"/>
          <w:szCs w:val="22"/>
        </w:rPr>
        <w:t>:</w:t>
      </w:r>
    </w:p>
    <w:p w14:paraId="50F39872" w14:textId="4F8243E1" w:rsidR="00283FAE" w:rsidRPr="00E21495" w:rsidRDefault="00507F99" w:rsidP="00283FAE">
      <w:pPr>
        <w:rPr>
          <w:sz w:val="22"/>
          <w:szCs w:val="22"/>
        </w:rPr>
      </w:pPr>
      <w:r w:rsidRPr="00E21495">
        <w:rPr>
          <w:sz w:val="22"/>
          <w:szCs w:val="22"/>
        </w:rPr>
        <w:t>-Adopts</w:t>
      </w:r>
      <w:r w:rsidRPr="00E21495">
        <w:rPr>
          <w:i/>
          <w:sz w:val="22"/>
          <w:szCs w:val="22"/>
        </w:rPr>
        <w:t xml:space="preserve"> Valente</w:t>
      </w:r>
      <w:r w:rsidRPr="00E21495">
        <w:rPr>
          <w:sz w:val="22"/>
          <w:szCs w:val="22"/>
        </w:rPr>
        <w:t xml:space="preserve"> and confirms its applicability to tribunals.</w:t>
      </w:r>
    </w:p>
    <w:p w14:paraId="6D2A6A91" w14:textId="123C1A68" w:rsidR="00507F99" w:rsidRPr="00E21495" w:rsidRDefault="00507F99" w:rsidP="00B95FDA">
      <w:pPr>
        <w:rPr>
          <w:sz w:val="22"/>
          <w:szCs w:val="22"/>
        </w:rPr>
      </w:pPr>
      <w:r w:rsidRPr="00E21495">
        <w:rPr>
          <w:sz w:val="22"/>
          <w:szCs w:val="22"/>
        </w:rPr>
        <w:t>-It is okay for tribunals to hold big meetings where draft decisions are distributed provided that the original findings of fact are not questioned and discussion is limited to policy implications.</w:t>
      </w:r>
    </w:p>
    <w:p w14:paraId="4BF73B04" w14:textId="77777777" w:rsidR="00507F99" w:rsidRPr="00E21495" w:rsidRDefault="00507F99" w:rsidP="00507F99">
      <w:pPr>
        <w:rPr>
          <w:sz w:val="22"/>
          <w:szCs w:val="22"/>
        </w:rPr>
      </w:pPr>
    </w:p>
    <w:p w14:paraId="669FE55D" w14:textId="0D3CC50C" w:rsidR="00507F99" w:rsidRPr="00E21495" w:rsidRDefault="00644B6F" w:rsidP="00507F99">
      <w:pPr>
        <w:rPr>
          <w:sz w:val="22"/>
          <w:szCs w:val="22"/>
        </w:rPr>
      </w:pPr>
      <w:r w:rsidRPr="00E21495">
        <w:rPr>
          <w:i/>
          <w:sz w:val="22"/>
          <w:szCs w:val="22"/>
        </w:rPr>
        <w:t xml:space="preserve">Kozac </w:t>
      </w:r>
      <w:r w:rsidR="00FB5EDB" w:rsidRPr="00E21495">
        <w:rPr>
          <w:i/>
          <w:sz w:val="22"/>
          <w:szCs w:val="22"/>
        </w:rPr>
        <w:t xml:space="preserve">(Geza) </w:t>
      </w:r>
      <w:r w:rsidRPr="00E21495">
        <w:rPr>
          <w:i/>
          <w:sz w:val="22"/>
          <w:szCs w:val="22"/>
        </w:rPr>
        <w:t>v</w:t>
      </w:r>
      <w:r w:rsidR="00DF4028" w:rsidRPr="00E21495">
        <w:rPr>
          <w:i/>
          <w:sz w:val="22"/>
          <w:szCs w:val="22"/>
        </w:rPr>
        <w:t>.</w:t>
      </w:r>
      <w:r w:rsidRPr="00E21495">
        <w:rPr>
          <w:i/>
          <w:sz w:val="22"/>
          <w:szCs w:val="22"/>
        </w:rPr>
        <w:t xml:space="preserve"> Canada</w:t>
      </w:r>
      <w:r w:rsidRPr="00E21495">
        <w:rPr>
          <w:sz w:val="22"/>
          <w:szCs w:val="22"/>
        </w:rPr>
        <w:t xml:space="preserve"> (FCA, 2006):</w:t>
      </w:r>
    </w:p>
    <w:p w14:paraId="23725DCB" w14:textId="0C1D4736" w:rsidR="00FB5EDB" w:rsidRPr="00E21495" w:rsidRDefault="00FB5EDB" w:rsidP="00B95FDA">
      <w:pPr>
        <w:rPr>
          <w:rFonts w:ascii="Cambria" w:eastAsia="Times New Roman" w:hAnsi="Cambria" w:cs="Times New Roman"/>
          <w:sz w:val="22"/>
          <w:szCs w:val="22"/>
        </w:rPr>
      </w:pPr>
      <w:r w:rsidRPr="00E21495">
        <w:rPr>
          <w:rFonts w:ascii="Cambria" w:eastAsia="Times New Roman" w:hAnsi="Cambria" w:cs="Times New Roman"/>
          <w:sz w:val="22"/>
          <w:szCs w:val="22"/>
        </w:rPr>
        <w:t>-Test is for lack of institutional independence is same as reasonable apprehension of bias “in a substantial number of cases.”</w:t>
      </w:r>
    </w:p>
    <w:p w14:paraId="2DF5EAAF" w14:textId="77777777" w:rsidR="005E4A8D" w:rsidRPr="00E21495" w:rsidRDefault="00644B6F" w:rsidP="00B95FDA">
      <w:pPr>
        <w:rPr>
          <w:rFonts w:ascii="Cambria" w:eastAsia="Times New Roman" w:hAnsi="Cambria" w:cs="Times New Roman"/>
          <w:sz w:val="22"/>
          <w:szCs w:val="22"/>
        </w:rPr>
      </w:pPr>
      <w:r w:rsidRPr="00E21495">
        <w:rPr>
          <w:sz w:val="22"/>
          <w:szCs w:val="22"/>
        </w:rPr>
        <w:t xml:space="preserve">-In applying the institutional independence test or the bias test, the </w:t>
      </w:r>
      <w:r w:rsidRPr="00E21495">
        <w:rPr>
          <w:rFonts w:ascii="Cambria" w:hAnsi="Cambria"/>
          <w:sz w:val="22"/>
          <w:szCs w:val="22"/>
        </w:rPr>
        <w:t>reasonable person</w:t>
      </w:r>
      <w:r w:rsidR="005E4A8D" w:rsidRPr="00E21495">
        <w:rPr>
          <w:rFonts w:ascii="Cambria" w:hAnsi="Cambria"/>
          <w:sz w:val="22"/>
          <w:szCs w:val="22"/>
        </w:rPr>
        <w:t xml:space="preserve"> </w:t>
      </w:r>
      <w:r w:rsidR="005E4A8D" w:rsidRPr="00E21495">
        <w:rPr>
          <w:rFonts w:ascii="Cambria" w:eastAsia="Times New Roman" w:hAnsi="Cambria" w:cs="Times New Roman"/>
          <w:sz w:val="22"/>
          <w:szCs w:val="22"/>
        </w:rPr>
        <w:t>is not to be equated with either the losing parties or the unduly suspicious.</w:t>
      </w:r>
    </w:p>
    <w:p w14:paraId="7BBE5A4B" w14:textId="77777777" w:rsidR="005E4A8D" w:rsidRPr="00E21495" w:rsidRDefault="005E4A8D" w:rsidP="005E4A8D">
      <w:pPr>
        <w:rPr>
          <w:rFonts w:ascii="Cambria" w:eastAsia="Times New Roman" w:hAnsi="Cambria" w:cs="Times New Roman"/>
          <w:sz w:val="22"/>
          <w:szCs w:val="22"/>
        </w:rPr>
      </w:pPr>
    </w:p>
    <w:p w14:paraId="533373AC" w14:textId="77777777" w:rsidR="005E4A8D" w:rsidRPr="00E21495" w:rsidRDefault="005E4A8D" w:rsidP="005E4A8D">
      <w:pPr>
        <w:rPr>
          <w:rFonts w:ascii="Cambria" w:hAnsi="Cambria" w:cs="Arial"/>
          <w:sz w:val="22"/>
          <w:szCs w:val="22"/>
        </w:rPr>
      </w:pPr>
      <w:r w:rsidRPr="00E21495">
        <w:rPr>
          <w:rFonts w:ascii="Cambria" w:hAnsi="Cambria" w:cs="Arial"/>
          <w:i/>
          <w:sz w:val="22"/>
          <w:szCs w:val="22"/>
        </w:rPr>
        <w:t xml:space="preserve">Canadian Pacific Ltd. v. Matsqui Indian Band </w:t>
      </w:r>
      <w:r w:rsidRPr="00E21495">
        <w:rPr>
          <w:rFonts w:ascii="Cambria" w:hAnsi="Cambria" w:cs="Arial"/>
          <w:sz w:val="22"/>
          <w:szCs w:val="22"/>
        </w:rPr>
        <w:t>(SCC, 1995):</w:t>
      </w:r>
    </w:p>
    <w:p w14:paraId="4547BCCA" w14:textId="1F2AC400" w:rsidR="00644B6F" w:rsidRPr="00E21495" w:rsidRDefault="005E4A8D" w:rsidP="00B95FDA">
      <w:pPr>
        <w:rPr>
          <w:rFonts w:ascii="Cambria" w:hAnsi="Cambria"/>
          <w:sz w:val="22"/>
          <w:szCs w:val="22"/>
        </w:rPr>
      </w:pPr>
      <w:r w:rsidRPr="00E21495">
        <w:rPr>
          <w:rFonts w:ascii="Cambria" w:hAnsi="Cambria"/>
          <w:sz w:val="22"/>
          <w:szCs w:val="22"/>
        </w:rPr>
        <w:t>-You have to exhaust internal remedies before seeking judicial review unless the internal remedies are procedurally unfair due to a lack of institutional independence.</w:t>
      </w:r>
    </w:p>
    <w:p w14:paraId="39014A1C" w14:textId="77777777" w:rsidR="005E4A8D" w:rsidRPr="00E21495" w:rsidRDefault="005E4A8D" w:rsidP="005E4A8D">
      <w:pPr>
        <w:rPr>
          <w:rFonts w:ascii="Cambria" w:hAnsi="Cambria"/>
          <w:sz w:val="22"/>
          <w:szCs w:val="22"/>
        </w:rPr>
      </w:pPr>
    </w:p>
    <w:p w14:paraId="1762D94E" w14:textId="77777777" w:rsidR="00EE5294" w:rsidRPr="00E21495" w:rsidRDefault="00EE5294" w:rsidP="00EE5294">
      <w:pPr>
        <w:rPr>
          <w:rFonts w:ascii="Cambria" w:eastAsia="Times New Roman" w:hAnsi="Cambria" w:cs="Arial"/>
          <w:sz w:val="22"/>
          <w:szCs w:val="22"/>
        </w:rPr>
      </w:pPr>
    </w:p>
    <w:p w14:paraId="1D6AE68F" w14:textId="29B76BD8" w:rsidR="00A34B93" w:rsidRPr="00E21495" w:rsidRDefault="0073024E" w:rsidP="00EE5294">
      <w:pPr>
        <w:rPr>
          <w:rFonts w:ascii="Cambria" w:eastAsia="Times New Roman" w:hAnsi="Cambria" w:cs="Arial"/>
          <w:sz w:val="22"/>
          <w:szCs w:val="22"/>
        </w:rPr>
      </w:pPr>
      <w:r w:rsidRPr="00E21495">
        <w:rPr>
          <w:rFonts w:ascii="Cambria" w:eastAsia="Times New Roman" w:hAnsi="Cambria" w:cs="Arial"/>
          <w:i/>
          <w:sz w:val="22"/>
          <w:szCs w:val="22"/>
        </w:rPr>
        <w:t>2747-3174 Quebec Inc. v. Quebec (Regie des permis d’alcool)</w:t>
      </w:r>
      <w:r w:rsidRPr="00E21495">
        <w:rPr>
          <w:rFonts w:ascii="Cambria" w:eastAsia="Times New Roman" w:hAnsi="Cambria" w:cs="Arial"/>
          <w:sz w:val="22"/>
          <w:szCs w:val="22"/>
        </w:rPr>
        <w:t>:</w:t>
      </w:r>
    </w:p>
    <w:p w14:paraId="6422E4FB" w14:textId="4292E296" w:rsidR="0073024E" w:rsidRPr="00E21495" w:rsidRDefault="0073024E" w:rsidP="00B95FDA">
      <w:pPr>
        <w:rPr>
          <w:rFonts w:ascii="Cambria" w:eastAsia="Times New Roman" w:hAnsi="Cambria" w:cs="Arial"/>
          <w:sz w:val="22"/>
          <w:szCs w:val="22"/>
        </w:rPr>
      </w:pPr>
      <w:r w:rsidRPr="00E21495">
        <w:rPr>
          <w:rFonts w:ascii="Cambria" w:eastAsia="Times New Roman" w:hAnsi="Cambria" w:cs="Arial"/>
          <w:sz w:val="22"/>
          <w:szCs w:val="22"/>
        </w:rPr>
        <w:t>-Quebec Charter expressly protects the independence and impartiality of tribunals.  Prevents legislation from undermining institutional independence of tribunal.</w:t>
      </w:r>
    </w:p>
    <w:p w14:paraId="09448033" w14:textId="77777777" w:rsidR="00611135" w:rsidRPr="00E21495" w:rsidRDefault="00611135" w:rsidP="0073024E">
      <w:pPr>
        <w:ind w:left="720"/>
        <w:rPr>
          <w:rFonts w:ascii="Cambria" w:eastAsia="Times New Roman" w:hAnsi="Cambria" w:cs="Arial"/>
          <w:sz w:val="22"/>
          <w:szCs w:val="22"/>
        </w:rPr>
      </w:pPr>
    </w:p>
    <w:p w14:paraId="5820E033" w14:textId="77777777" w:rsidR="00611135" w:rsidRPr="00E21495" w:rsidRDefault="00611135" w:rsidP="00611135">
      <w:pPr>
        <w:rPr>
          <w:rFonts w:ascii="Cambria" w:eastAsia="Times New Roman" w:hAnsi="Cambria" w:cs="Arial"/>
          <w:sz w:val="22"/>
          <w:szCs w:val="22"/>
        </w:rPr>
      </w:pPr>
      <w:r w:rsidRPr="00E21495">
        <w:rPr>
          <w:rFonts w:ascii="Cambria" w:hAnsi="Cambria" w:cs="Arial"/>
          <w:i/>
          <w:sz w:val="22"/>
          <w:szCs w:val="22"/>
        </w:rPr>
        <w:t xml:space="preserve">Ocean Port Hotel Ltd. v. British Columbia </w:t>
      </w:r>
      <w:r w:rsidRPr="00E21495">
        <w:rPr>
          <w:rFonts w:ascii="Cambria" w:hAnsi="Cambria" w:cs="Arial"/>
          <w:sz w:val="22"/>
          <w:szCs w:val="22"/>
        </w:rPr>
        <w:t>(SCC, 2001):</w:t>
      </w:r>
    </w:p>
    <w:p w14:paraId="0045E171" w14:textId="77777777" w:rsidR="00611135" w:rsidRPr="00E21495" w:rsidRDefault="00611135" w:rsidP="00B95FDA">
      <w:pPr>
        <w:rPr>
          <w:rFonts w:ascii="Cambria" w:eastAsia="Times New Roman" w:hAnsi="Cambria" w:cs="Arial"/>
          <w:sz w:val="22"/>
          <w:szCs w:val="22"/>
        </w:rPr>
      </w:pPr>
      <w:r w:rsidRPr="00E21495">
        <w:rPr>
          <w:rFonts w:ascii="Cambria" w:eastAsia="Times New Roman" w:hAnsi="Cambria" w:cs="Arial"/>
          <w:sz w:val="22"/>
          <w:szCs w:val="22"/>
        </w:rPr>
        <w:t xml:space="preserve">-The degree of independence required of tribunal members may be ousted by express statutory language or necessary implication.  No Quebec </w:t>
      </w:r>
      <w:r w:rsidRPr="00E21495">
        <w:rPr>
          <w:rFonts w:ascii="Cambria" w:eastAsia="Times New Roman" w:hAnsi="Cambria" w:cs="Arial"/>
          <w:i/>
          <w:sz w:val="22"/>
          <w:szCs w:val="22"/>
        </w:rPr>
        <w:t>Charter</w:t>
      </w:r>
      <w:r w:rsidRPr="00E21495">
        <w:rPr>
          <w:rFonts w:ascii="Cambria" w:eastAsia="Times New Roman" w:hAnsi="Cambria" w:cs="Arial"/>
          <w:sz w:val="22"/>
          <w:szCs w:val="22"/>
        </w:rPr>
        <w:t xml:space="preserve"> in BC.</w:t>
      </w:r>
    </w:p>
    <w:p w14:paraId="161A5F35" w14:textId="77777777" w:rsidR="00A34B93" w:rsidRPr="00E21495" w:rsidRDefault="00A34B93" w:rsidP="00EE5294">
      <w:pPr>
        <w:rPr>
          <w:rFonts w:ascii="Cambria" w:eastAsia="Times New Roman" w:hAnsi="Cambria" w:cs="Arial"/>
          <w:sz w:val="22"/>
          <w:szCs w:val="22"/>
        </w:rPr>
      </w:pPr>
    </w:p>
    <w:p w14:paraId="0A101EFE" w14:textId="367943FB" w:rsidR="0073024E" w:rsidRPr="00E21495" w:rsidRDefault="0073024E" w:rsidP="00EE5294">
      <w:pPr>
        <w:rPr>
          <w:rFonts w:ascii="Cambria" w:eastAsia="Times New Roman" w:hAnsi="Cambria" w:cs="Arial"/>
          <w:sz w:val="22"/>
          <w:szCs w:val="22"/>
        </w:rPr>
      </w:pPr>
      <w:r w:rsidRPr="00E21495">
        <w:rPr>
          <w:rFonts w:ascii="Cambria" w:eastAsia="Times New Roman" w:hAnsi="Cambria" w:cs="Arial"/>
          <w:i/>
          <w:sz w:val="22"/>
          <w:szCs w:val="22"/>
        </w:rPr>
        <w:t>Khan v. College of Physicians and Surgeons of Ontario</w:t>
      </w:r>
      <w:r w:rsidRPr="00E21495">
        <w:rPr>
          <w:rFonts w:ascii="Cambria" w:eastAsia="Times New Roman" w:hAnsi="Cambria" w:cs="Arial"/>
          <w:sz w:val="22"/>
          <w:szCs w:val="22"/>
        </w:rPr>
        <w:t xml:space="preserve"> (ONCA, 1992):</w:t>
      </w:r>
    </w:p>
    <w:p w14:paraId="2781B7EA" w14:textId="3515621D" w:rsidR="0073024E" w:rsidRPr="00E21495" w:rsidRDefault="0073024E" w:rsidP="00B95FDA">
      <w:pPr>
        <w:rPr>
          <w:rFonts w:ascii="Cambria" w:eastAsia="Times New Roman" w:hAnsi="Cambria" w:cs="Arial"/>
          <w:sz w:val="22"/>
          <w:szCs w:val="22"/>
        </w:rPr>
      </w:pPr>
      <w:r w:rsidRPr="00E21495">
        <w:rPr>
          <w:rFonts w:ascii="Cambria" w:eastAsia="Times New Roman" w:hAnsi="Cambria" w:cs="Arial"/>
          <w:sz w:val="22"/>
          <w:szCs w:val="22"/>
        </w:rPr>
        <w:t>-Tribunal may receive outside assistance in writing reasons without undermining the institutional independence of the tribunal.</w:t>
      </w:r>
    </w:p>
    <w:p w14:paraId="291BCB3A" w14:textId="77777777" w:rsidR="00A34B93" w:rsidRPr="00E21495" w:rsidRDefault="00A34B93" w:rsidP="00EE5294">
      <w:pPr>
        <w:rPr>
          <w:rFonts w:ascii="Cambria" w:eastAsia="Times New Roman" w:hAnsi="Cambria" w:cs="Arial"/>
          <w:sz w:val="22"/>
          <w:szCs w:val="22"/>
        </w:rPr>
      </w:pPr>
    </w:p>
    <w:p w14:paraId="02E27842" w14:textId="4C137DFB" w:rsidR="00A34B93" w:rsidRPr="00E21495" w:rsidRDefault="00EE5294" w:rsidP="00A34B93">
      <w:pPr>
        <w:rPr>
          <w:rFonts w:ascii="Cambria" w:hAnsi="Cambria" w:cs="Arial"/>
          <w:sz w:val="22"/>
          <w:szCs w:val="22"/>
        </w:rPr>
      </w:pPr>
      <w:r w:rsidRPr="00E21495">
        <w:rPr>
          <w:rFonts w:ascii="Cambria" w:hAnsi="Cambria" w:cs="Arial"/>
          <w:i/>
          <w:sz w:val="22"/>
          <w:szCs w:val="22"/>
        </w:rPr>
        <w:t>McKenzie v. Minister of Public Safety and Solicitor General et al.</w:t>
      </w:r>
      <w:r w:rsidRPr="00E21495">
        <w:rPr>
          <w:rFonts w:ascii="Cambria" w:hAnsi="Cambria" w:cs="Arial"/>
          <w:sz w:val="22"/>
          <w:szCs w:val="22"/>
        </w:rPr>
        <w:t xml:space="preserve"> (BC</w:t>
      </w:r>
      <w:r w:rsidR="00FD08C3" w:rsidRPr="00E21495">
        <w:rPr>
          <w:rFonts w:ascii="Cambria" w:hAnsi="Cambria" w:cs="Arial"/>
          <w:sz w:val="22"/>
          <w:szCs w:val="22"/>
        </w:rPr>
        <w:t>SC</w:t>
      </w:r>
      <w:r w:rsidRPr="00E21495">
        <w:rPr>
          <w:rFonts w:ascii="Cambria" w:hAnsi="Cambria" w:cs="Arial"/>
          <w:sz w:val="22"/>
          <w:szCs w:val="22"/>
        </w:rPr>
        <w:t>, 2006):</w:t>
      </w:r>
    </w:p>
    <w:p w14:paraId="4D055138" w14:textId="32418E21" w:rsidR="00A34B93" w:rsidRPr="00E21495" w:rsidRDefault="00A34B93" w:rsidP="00B95FDA">
      <w:pPr>
        <w:rPr>
          <w:rFonts w:ascii="Cambria" w:hAnsi="Cambria" w:cs="Arial"/>
          <w:sz w:val="22"/>
          <w:szCs w:val="22"/>
        </w:rPr>
      </w:pPr>
      <w:r w:rsidRPr="00E21495">
        <w:rPr>
          <w:rFonts w:ascii="Cambria" w:hAnsi="Cambria" w:cs="Arial"/>
          <w:sz w:val="22"/>
          <w:szCs w:val="22"/>
        </w:rPr>
        <w:t xml:space="preserve">-Statutory office holders have a right to procedural fairness on their termination (contradicted by </w:t>
      </w:r>
      <w:r w:rsidRPr="00E21495">
        <w:rPr>
          <w:rFonts w:ascii="Cambria" w:hAnsi="Cambria" w:cs="Arial"/>
          <w:i/>
          <w:sz w:val="22"/>
          <w:szCs w:val="22"/>
        </w:rPr>
        <w:t xml:space="preserve">Dunsmuir </w:t>
      </w:r>
      <w:r w:rsidRPr="00E21495">
        <w:rPr>
          <w:rFonts w:ascii="Cambria" w:hAnsi="Cambria" w:cs="Arial"/>
          <w:sz w:val="22"/>
          <w:szCs w:val="22"/>
        </w:rPr>
        <w:t>on this issue).</w:t>
      </w:r>
    </w:p>
    <w:p w14:paraId="6B1CBB28" w14:textId="3F777B66" w:rsidR="00EE5294" w:rsidRPr="00E21495" w:rsidRDefault="00EE5294" w:rsidP="00B95FDA">
      <w:pPr>
        <w:rPr>
          <w:rFonts w:ascii="Cambria" w:hAnsi="Cambria" w:cs="Arial"/>
          <w:sz w:val="22"/>
          <w:szCs w:val="22"/>
        </w:rPr>
      </w:pPr>
      <w:r w:rsidRPr="00E21495">
        <w:rPr>
          <w:rFonts w:ascii="Cambria" w:hAnsi="Cambria" w:cs="Arial"/>
          <w:sz w:val="22"/>
          <w:szCs w:val="22"/>
        </w:rPr>
        <w:t>-Where the tribunal is performing a function that used to be performed by the BCSC, then the tribunal needs to have a higher degree of institutional independence than would otherwise be the case.</w:t>
      </w:r>
      <w:r w:rsidR="00F6527F" w:rsidRPr="00E21495">
        <w:rPr>
          <w:rFonts w:ascii="Cambria" w:hAnsi="Cambria" w:cs="Arial"/>
          <w:sz w:val="22"/>
          <w:szCs w:val="22"/>
        </w:rPr>
        <w:t xml:space="preserve">  This puts it at the judicial end of the spectrum.</w:t>
      </w:r>
    </w:p>
    <w:p w14:paraId="22D4E01A" w14:textId="40956CB0" w:rsidR="00FD08C3" w:rsidRPr="00E21495" w:rsidRDefault="00D85E64" w:rsidP="00B95FDA">
      <w:pPr>
        <w:rPr>
          <w:rFonts w:ascii="Cambria" w:hAnsi="Cambria" w:cs="Arial"/>
          <w:sz w:val="22"/>
          <w:szCs w:val="22"/>
        </w:rPr>
      </w:pPr>
      <w:r w:rsidRPr="00E21495">
        <w:rPr>
          <w:rFonts w:ascii="Cambria" w:hAnsi="Cambria" w:cs="Arial"/>
          <w:sz w:val="22"/>
          <w:szCs w:val="22"/>
        </w:rPr>
        <w:t>-</w:t>
      </w:r>
      <w:r w:rsidR="00F6527F" w:rsidRPr="00E21495">
        <w:rPr>
          <w:rFonts w:ascii="Cambria" w:hAnsi="Cambria" w:cs="Arial"/>
          <w:sz w:val="22"/>
          <w:szCs w:val="22"/>
        </w:rPr>
        <w:t>It is possible to argue that a statutory removal of institutional independence offends the rule of law (BCSC decision, overruled on other grounds).</w:t>
      </w:r>
      <w:r w:rsidRPr="00E21495">
        <w:rPr>
          <w:rFonts w:ascii="Cambria" w:hAnsi="Cambria" w:cs="Arial"/>
          <w:sz w:val="22"/>
          <w:szCs w:val="22"/>
        </w:rPr>
        <w:t xml:space="preserve"> </w:t>
      </w:r>
    </w:p>
    <w:p w14:paraId="0393F348" w14:textId="77777777" w:rsidR="00EE5294" w:rsidRPr="00E21495" w:rsidRDefault="00EE5294" w:rsidP="00EE5294">
      <w:pPr>
        <w:rPr>
          <w:rFonts w:ascii="Cambria" w:hAnsi="Cambria" w:cs="Arial"/>
          <w:sz w:val="22"/>
          <w:szCs w:val="22"/>
        </w:rPr>
      </w:pPr>
    </w:p>
    <w:p w14:paraId="3F819D0D" w14:textId="6A72C41A" w:rsidR="00B363CC" w:rsidRPr="00D85E64" w:rsidRDefault="00B363CC" w:rsidP="00DF4028">
      <w:pPr>
        <w:pStyle w:val="Heading2"/>
      </w:pPr>
      <w:bookmarkStart w:id="4" w:name="_Toc259106259"/>
      <w:r w:rsidRPr="00D85E64">
        <w:t>Adequacy of Reasons</w:t>
      </w:r>
      <w:bookmarkEnd w:id="4"/>
    </w:p>
    <w:p w14:paraId="3C69BCED" w14:textId="77777777" w:rsidR="00B363CC" w:rsidRPr="00D85E64" w:rsidRDefault="00B363CC" w:rsidP="00EE5294">
      <w:pPr>
        <w:rPr>
          <w:rFonts w:ascii="Cambria" w:hAnsi="Cambria" w:cs="Arial"/>
        </w:rPr>
      </w:pPr>
    </w:p>
    <w:p w14:paraId="6185E4DF" w14:textId="77777777" w:rsidR="00B363CC" w:rsidRPr="00E21495" w:rsidRDefault="00B363CC" w:rsidP="00EE5294">
      <w:pPr>
        <w:rPr>
          <w:rFonts w:ascii="Cambria" w:hAnsi="Cambria" w:cs="Arial"/>
          <w:sz w:val="22"/>
          <w:szCs w:val="22"/>
        </w:rPr>
      </w:pPr>
      <w:r w:rsidRPr="00E21495">
        <w:rPr>
          <w:rFonts w:ascii="Cambria" w:hAnsi="Cambria" w:cs="Arial"/>
          <w:i/>
          <w:sz w:val="22"/>
          <w:szCs w:val="22"/>
        </w:rPr>
        <w:t>Gichuru v. Society of BC</w:t>
      </w:r>
      <w:r w:rsidRPr="00E21495">
        <w:rPr>
          <w:rFonts w:ascii="Cambria" w:hAnsi="Cambria" w:cs="Arial"/>
          <w:sz w:val="22"/>
          <w:szCs w:val="22"/>
        </w:rPr>
        <w:t xml:space="preserve"> (BCCA, 2010): </w:t>
      </w:r>
    </w:p>
    <w:p w14:paraId="0D90ADF6" w14:textId="2558C238" w:rsidR="00B363CC" w:rsidRPr="00E21495" w:rsidRDefault="00B363CC" w:rsidP="00B95FDA">
      <w:pPr>
        <w:rPr>
          <w:rFonts w:ascii="Cambria" w:hAnsi="Cambria" w:cs="Arial"/>
          <w:sz w:val="22"/>
          <w:szCs w:val="22"/>
        </w:rPr>
      </w:pPr>
      <w:r w:rsidRPr="00E21495">
        <w:rPr>
          <w:rFonts w:ascii="Cambria" w:hAnsi="Cambria" w:cs="Arial"/>
          <w:sz w:val="22"/>
          <w:szCs w:val="22"/>
        </w:rPr>
        <w:t>-Reasons do not need to address tangential or irrelevant issues.</w:t>
      </w:r>
    </w:p>
    <w:p w14:paraId="3FE9F60A" w14:textId="77777777" w:rsidR="00B363CC" w:rsidRPr="00E21495" w:rsidRDefault="00B363CC" w:rsidP="00EE5294">
      <w:pPr>
        <w:rPr>
          <w:rFonts w:ascii="Cambria" w:hAnsi="Cambria" w:cs="Arial"/>
          <w:sz w:val="22"/>
          <w:szCs w:val="22"/>
        </w:rPr>
      </w:pPr>
    </w:p>
    <w:p w14:paraId="09E138DC" w14:textId="23E5DD38" w:rsidR="00B363CC" w:rsidRPr="00E21495" w:rsidRDefault="00B363CC" w:rsidP="00EE5294">
      <w:pPr>
        <w:rPr>
          <w:rFonts w:ascii="Cambria" w:hAnsi="Cambria" w:cs="Arial"/>
          <w:sz w:val="22"/>
          <w:szCs w:val="22"/>
        </w:rPr>
      </w:pPr>
      <w:r w:rsidRPr="00E21495">
        <w:rPr>
          <w:rFonts w:ascii="Cambria" w:hAnsi="Cambria" w:cs="Arial"/>
          <w:i/>
          <w:sz w:val="22"/>
          <w:szCs w:val="22"/>
        </w:rPr>
        <w:t>Newfound Nurses v</w:t>
      </w:r>
      <w:r w:rsidR="00DF4028" w:rsidRPr="00E21495">
        <w:rPr>
          <w:rFonts w:ascii="Cambria" w:hAnsi="Cambria" w:cs="Arial"/>
          <w:i/>
          <w:sz w:val="22"/>
          <w:szCs w:val="22"/>
        </w:rPr>
        <w:t>.</w:t>
      </w:r>
      <w:r w:rsidRPr="00E21495">
        <w:rPr>
          <w:rFonts w:ascii="Cambria" w:hAnsi="Cambria" w:cs="Arial"/>
          <w:i/>
          <w:sz w:val="22"/>
          <w:szCs w:val="22"/>
        </w:rPr>
        <w:t xml:space="preserve"> Newfoundland</w:t>
      </w:r>
      <w:r w:rsidRPr="00E21495">
        <w:rPr>
          <w:rFonts w:ascii="Cambria" w:hAnsi="Cambria" w:cs="Arial"/>
          <w:sz w:val="22"/>
          <w:szCs w:val="22"/>
        </w:rPr>
        <w:t xml:space="preserve"> (SCC, 2011): </w:t>
      </w:r>
    </w:p>
    <w:p w14:paraId="13EBB595" w14:textId="1A3EC2F7" w:rsidR="00B363CC" w:rsidRPr="00E21495" w:rsidRDefault="00B363CC" w:rsidP="00B95FDA">
      <w:pPr>
        <w:rPr>
          <w:rFonts w:ascii="Cambria" w:hAnsi="Cambria" w:cs="Arial"/>
          <w:sz w:val="22"/>
          <w:szCs w:val="22"/>
        </w:rPr>
      </w:pPr>
      <w:r w:rsidRPr="00E21495">
        <w:rPr>
          <w:rFonts w:ascii="Cambria" w:hAnsi="Cambria" w:cs="Arial"/>
          <w:sz w:val="22"/>
          <w:szCs w:val="22"/>
        </w:rPr>
        <w:t>-For non-</w:t>
      </w:r>
      <w:r w:rsidRPr="00E21495">
        <w:rPr>
          <w:rFonts w:ascii="Cambria" w:hAnsi="Cambria" w:cs="Arial"/>
          <w:i/>
          <w:sz w:val="22"/>
          <w:szCs w:val="22"/>
        </w:rPr>
        <w:t>ATA</w:t>
      </w:r>
      <w:r w:rsidRPr="00E21495">
        <w:rPr>
          <w:rFonts w:ascii="Cambria" w:hAnsi="Cambria" w:cs="Arial"/>
          <w:sz w:val="22"/>
          <w:szCs w:val="22"/>
        </w:rPr>
        <w:t xml:space="preserve"> tribunals and tribunals outside of BC, </w:t>
      </w:r>
      <w:r w:rsidR="00F6527F" w:rsidRPr="00E21495">
        <w:rPr>
          <w:rFonts w:ascii="Cambria" w:hAnsi="Cambria" w:cs="Arial"/>
          <w:sz w:val="22"/>
          <w:szCs w:val="22"/>
        </w:rPr>
        <w:t xml:space="preserve">procedural fairness requires that </w:t>
      </w:r>
      <w:r w:rsidR="00EC2F78" w:rsidRPr="00E21495">
        <w:rPr>
          <w:rFonts w:ascii="Cambria" w:hAnsi="Cambria" w:cs="Arial"/>
          <w:sz w:val="22"/>
          <w:szCs w:val="22"/>
        </w:rPr>
        <w:t>there be reasons (standard is same as</w:t>
      </w:r>
      <w:r w:rsidR="00EC2F78" w:rsidRPr="00E21495">
        <w:rPr>
          <w:rFonts w:ascii="Cambria" w:hAnsi="Cambria" w:cs="Arial"/>
          <w:i/>
          <w:sz w:val="22"/>
          <w:szCs w:val="22"/>
        </w:rPr>
        <w:t xml:space="preserve"> Baker</w:t>
      </w:r>
      <w:r w:rsidR="00EC2F78" w:rsidRPr="00E21495">
        <w:rPr>
          <w:rFonts w:ascii="Cambria" w:hAnsi="Cambria" w:cs="Arial"/>
          <w:sz w:val="22"/>
          <w:szCs w:val="22"/>
        </w:rPr>
        <w:t>: “words on a page”)</w:t>
      </w:r>
      <w:r w:rsidRPr="00E21495">
        <w:rPr>
          <w:rFonts w:ascii="Cambria" w:hAnsi="Cambria" w:cs="Arial"/>
          <w:sz w:val="22"/>
          <w:szCs w:val="22"/>
        </w:rPr>
        <w:t>.</w:t>
      </w:r>
    </w:p>
    <w:p w14:paraId="65C5BB43" w14:textId="288E500A" w:rsidR="00F6527F" w:rsidRPr="00E21495" w:rsidRDefault="00F6527F" w:rsidP="00B95FDA">
      <w:pPr>
        <w:rPr>
          <w:rFonts w:ascii="Cambria" w:hAnsi="Cambria" w:cs="Arial"/>
          <w:sz w:val="22"/>
          <w:szCs w:val="22"/>
        </w:rPr>
      </w:pPr>
      <w:r w:rsidRPr="00E21495">
        <w:rPr>
          <w:rFonts w:ascii="Cambria" w:hAnsi="Cambria" w:cs="Arial"/>
          <w:sz w:val="22"/>
          <w:szCs w:val="22"/>
        </w:rPr>
        <w:t>-Adequacy of reasons is moved to standard of review</w:t>
      </w:r>
      <w:r w:rsidR="00EC2F78" w:rsidRPr="00E21495">
        <w:rPr>
          <w:rFonts w:ascii="Cambria" w:hAnsi="Cambria" w:cs="Arial"/>
          <w:sz w:val="22"/>
          <w:szCs w:val="22"/>
        </w:rPr>
        <w:t xml:space="preserve"> of analysis</w:t>
      </w:r>
      <w:r w:rsidRPr="00E21495">
        <w:rPr>
          <w:rFonts w:ascii="Cambria" w:hAnsi="Cambria" w:cs="Arial"/>
          <w:sz w:val="22"/>
          <w:szCs w:val="22"/>
        </w:rPr>
        <w:t>.</w:t>
      </w:r>
      <w:r w:rsidR="00EC2F78" w:rsidRPr="00E21495">
        <w:rPr>
          <w:rFonts w:ascii="Cambria" w:hAnsi="Cambria" w:cs="Arial"/>
          <w:sz w:val="22"/>
          <w:szCs w:val="22"/>
        </w:rPr>
        <w:t xml:space="preserve">  Adequacy of reasons informs the reasonableness of the decision.</w:t>
      </w:r>
    </w:p>
    <w:p w14:paraId="204F0E7E" w14:textId="77777777" w:rsidR="00B363CC" w:rsidRPr="00E21495" w:rsidRDefault="00B363CC" w:rsidP="00EE5294">
      <w:pPr>
        <w:rPr>
          <w:rFonts w:ascii="Cambria" w:hAnsi="Cambria" w:cs="Arial"/>
          <w:sz w:val="22"/>
          <w:szCs w:val="22"/>
        </w:rPr>
      </w:pPr>
    </w:p>
    <w:p w14:paraId="446ABC6E" w14:textId="44646743" w:rsidR="00EE5294" w:rsidRPr="00E21495" w:rsidRDefault="00B363CC" w:rsidP="00EE5294">
      <w:pPr>
        <w:rPr>
          <w:rFonts w:ascii="Cambria" w:hAnsi="Cambria"/>
          <w:sz w:val="22"/>
          <w:szCs w:val="22"/>
        </w:rPr>
      </w:pPr>
      <w:r w:rsidRPr="00E21495">
        <w:rPr>
          <w:rFonts w:ascii="Cambria" w:hAnsi="Cambria"/>
          <w:i/>
          <w:sz w:val="22"/>
          <w:szCs w:val="22"/>
        </w:rPr>
        <w:t>Phillips v</w:t>
      </w:r>
      <w:r w:rsidR="00DF4028" w:rsidRPr="00E21495">
        <w:rPr>
          <w:rFonts w:ascii="Cambria" w:hAnsi="Cambria"/>
          <w:i/>
          <w:sz w:val="22"/>
          <w:szCs w:val="22"/>
        </w:rPr>
        <w:t>.</w:t>
      </w:r>
      <w:r w:rsidRPr="00E21495">
        <w:rPr>
          <w:rFonts w:ascii="Cambria" w:hAnsi="Cambria"/>
          <w:i/>
          <w:sz w:val="22"/>
          <w:szCs w:val="22"/>
        </w:rPr>
        <w:t xml:space="preserve"> BC Worker’s Compensation Appeal Tribunal</w:t>
      </w:r>
      <w:r w:rsidRPr="00E21495">
        <w:rPr>
          <w:rFonts w:ascii="Cambria" w:hAnsi="Cambria"/>
          <w:sz w:val="22"/>
          <w:szCs w:val="22"/>
        </w:rPr>
        <w:t xml:space="preserve"> (BCCA, 2012):</w:t>
      </w:r>
    </w:p>
    <w:p w14:paraId="464A0C66" w14:textId="68D6D7FC" w:rsidR="00B363CC" w:rsidRPr="00E21495" w:rsidRDefault="00B363CC" w:rsidP="00B95FDA">
      <w:pPr>
        <w:rPr>
          <w:rFonts w:ascii="Cambria" w:hAnsi="Cambria"/>
          <w:sz w:val="22"/>
          <w:szCs w:val="22"/>
        </w:rPr>
      </w:pPr>
      <w:r w:rsidRPr="00E21495">
        <w:rPr>
          <w:rFonts w:ascii="Cambria" w:hAnsi="Cambria"/>
          <w:sz w:val="22"/>
          <w:szCs w:val="22"/>
        </w:rPr>
        <w:t xml:space="preserve">-Adequacy of reasons is same for </w:t>
      </w:r>
      <w:r w:rsidRPr="00E21495">
        <w:rPr>
          <w:rFonts w:ascii="Cambria" w:hAnsi="Cambria"/>
          <w:i/>
          <w:sz w:val="22"/>
          <w:szCs w:val="22"/>
        </w:rPr>
        <w:t>ATA</w:t>
      </w:r>
      <w:r w:rsidRPr="00E21495">
        <w:rPr>
          <w:rFonts w:ascii="Cambria" w:hAnsi="Cambria"/>
          <w:sz w:val="22"/>
          <w:szCs w:val="22"/>
        </w:rPr>
        <w:t xml:space="preserve"> as non-</w:t>
      </w:r>
      <w:r w:rsidRPr="00E21495">
        <w:rPr>
          <w:rFonts w:ascii="Cambria" w:hAnsi="Cambria"/>
          <w:i/>
          <w:sz w:val="22"/>
          <w:szCs w:val="22"/>
        </w:rPr>
        <w:t>ATA</w:t>
      </w:r>
      <w:r w:rsidRPr="00E21495">
        <w:rPr>
          <w:rFonts w:ascii="Cambria" w:hAnsi="Cambria"/>
          <w:sz w:val="22"/>
          <w:szCs w:val="22"/>
        </w:rPr>
        <w:t xml:space="preserve"> tribunals; however, this may not an accurate interpretation of the </w:t>
      </w:r>
      <w:r w:rsidRPr="00E21495">
        <w:rPr>
          <w:rFonts w:ascii="Cambria" w:hAnsi="Cambria"/>
          <w:i/>
          <w:sz w:val="22"/>
          <w:szCs w:val="22"/>
        </w:rPr>
        <w:t>ATA</w:t>
      </w:r>
      <w:r w:rsidRPr="00E21495">
        <w:rPr>
          <w:rFonts w:ascii="Cambria" w:hAnsi="Cambria"/>
          <w:sz w:val="22"/>
          <w:szCs w:val="22"/>
        </w:rPr>
        <w:t>.</w:t>
      </w:r>
    </w:p>
    <w:p w14:paraId="3A6C299D" w14:textId="77777777" w:rsidR="00B363CC" w:rsidRPr="00D85E64" w:rsidRDefault="00B363CC" w:rsidP="00B363CC">
      <w:pPr>
        <w:rPr>
          <w:rFonts w:ascii="Cambria" w:hAnsi="Cambria"/>
        </w:rPr>
      </w:pPr>
    </w:p>
    <w:p w14:paraId="62854D4A" w14:textId="2EF3073F" w:rsidR="00B363CC" w:rsidRPr="00D85E64" w:rsidRDefault="00B363CC" w:rsidP="00DF4028">
      <w:pPr>
        <w:pStyle w:val="Heading2"/>
      </w:pPr>
      <w:bookmarkStart w:id="5" w:name="_Toc259106260"/>
      <w:r w:rsidRPr="00D85E64">
        <w:t>Oral Hearings and Cross Examination</w:t>
      </w:r>
      <w:bookmarkEnd w:id="5"/>
    </w:p>
    <w:p w14:paraId="5BB9841E" w14:textId="77777777" w:rsidR="00D97A02" w:rsidRPr="00D85E64" w:rsidRDefault="00D97A02" w:rsidP="00B363CC">
      <w:pPr>
        <w:rPr>
          <w:rFonts w:ascii="Cambria" w:hAnsi="Cambria"/>
        </w:rPr>
      </w:pPr>
    </w:p>
    <w:p w14:paraId="7F2A3E10" w14:textId="19D49FA4" w:rsidR="00D97A02" w:rsidRPr="00E21495" w:rsidRDefault="00D97A02" w:rsidP="00B363CC">
      <w:pPr>
        <w:rPr>
          <w:sz w:val="22"/>
          <w:szCs w:val="22"/>
        </w:rPr>
      </w:pPr>
      <w:r w:rsidRPr="00E21495">
        <w:rPr>
          <w:i/>
          <w:sz w:val="22"/>
          <w:szCs w:val="22"/>
        </w:rPr>
        <w:t xml:space="preserve">Singh v. Minister of Employment and Immigration </w:t>
      </w:r>
      <w:r w:rsidRPr="00E21495">
        <w:rPr>
          <w:sz w:val="22"/>
          <w:szCs w:val="22"/>
        </w:rPr>
        <w:t>(SCC, 1985):</w:t>
      </w:r>
    </w:p>
    <w:p w14:paraId="32D1D16C" w14:textId="77777777" w:rsidR="00C22504" w:rsidRPr="00E21495" w:rsidRDefault="00C22504" w:rsidP="00B95FDA">
      <w:pPr>
        <w:rPr>
          <w:sz w:val="22"/>
          <w:szCs w:val="22"/>
        </w:rPr>
      </w:pPr>
      <w:r w:rsidRPr="00E21495">
        <w:rPr>
          <w:sz w:val="22"/>
          <w:szCs w:val="22"/>
        </w:rPr>
        <w:t xml:space="preserve">-S. 7 of the </w:t>
      </w:r>
      <w:r w:rsidRPr="00E21495">
        <w:rPr>
          <w:i/>
          <w:sz w:val="22"/>
          <w:szCs w:val="22"/>
        </w:rPr>
        <w:t>Charter</w:t>
      </w:r>
      <w:r w:rsidRPr="00E21495">
        <w:rPr>
          <w:sz w:val="22"/>
          <w:szCs w:val="22"/>
        </w:rPr>
        <w:t xml:space="preserve"> and s. 2(e) of the </w:t>
      </w:r>
      <w:r w:rsidRPr="00E21495">
        <w:rPr>
          <w:i/>
          <w:sz w:val="22"/>
          <w:szCs w:val="22"/>
        </w:rPr>
        <w:t>Canadian Bill of Rights</w:t>
      </w:r>
      <w:r w:rsidRPr="00E21495">
        <w:rPr>
          <w:sz w:val="22"/>
          <w:szCs w:val="22"/>
        </w:rPr>
        <w:t xml:space="preserve"> require that an oral hearing be held in the following circumstances:</w:t>
      </w:r>
    </w:p>
    <w:p w14:paraId="7FD3F5E4" w14:textId="7D09E918" w:rsidR="00C22504" w:rsidRPr="00E21495" w:rsidRDefault="00C22504" w:rsidP="00B95FDA">
      <w:pPr>
        <w:rPr>
          <w:sz w:val="22"/>
          <w:szCs w:val="22"/>
        </w:rPr>
      </w:pPr>
      <w:r w:rsidRPr="00E21495">
        <w:rPr>
          <w:sz w:val="22"/>
          <w:szCs w:val="22"/>
        </w:rPr>
        <w:t>-w</w:t>
      </w:r>
      <w:r w:rsidR="00D97A02" w:rsidRPr="00E21495">
        <w:rPr>
          <w:sz w:val="22"/>
          <w:szCs w:val="22"/>
        </w:rPr>
        <w:t>here there is a serious factual complexity</w:t>
      </w:r>
      <w:r w:rsidRPr="00E21495">
        <w:rPr>
          <w:sz w:val="22"/>
          <w:szCs w:val="22"/>
        </w:rPr>
        <w:t>;</w:t>
      </w:r>
    </w:p>
    <w:p w14:paraId="6A98F1F1" w14:textId="48F6EE83" w:rsidR="00C22504" w:rsidRPr="00E21495" w:rsidRDefault="00C22504" w:rsidP="00B95FDA">
      <w:pPr>
        <w:rPr>
          <w:sz w:val="22"/>
          <w:szCs w:val="22"/>
        </w:rPr>
      </w:pPr>
      <w:r w:rsidRPr="00E21495">
        <w:rPr>
          <w:sz w:val="22"/>
          <w:szCs w:val="22"/>
        </w:rPr>
        <w:t>-w</w:t>
      </w:r>
      <w:r w:rsidR="00D97A02" w:rsidRPr="00E21495">
        <w:rPr>
          <w:sz w:val="22"/>
          <w:szCs w:val="22"/>
        </w:rPr>
        <w:t xml:space="preserve">here there is a need for an immediate back and forth question and answer between the panel and </w:t>
      </w:r>
      <w:r w:rsidRPr="00E21495">
        <w:rPr>
          <w:sz w:val="22"/>
          <w:szCs w:val="22"/>
        </w:rPr>
        <w:t>the parties;</w:t>
      </w:r>
    </w:p>
    <w:p w14:paraId="532232AA" w14:textId="3C234A34" w:rsidR="00D97A02" w:rsidRPr="00E21495" w:rsidRDefault="00C22504" w:rsidP="00B95FDA">
      <w:pPr>
        <w:rPr>
          <w:sz w:val="22"/>
          <w:szCs w:val="22"/>
        </w:rPr>
      </w:pPr>
      <w:r w:rsidRPr="00E21495">
        <w:rPr>
          <w:sz w:val="22"/>
          <w:szCs w:val="22"/>
        </w:rPr>
        <w:t>-</w:t>
      </w:r>
      <w:r w:rsidR="00D97A02" w:rsidRPr="00E21495">
        <w:rPr>
          <w:sz w:val="22"/>
          <w:szCs w:val="22"/>
        </w:rPr>
        <w:t>where th</w:t>
      </w:r>
      <w:r w:rsidRPr="00E21495">
        <w:rPr>
          <w:sz w:val="22"/>
          <w:szCs w:val="22"/>
        </w:rPr>
        <w:t>e central issue is credibility.</w:t>
      </w:r>
    </w:p>
    <w:p w14:paraId="004039A8" w14:textId="37689326" w:rsidR="00C22504" w:rsidRPr="00E21495" w:rsidRDefault="00C22504" w:rsidP="00B95FDA">
      <w:pPr>
        <w:rPr>
          <w:sz w:val="22"/>
          <w:szCs w:val="22"/>
        </w:rPr>
      </w:pPr>
      <w:r w:rsidRPr="00E21495">
        <w:rPr>
          <w:sz w:val="22"/>
          <w:szCs w:val="22"/>
        </w:rPr>
        <w:t>-This case only applies where your rights under s. 7 or s. 2(e) are engaged.  Must be judicial end of the spectrum.</w:t>
      </w:r>
    </w:p>
    <w:p w14:paraId="7E1086A0" w14:textId="77777777" w:rsidR="00D97A02" w:rsidRPr="00E21495" w:rsidRDefault="00D97A02" w:rsidP="00D97A02">
      <w:pPr>
        <w:rPr>
          <w:sz w:val="22"/>
          <w:szCs w:val="22"/>
        </w:rPr>
      </w:pPr>
    </w:p>
    <w:p w14:paraId="7F19BF80" w14:textId="2FB1D388" w:rsidR="00D97A02" w:rsidRPr="00E21495" w:rsidRDefault="00D97A02" w:rsidP="00D97A02">
      <w:pPr>
        <w:rPr>
          <w:sz w:val="22"/>
          <w:szCs w:val="22"/>
        </w:rPr>
      </w:pPr>
      <w:r w:rsidRPr="00E21495">
        <w:rPr>
          <w:i/>
          <w:sz w:val="22"/>
          <w:szCs w:val="22"/>
        </w:rPr>
        <w:t xml:space="preserve"> </w:t>
      </w:r>
      <w:r w:rsidR="009E2752" w:rsidRPr="00E21495">
        <w:rPr>
          <w:i/>
          <w:sz w:val="22"/>
          <w:szCs w:val="22"/>
        </w:rPr>
        <w:t>Innisfil Township v. Vespra Township</w:t>
      </w:r>
      <w:r w:rsidR="009E2752" w:rsidRPr="00E21495">
        <w:rPr>
          <w:sz w:val="22"/>
          <w:szCs w:val="22"/>
        </w:rPr>
        <w:t xml:space="preserve"> (SCC, 1981):</w:t>
      </w:r>
    </w:p>
    <w:p w14:paraId="31088A63" w14:textId="2251BBDD" w:rsidR="009E2752" w:rsidRPr="00E21495" w:rsidRDefault="009E2752" w:rsidP="00B95FDA">
      <w:pPr>
        <w:rPr>
          <w:sz w:val="22"/>
          <w:szCs w:val="22"/>
        </w:rPr>
      </w:pPr>
      <w:r w:rsidRPr="00E21495">
        <w:rPr>
          <w:sz w:val="22"/>
          <w:szCs w:val="22"/>
        </w:rPr>
        <w:t>-If a statute doesn’t disallow cross-examination, then the common law allows for cross-examination. This is particularly significant where expert evidence is involved.</w:t>
      </w:r>
    </w:p>
    <w:p w14:paraId="2C9E9C75" w14:textId="2387253F" w:rsidR="0001426E" w:rsidRPr="00E21495" w:rsidRDefault="0001426E" w:rsidP="00B95FDA">
      <w:pPr>
        <w:rPr>
          <w:sz w:val="22"/>
          <w:szCs w:val="22"/>
        </w:rPr>
      </w:pPr>
      <w:r w:rsidRPr="00E21495">
        <w:rPr>
          <w:sz w:val="22"/>
          <w:szCs w:val="22"/>
        </w:rPr>
        <w:t xml:space="preserve">-A breach of the right to cross-examine is always procedurally unfair.  It is not for the court to assess the outcome of cross-examination.  </w:t>
      </w:r>
    </w:p>
    <w:p w14:paraId="6D76F1EE" w14:textId="77777777" w:rsidR="00D762EA" w:rsidRPr="00E21495" w:rsidRDefault="00D762EA" w:rsidP="009E2752">
      <w:pPr>
        <w:rPr>
          <w:sz w:val="22"/>
          <w:szCs w:val="22"/>
        </w:rPr>
      </w:pPr>
    </w:p>
    <w:p w14:paraId="422A8EEC" w14:textId="1F360E8D" w:rsidR="009E2752" w:rsidRPr="00E21495" w:rsidRDefault="009E2752" w:rsidP="009E2752">
      <w:pPr>
        <w:rPr>
          <w:sz w:val="22"/>
          <w:szCs w:val="22"/>
        </w:rPr>
      </w:pPr>
      <w:r w:rsidRPr="00E21495">
        <w:rPr>
          <w:i/>
          <w:iCs/>
          <w:sz w:val="22"/>
          <w:szCs w:val="22"/>
        </w:rPr>
        <w:t xml:space="preserve">Re County of Strathcona No. 20 v. Maclab Enterprises Ltd. </w:t>
      </w:r>
      <w:r w:rsidRPr="00E21495">
        <w:rPr>
          <w:sz w:val="22"/>
          <w:szCs w:val="22"/>
        </w:rPr>
        <w:t>(ABCA, 1971):</w:t>
      </w:r>
    </w:p>
    <w:p w14:paraId="142EE4A8" w14:textId="1DD2DB44" w:rsidR="009E2752" w:rsidRPr="00E21495" w:rsidRDefault="009E2752" w:rsidP="00B95FDA">
      <w:pPr>
        <w:rPr>
          <w:sz w:val="22"/>
          <w:szCs w:val="22"/>
        </w:rPr>
      </w:pPr>
      <w:r w:rsidRPr="00E21495">
        <w:rPr>
          <w:sz w:val="22"/>
          <w:szCs w:val="22"/>
        </w:rPr>
        <w:t>-</w:t>
      </w:r>
      <w:r w:rsidR="00F01CCA" w:rsidRPr="00E21495">
        <w:rPr>
          <w:sz w:val="22"/>
          <w:szCs w:val="22"/>
        </w:rPr>
        <w:t>If there is an alternative to cross-examination that is equally effective, then there is no requirement to allow for cross-examination.</w:t>
      </w:r>
    </w:p>
    <w:p w14:paraId="2AE5C9C9" w14:textId="77777777" w:rsidR="009E2752" w:rsidRPr="00E21495" w:rsidRDefault="009E2752" w:rsidP="009E2752">
      <w:pPr>
        <w:rPr>
          <w:sz w:val="22"/>
          <w:szCs w:val="22"/>
        </w:rPr>
      </w:pPr>
    </w:p>
    <w:p w14:paraId="4C7B00EE" w14:textId="7D8F40D6" w:rsidR="009E2752" w:rsidRPr="00E21495" w:rsidRDefault="009E2752" w:rsidP="009E2752">
      <w:pPr>
        <w:rPr>
          <w:iCs/>
          <w:sz w:val="22"/>
          <w:szCs w:val="22"/>
        </w:rPr>
      </w:pPr>
      <w:r w:rsidRPr="00E21495">
        <w:rPr>
          <w:i/>
          <w:iCs/>
          <w:sz w:val="22"/>
          <w:szCs w:val="22"/>
        </w:rPr>
        <w:t xml:space="preserve">Djakovic v. British Columbia (Workers’ Compensation Appeal Tribunal) </w:t>
      </w:r>
      <w:r w:rsidRPr="00E21495">
        <w:rPr>
          <w:iCs/>
          <w:sz w:val="22"/>
          <w:szCs w:val="22"/>
        </w:rPr>
        <w:t>(BCSC, 2010):</w:t>
      </w:r>
    </w:p>
    <w:p w14:paraId="6623916F" w14:textId="67D6F3C3" w:rsidR="009E2752" w:rsidRPr="00E21495" w:rsidRDefault="009E2752" w:rsidP="00E21495">
      <w:pPr>
        <w:rPr>
          <w:iCs/>
          <w:sz w:val="22"/>
          <w:szCs w:val="22"/>
        </w:rPr>
      </w:pPr>
      <w:r w:rsidRPr="00E21495">
        <w:rPr>
          <w:iCs/>
          <w:sz w:val="22"/>
          <w:szCs w:val="22"/>
        </w:rPr>
        <w:t>-</w:t>
      </w:r>
      <w:r w:rsidR="001D34C5" w:rsidRPr="00E21495">
        <w:rPr>
          <w:iCs/>
          <w:sz w:val="22"/>
          <w:szCs w:val="22"/>
        </w:rPr>
        <w:t>Cross-examination may be required where the hearing is at the judicial end of the spectrum, the right or entitleme</w:t>
      </w:r>
      <w:r w:rsidR="0001426E" w:rsidRPr="00E21495">
        <w:rPr>
          <w:iCs/>
          <w:sz w:val="22"/>
          <w:szCs w:val="22"/>
        </w:rPr>
        <w:t>nt at issue is significant, and</w:t>
      </w:r>
      <w:r w:rsidR="001D34C5" w:rsidRPr="00E21495">
        <w:rPr>
          <w:iCs/>
          <w:sz w:val="22"/>
          <w:szCs w:val="22"/>
        </w:rPr>
        <w:t xml:space="preserve"> memory or credibility is at issue.</w:t>
      </w:r>
    </w:p>
    <w:p w14:paraId="0600B3F3" w14:textId="77777777" w:rsidR="001D34C5" w:rsidRPr="00E21495" w:rsidRDefault="001D34C5" w:rsidP="001D34C5">
      <w:pPr>
        <w:rPr>
          <w:iCs/>
          <w:sz w:val="22"/>
          <w:szCs w:val="22"/>
        </w:rPr>
      </w:pPr>
    </w:p>
    <w:p w14:paraId="632A2F9A" w14:textId="7BCE0C5A" w:rsidR="001D34C5" w:rsidRPr="00E21495" w:rsidRDefault="001D34C5" w:rsidP="001D34C5">
      <w:pPr>
        <w:rPr>
          <w:sz w:val="22"/>
          <w:szCs w:val="22"/>
        </w:rPr>
      </w:pPr>
      <w:r w:rsidRPr="00E21495">
        <w:rPr>
          <w:i/>
          <w:sz w:val="22"/>
          <w:szCs w:val="22"/>
        </w:rPr>
        <w:t xml:space="preserve">Johnson v. Alberta (Appeals Commission for Alberta Workers' Compensation) </w:t>
      </w:r>
      <w:r w:rsidRPr="00E21495">
        <w:rPr>
          <w:sz w:val="22"/>
          <w:szCs w:val="22"/>
        </w:rPr>
        <w:t>(ABCA, 2011):</w:t>
      </w:r>
    </w:p>
    <w:p w14:paraId="26F40E1C" w14:textId="1FE09066" w:rsidR="001D34C5" w:rsidRPr="00E21495" w:rsidRDefault="001D34C5" w:rsidP="00E21495">
      <w:pPr>
        <w:rPr>
          <w:sz w:val="22"/>
          <w:szCs w:val="22"/>
        </w:rPr>
      </w:pPr>
      <w:r w:rsidRPr="00E21495">
        <w:rPr>
          <w:sz w:val="22"/>
          <w:szCs w:val="22"/>
        </w:rPr>
        <w:t>-Where there are competing expert opinions in evidence, cross-examination may be required.</w:t>
      </w:r>
    </w:p>
    <w:p w14:paraId="2B88EDE7" w14:textId="77777777" w:rsidR="001D34C5" w:rsidRPr="00E21495" w:rsidRDefault="001D34C5" w:rsidP="001D34C5">
      <w:pPr>
        <w:rPr>
          <w:sz w:val="22"/>
          <w:szCs w:val="22"/>
        </w:rPr>
      </w:pPr>
    </w:p>
    <w:p w14:paraId="05106E07" w14:textId="268BF0C9" w:rsidR="001D34C5" w:rsidRPr="00D85E64" w:rsidRDefault="001D34C5" w:rsidP="00DF4028">
      <w:pPr>
        <w:pStyle w:val="Heading2"/>
      </w:pPr>
      <w:bookmarkStart w:id="6" w:name="_Toc259106261"/>
      <w:r w:rsidRPr="00D85E64">
        <w:t>Document Disclosure</w:t>
      </w:r>
      <w:bookmarkEnd w:id="6"/>
    </w:p>
    <w:p w14:paraId="6259B545" w14:textId="77777777" w:rsidR="001D34C5" w:rsidRPr="00D85E64" w:rsidRDefault="001D34C5" w:rsidP="001D34C5"/>
    <w:p w14:paraId="61A104E4" w14:textId="4B7148E2" w:rsidR="001D34C5" w:rsidRPr="00E21495" w:rsidRDefault="00A35ABB" w:rsidP="001D34C5">
      <w:pPr>
        <w:rPr>
          <w:sz w:val="22"/>
          <w:szCs w:val="22"/>
        </w:rPr>
      </w:pPr>
      <w:r w:rsidRPr="00E21495">
        <w:rPr>
          <w:i/>
          <w:sz w:val="22"/>
          <w:szCs w:val="22"/>
        </w:rPr>
        <w:t xml:space="preserve">Kane v. University of British Columbia </w:t>
      </w:r>
      <w:r w:rsidRPr="00E21495">
        <w:rPr>
          <w:sz w:val="22"/>
          <w:szCs w:val="22"/>
        </w:rPr>
        <w:t>(SCC, 1980):</w:t>
      </w:r>
    </w:p>
    <w:p w14:paraId="2BD5FDAB" w14:textId="1C60D9D9" w:rsidR="00A35ABB" w:rsidRPr="00E21495" w:rsidRDefault="00A35ABB" w:rsidP="00E21495">
      <w:pPr>
        <w:rPr>
          <w:sz w:val="22"/>
          <w:szCs w:val="22"/>
        </w:rPr>
      </w:pPr>
      <w:r w:rsidRPr="00E21495">
        <w:rPr>
          <w:sz w:val="22"/>
          <w:szCs w:val="22"/>
        </w:rPr>
        <w:t>-</w:t>
      </w:r>
      <w:r w:rsidR="00D14831" w:rsidRPr="00E21495">
        <w:rPr>
          <w:sz w:val="22"/>
          <w:szCs w:val="22"/>
        </w:rPr>
        <w:t>A high level of procedural fairness applies when dealing with a professional’s employment.  Anything the tribunal intends to rely on must be disclosed.</w:t>
      </w:r>
    </w:p>
    <w:p w14:paraId="5B772F8E" w14:textId="77777777" w:rsidR="0025531E" w:rsidRDefault="0025531E" w:rsidP="0025531E">
      <w:pPr>
        <w:rPr>
          <w:sz w:val="22"/>
          <w:szCs w:val="22"/>
        </w:rPr>
      </w:pPr>
    </w:p>
    <w:p w14:paraId="415F0062" w14:textId="095489D1" w:rsidR="001B5DF0" w:rsidRDefault="001B5DF0" w:rsidP="0025531E">
      <w:pPr>
        <w:rPr>
          <w:sz w:val="22"/>
          <w:szCs w:val="22"/>
        </w:rPr>
      </w:pPr>
      <w:r w:rsidRPr="001B5DF0">
        <w:rPr>
          <w:i/>
          <w:sz w:val="22"/>
          <w:szCs w:val="22"/>
        </w:rPr>
        <w:t>ATA</w:t>
      </w:r>
      <w:r>
        <w:rPr>
          <w:sz w:val="22"/>
          <w:szCs w:val="22"/>
        </w:rPr>
        <w:t>, s. 34(1): governs summoning witnesses and disclosing documents.</w:t>
      </w:r>
    </w:p>
    <w:p w14:paraId="79158E83" w14:textId="552BB892" w:rsidR="001B5DF0" w:rsidRDefault="001B5DF0" w:rsidP="0025531E">
      <w:pPr>
        <w:rPr>
          <w:sz w:val="22"/>
          <w:szCs w:val="22"/>
        </w:rPr>
      </w:pPr>
      <w:r>
        <w:rPr>
          <w:sz w:val="22"/>
          <w:szCs w:val="22"/>
        </w:rPr>
        <w:t>-A party to a tribunal hearing may prepare and serve a summons in accordance with tribunal procedure to (a) require a person to attend an oral or electronic hearing for the purpose of giving sworn evidence; (b) to produce documents or other things for disclosure that are relevant to an issue in the hearing.  S. 34(2): (a) a party may apply to the court for an order (a) directing a person to comply with a summons served under 34(1) or (b) directing the directors or officers of the person to cause the person to comply with a summons served by a party under 34(1).  34(3): tribunal has the power to make orders to attend hearing or produce documents at any time during a hearing before making a decision in the case.  34(4): tribunal may apply to the court for an order (a) directing a person to compny with an order under s. 34(3) or directing the directors and officers of a person to cause the person to comply with an order made by the tribunal under s. 34(3).</w:t>
      </w:r>
    </w:p>
    <w:p w14:paraId="4B0936D1" w14:textId="77777777" w:rsidR="001B5DF0" w:rsidRPr="00E21495" w:rsidRDefault="001B5DF0" w:rsidP="0025531E">
      <w:pPr>
        <w:rPr>
          <w:sz w:val="22"/>
          <w:szCs w:val="22"/>
        </w:rPr>
      </w:pPr>
    </w:p>
    <w:p w14:paraId="06685386" w14:textId="3D3294AC" w:rsidR="0025531E" w:rsidRPr="00E21495" w:rsidRDefault="0025531E" w:rsidP="0025531E">
      <w:pPr>
        <w:rPr>
          <w:sz w:val="22"/>
          <w:szCs w:val="22"/>
        </w:rPr>
      </w:pPr>
      <w:r w:rsidRPr="00E21495">
        <w:rPr>
          <w:i/>
          <w:sz w:val="22"/>
          <w:szCs w:val="22"/>
        </w:rPr>
        <w:t>ATA</w:t>
      </w:r>
      <w:r w:rsidRPr="00E21495">
        <w:rPr>
          <w:sz w:val="22"/>
          <w:szCs w:val="22"/>
        </w:rPr>
        <w:t xml:space="preserve"> s. 40</w:t>
      </w:r>
      <w:r w:rsidR="00F01CCA" w:rsidRPr="00E21495">
        <w:rPr>
          <w:sz w:val="22"/>
          <w:szCs w:val="22"/>
        </w:rPr>
        <w:t>(3)</w:t>
      </w:r>
      <w:r w:rsidRPr="00E21495">
        <w:rPr>
          <w:sz w:val="22"/>
          <w:szCs w:val="22"/>
        </w:rPr>
        <w:t>:</w:t>
      </w:r>
    </w:p>
    <w:p w14:paraId="6B58F599" w14:textId="7F198C17" w:rsidR="0025531E" w:rsidRPr="00E21495" w:rsidRDefault="0025531E" w:rsidP="00E21495">
      <w:pPr>
        <w:rPr>
          <w:sz w:val="22"/>
          <w:szCs w:val="22"/>
        </w:rPr>
      </w:pPr>
      <w:r w:rsidRPr="00E21495">
        <w:rPr>
          <w:sz w:val="22"/>
          <w:szCs w:val="22"/>
        </w:rPr>
        <w:t xml:space="preserve">-Admissibility of evidence is subject to same constraints as under </w:t>
      </w:r>
      <w:r w:rsidRPr="00E21495">
        <w:rPr>
          <w:i/>
          <w:sz w:val="22"/>
          <w:szCs w:val="22"/>
        </w:rPr>
        <w:t>Canada Evidence Act</w:t>
      </w:r>
      <w:r w:rsidRPr="00E21495">
        <w:rPr>
          <w:sz w:val="22"/>
          <w:szCs w:val="22"/>
        </w:rPr>
        <w:t xml:space="preserve">, BC </w:t>
      </w:r>
      <w:r w:rsidRPr="00E21495">
        <w:rPr>
          <w:i/>
          <w:sz w:val="22"/>
          <w:szCs w:val="22"/>
        </w:rPr>
        <w:t>Supreme Court Civil Rules</w:t>
      </w:r>
      <w:r w:rsidRPr="00E21495">
        <w:rPr>
          <w:sz w:val="22"/>
          <w:szCs w:val="22"/>
        </w:rPr>
        <w:t>, and the common law.</w:t>
      </w:r>
    </w:p>
    <w:p w14:paraId="122040C6" w14:textId="77777777" w:rsidR="0025531E" w:rsidRPr="00E21495" w:rsidRDefault="0025531E" w:rsidP="0025531E">
      <w:pPr>
        <w:rPr>
          <w:sz w:val="22"/>
          <w:szCs w:val="22"/>
        </w:rPr>
      </w:pPr>
    </w:p>
    <w:p w14:paraId="7A61AD7D" w14:textId="587E6393" w:rsidR="0025531E" w:rsidRPr="00D85E64" w:rsidRDefault="00F01CCA" w:rsidP="00DF4028">
      <w:pPr>
        <w:pStyle w:val="Heading2"/>
      </w:pPr>
      <w:bookmarkStart w:id="7" w:name="_Toc259106262"/>
      <w:r>
        <w:t xml:space="preserve">Disclosure in </w:t>
      </w:r>
      <w:r w:rsidR="0025531E" w:rsidRPr="00D85E64">
        <w:t>Investigations</w:t>
      </w:r>
      <w:bookmarkEnd w:id="7"/>
    </w:p>
    <w:p w14:paraId="4D346AD8" w14:textId="78DB53A3" w:rsidR="0025531E" w:rsidRPr="00D85E64" w:rsidRDefault="0025531E" w:rsidP="0025531E"/>
    <w:p w14:paraId="11249013" w14:textId="4704F7D2" w:rsidR="0025531E" w:rsidRPr="00E21495" w:rsidRDefault="0025531E" w:rsidP="0025531E">
      <w:pPr>
        <w:rPr>
          <w:sz w:val="22"/>
          <w:szCs w:val="22"/>
        </w:rPr>
      </w:pPr>
      <w:r w:rsidRPr="00E21495">
        <w:rPr>
          <w:i/>
          <w:sz w:val="22"/>
          <w:szCs w:val="22"/>
        </w:rPr>
        <w:t>Swanson v. Institute of Chartered Accountants of Saskatchewan</w:t>
      </w:r>
      <w:r w:rsidRPr="00E21495">
        <w:rPr>
          <w:sz w:val="22"/>
          <w:szCs w:val="22"/>
        </w:rPr>
        <w:t xml:space="preserve"> (SKQB, 2007):</w:t>
      </w:r>
    </w:p>
    <w:p w14:paraId="2403F61A" w14:textId="4B4F7623" w:rsidR="0025531E" w:rsidRPr="00E21495" w:rsidRDefault="0025531E" w:rsidP="00E21495">
      <w:pPr>
        <w:rPr>
          <w:sz w:val="22"/>
          <w:szCs w:val="22"/>
        </w:rPr>
      </w:pPr>
      <w:r w:rsidRPr="00E21495">
        <w:rPr>
          <w:sz w:val="22"/>
          <w:szCs w:val="22"/>
        </w:rPr>
        <w:t>-When you are being investigated, you have the right to be informed of the identity of the complainant (subject to limitations) and the nature of the complaint.  You also have entitled to give some input</w:t>
      </w:r>
      <w:r w:rsidR="00F01CCA" w:rsidRPr="00E21495">
        <w:rPr>
          <w:sz w:val="22"/>
          <w:szCs w:val="22"/>
        </w:rPr>
        <w:t xml:space="preserve"> into the investigative process and speak with the investigator.</w:t>
      </w:r>
    </w:p>
    <w:p w14:paraId="55989BB0" w14:textId="56DFC5EE" w:rsidR="0025531E" w:rsidRPr="00E21495" w:rsidRDefault="0025531E" w:rsidP="00E21495">
      <w:pPr>
        <w:rPr>
          <w:sz w:val="22"/>
          <w:szCs w:val="22"/>
        </w:rPr>
      </w:pPr>
      <w:r w:rsidRPr="00E21495">
        <w:rPr>
          <w:sz w:val="22"/>
          <w:szCs w:val="22"/>
        </w:rPr>
        <w:t>-If you become aware of the investigation through unofficial channels, you will be deemed to be have been informed of the investigation.</w:t>
      </w:r>
    </w:p>
    <w:p w14:paraId="17113C71" w14:textId="77777777" w:rsidR="0025531E" w:rsidRPr="00D85E64" w:rsidRDefault="0025531E" w:rsidP="0025531E"/>
    <w:p w14:paraId="140B814E" w14:textId="79826446" w:rsidR="0025531E" w:rsidRPr="00D85E64" w:rsidRDefault="0025531E" w:rsidP="00DF4028">
      <w:pPr>
        <w:pStyle w:val="Heading2"/>
      </w:pPr>
      <w:bookmarkStart w:id="8" w:name="_Toc259106263"/>
      <w:r w:rsidRPr="00D85E64">
        <w:t>Result of Breach of Procedural Fairness</w:t>
      </w:r>
      <w:bookmarkEnd w:id="8"/>
    </w:p>
    <w:p w14:paraId="1A4DD0A9" w14:textId="77777777" w:rsidR="0025531E" w:rsidRPr="00D85E64" w:rsidRDefault="0025531E" w:rsidP="0025531E"/>
    <w:p w14:paraId="69031E3B" w14:textId="46EDE0F1" w:rsidR="0025531E" w:rsidRPr="00E21495" w:rsidRDefault="0025531E" w:rsidP="0025531E">
      <w:pPr>
        <w:rPr>
          <w:sz w:val="22"/>
          <w:szCs w:val="22"/>
        </w:rPr>
      </w:pPr>
      <w:r w:rsidRPr="00E21495">
        <w:rPr>
          <w:sz w:val="22"/>
          <w:szCs w:val="22"/>
        </w:rPr>
        <w:t xml:space="preserve">There are five exceptions to the rule in </w:t>
      </w:r>
      <w:r w:rsidRPr="00E21495">
        <w:rPr>
          <w:i/>
          <w:sz w:val="22"/>
          <w:szCs w:val="22"/>
        </w:rPr>
        <w:t>Cardinal</w:t>
      </w:r>
      <w:r w:rsidRPr="00E21495">
        <w:rPr>
          <w:sz w:val="22"/>
          <w:szCs w:val="22"/>
        </w:rPr>
        <w:t xml:space="preserve"> that if your procedural fairness right is breached, you automatically get a new hearing:</w:t>
      </w:r>
    </w:p>
    <w:p w14:paraId="5B8648EF" w14:textId="791453EA" w:rsidR="0025531E" w:rsidRPr="00E21495" w:rsidRDefault="0025531E" w:rsidP="00E21495">
      <w:pPr>
        <w:rPr>
          <w:sz w:val="22"/>
          <w:szCs w:val="22"/>
        </w:rPr>
      </w:pPr>
      <w:r w:rsidRPr="00E21495">
        <w:rPr>
          <w:sz w:val="22"/>
          <w:szCs w:val="22"/>
        </w:rPr>
        <w:t>-</w:t>
      </w:r>
      <w:r w:rsidR="007E552B" w:rsidRPr="00E21495">
        <w:rPr>
          <w:sz w:val="22"/>
          <w:szCs w:val="22"/>
        </w:rPr>
        <w:t xml:space="preserve">Exception 1: </w:t>
      </w:r>
      <w:r w:rsidRPr="00E21495">
        <w:rPr>
          <w:sz w:val="22"/>
          <w:szCs w:val="22"/>
        </w:rPr>
        <w:t xml:space="preserve">Triviality or Mootness: if the procedural error is so </w:t>
      </w:r>
      <w:r w:rsidR="007751A3" w:rsidRPr="00E21495">
        <w:rPr>
          <w:sz w:val="22"/>
          <w:szCs w:val="22"/>
        </w:rPr>
        <w:t>trivial</w:t>
      </w:r>
      <w:r w:rsidRPr="00E21495">
        <w:rPr>
          <w:sz w:val="22"/>
          <w:szCs w:val="22"/>
        </w:rPr>
        <w:t xml:space="preserve"> that it couldn’t possibly have changed the outcome of the decision, then there should be no remedy for the breach (triviality).  Mootness: there is no point in having a new hearing if the central issue has been bypassed by later events or has been resolved.</w:t>
      </w:r>
    </w:p>
    <w:p w14:paraId="13188370" w14:textId="1909C82D" w:rsidR="007E552B" w:rsidRPr="00E21495" w:rsidRDefault="007E552B" w:rsidP="00E21495">
      <w:pPr>
        <w:rPr>
          <w:sz w:val="22"/>
          <w:szCs w:val="22"/>
        </w:rPr>
      </w:pPr>
      <w:r w:rsidRPr="00E21495">
        <w:rPr>
          <w:sz w:val="22"/>
          <w:szCs w:val="22"/>
        </w:rPr>
        <w:t xml:space="preserve">-Exception 2: Obligation to Exhaust Internal Remedies, Prematurity, and Curing: </w:t>
      </w:r>
      <w:r w:rsidR="007751A3" w:rsidRPr="00E21495">
        <w:rPr>
          <w:sz w:val="22"/>
          <w:szCs w:val="22"/>
        </w:rPr>
        <w:t>where there is at least one avenue of redress in a tribunal silo, then the party seeking review of the initial tribunal decision must pursue that avenue before seeking judicial review (exhausting internal remedies).  Curing is the doctrine where a failure of procedural fairness occurs at a lower level in the silo and a higher level of the silo can cure it.  Prematurity states that rulings made in the course of a tribunal’s proceedings should not be challenged until the tribunal’s proceedings have been completed.</w:t>
      </w:r>
    </w:p>
    <w:p w14:paraId="654FF685" w14:textId="7336D102" w:rsidR="00BD016A" w:rsidRPr="00E21495" w:rsidRDefault="00BD016A" w:rsidP="00E21495">
      <w:pPr>
        <w:rPr>
          <w:sz w:val="22"/>
          <w:szCs w:val="22"/>
        </w:rPr>
      </w:pPr>
      <w:r w:rsidRPr="00E21495">
        <w:rPr>
          <w:sz w:val="22"/>
          <w:szCs w:val="22"/>
        </w:rPr>
        <w:t xml:space="preserve">-Exception 3: Waiver: you can waive your procedural fairness rights.  </w:t>
      </w:r>
    </w:p>
    <w:p w14:paraId="4D3384B5" w14:textId="4C76FCBA" w:rsidR="00A139D1" w:rsidRPr="00E21495" w:rsidRDefault="00A139D1" w:rsidP="00E21495">
      <w:pPr>
        <w:rPr>
          <w:sz w:val="22"/>
          <w:szCs w:val="22"/>
        </w:rPr>
      </w:pPr>
      <w:r w:rsidRPr="00E21495">
        <w:rPr>
          <w:sz w:val="22"/>
          <w:szCs w:val="22"/>
        </w:rPr>
        <w:t>-Exception 4: Doctrine of Unclean Hands.</w:t>
      </w:r>
    </w:p>
    <w:p w14:paraId="57B4253E" w14:textId="16329219" w:rsidR="00A139D1" w:rsidRPr="00E21495" w:rsidRDefault="00A139D1" w:rsidP="00E21495">
      <w:pPr>
        <w:rPr>
          <w:sz w:val="22"/>
          <w:szCs w:val="22"/>
        </w:rPr>
      </w:pPr>
      <w:r w:rsidRPr="00E21495">
        <w:rPr>
          <w:sz w:val="22"/>
          <w:szCs w:val="22"/>
        </w:rPr>
        <w:t>-Exception 5: Balance of Convenience: Court will consider whether the decision is worth quashing on a balance of convenience.</w:t>
      </w:r>
    </w:p>
    <w:p w14:paraId="2EDB4C9A" w14:textId="77777777" w:rsidR="0025531E" w:rsidRPr="00D85E64" w:rsidRDefault="0025531E" w:rsidP="0025531E"/>
    <w:p w14:paraId="27513626" w14:textId="104F2A50" w:rsidR="007751A3" w:rsidRPr="00D85E64" w:rsidRDefault="007751A3" w:rsidP="00DF4028">
      <w:pPr>
        <w:pStyle w:val="Heading3"/>
        <w:rPr>
          <w:color w:val="auto"/>
        </w:rPr>
      </w:pPr>
      <w:bookmarkStart w:id="9" w:name="_Toc259106264"/>
      <w:r w:rsidRPr="00D85E64">
        <w:rPr>
          <w:color w:val="auto"/>
        </w:rPr>
        <w:t>Exception 1: Triviality or Mootness</w:t>
      </w:r>
      <w:bookmarkEnd w:id="9"/>
    </w:p>
    <w:p w14:paraId="481705DF" w14:textId="77777777" w:rsidR="007751A3" w:rsidRPr="00D85E64" w:rsidRDefault="007751A3" w:rsidP="0025531E"/>
    <w:p w14:paraId="2E167BA0" w14:textId="43F65FC7" w:rsidR="0025531E" w:rsidRPr="00E21495" w:rsidRDefault="0025531E" w:rsidP="0025531E">
      <w:pPr>
        <w:rPr>
          <w:sz w:val="22"/>
          <w:szCs w:val="22"/>
        </w:rPr>
      </w:pPr>
      <w:r w:rsidRPr="00E21495">
        <w:rPr>
          <w:i/>
          <w:sz w:val="22"/>
          <w:szCs w:val="22"/>
        </w:rPr>
        <w:t>Westfair Foods Ltd v. United Food and Commercial Workers’ Union</w:t>
      </w:r>
      <w:r w:rsidR="00262D78" w:rsidRPr="00E21495">
        <w:rPr>
          <w:sz w:val="22"/>
          <w:szCs w:val="22"/>
        </w:rPr>
        <w:t xml:space="preserve"> (ABCA, 2007)</w:t>
      </w:r>
      <w:r w:rsidRPr="00E21495">
        <w:rPr>
          <w:sz w:val="22"/>
          <w:szCs w:val="22"/>
        </w:rPr>
        <w:t xml:space="preserve">: </w:t>
      </w:r>
    </w:p>
    <w:p w14:paraId="518A9AA4" w14:textId="5046B8F6" w:rsidR="0025531E" w:rsidRPr="00E21495" w:rsidRDefault="0025531E" w:rsidP="0025531E">
      <w:pPr>
        <w:rPr>
          <w:sz w:val="22"/>
          <w:szCs w:val="22"/>
        </w:rPr>
      </w:pPr>
      <w:r w:rsidRPr="00E21495">
        <w:rPr>
          <w:sz w:val="22"/>
          <w:szCs w:val="22"/>
        </w:rPr>
        <w:t>-Triviality.</w:t>
      </w:r>
    </w:p>
    <w:p w14:paraId="448827A1" w14:textId="13228720" w:rsidR="0025531E" w:rsidRPr="00E21495" w:rsidRDefault="002F0B97" w:rsidP="00E21495">
      <w:pPr>
        <w:rPr>
          <w:sz w:val="22"/>
          <w:szCs w:val="22"/>
        </w:rPr>
      </w:pPr>
      <w:r w:rsidRPr="00E21495">
        <w:rPr>
          <w:sz w:val="22"/>
          <w:szCs w:val="22"/>
        </w:rPr>
        <w:t xml:space="preserve">-Where there </w:t>
      </w:r>
      <w:r w:rsidR="00262D78" w:rsidRPr="00E21495">
        <w:rPr>
          <w:sz w:val="22"/>
          <w:szCs w:val="22"/>
        </w:rPr>
        <w:t>is</w:t>
      </w:r>
      <w:r w:rsidRPr="00E21495">
        <w:rPr>
          <w:sz w:val="22"/>
          <w:szCs w:val="22"/>
        </w:rPr>
        <w:t xml:space="preserve"> nothing new or significant i</w:t>
      </w:r>
      <w:r w:rsidR="00262D78" w:rsidRPr="00E21495">
        <w:rPr>
          <w:sz w:val="22"/>
          <w:szCs w:val="22"/>
        </w:rPr>
        <w:t xml:space="preserve">n the post-hearing submissions, </w:t>
      </w:r>
      <w:r w:rsidRPr="00E21495">
        <w:rPr>
          <w:sz w:val="22"/>
          <w:szCs w:val="22"/>
        </w:rPr>
        <w:t xml:space="preserve">then a breach of procedural fairness </w:t>
      </w:r>
      <w:r w:rsidR="00262D78" w:rsidRPr="00E21495">
        <w:rPr>
          <w:sz w:val="22"/>
          <w:szCs w:val="22"/>
        </w:rPr>
        <w:t>related to those submissions will not justify the quashing of the decision.</w:t>
      </w:r>
    </w:p>
    <w:p w14:paraId="7301478B" w14:textId="77777777" w:rsidR="00262D78" w:rsidRPr="00E21495" w:rsidRDefault="00262D78" w:rsidP="00262D78">
      <w:pPr>
        <w:rPr>
          <w:sz w:val="22"/>
          <w:szCs w:val="22"/>
        </w:rPr>
      </w:pPr>
    </w:p>
    <w:p w14:paraId="2EA69232" w14:textId="7FF8EE14" w:rsidR="00262D78" w:rsidRPr="00E21495" w:rsidRDefault="00262D78" w:rsidP="00262D78">
      <w:pPr>
        <w:rPr>
          <w:sz w:val="22"/>
          <w:szCs w:val="22"/>
        </w:rPr>
      </w:pPr>
      <w:r w:rsidRPr="00E21495">
        <w:rPr>
          <w:i/>
          <w:sz w:val="22"/>
          <w:szCs w:val="22"/>
        </w:rPr>
        <w:t>Compass Group Canada (Health Services) v</w:t>
      </w:r>
      <w:r w:rsidR="005A0B3E" w:rsidRPr="00E21495">
        <w:rPr>
          <w:i/>
          <w:sz w:val="22"/>
          <w:szCs w:val="22"/>
        </w:rPr>
        <w:t>.</w:t>
      </w:r>
      <w:r w:rsidRPr="00E21495">
        <w:rPr>
          <w:i/>
          <w:sz w:val="22"/>
          <w:szCs w:val="22"/>
        </w:rPr>
        <w:t xml:space="preserve"> Hospital Employees’ Union</w:t>
      </w:r>
      <w:r w:rsidRPr="00E21495">
        <w:rPr>
          <w:sz w:val="22"/>
          <w:szCs w:val="22"/>
        </w:rPr>
        <w:t xml:space="preserve"> (BCCA, 2007):</w:t>
      </w:r>
    </w:p>
    <w:p w14:paraId="398880F1" w14:textId="443286BE" w:rsidR="00262D78" w:rsidRPr="00E21495" w:rsidRDefault="00262D78" w:rsidP="00262D78">
      <w:pPr>
        <w:rPr>
          <w:sz w:val="22"/>
          <w:szCs w:val="22"/>
        </w:rPr>
      </w:pPr>
      <w:r w:rsidRPr="00E21495">
        <w:rPr>
          <w:sz w:val="22"/>
          <w:szCs w:val="22"/>
        </w:rPr>
        <w:t>-Triviality.</w:t>
      </w:r>
    </w:p>
    <w:p w14:paraId="2EFECF44" w14:textId="0C713D50" w:rsidR="00262D78" w:rsidRPr="00E21495" w:rsidRDefault="00262D78" w:rsidP="00E21495">
      <w:pPr>
        <w:rPr>
          <w:sz w:val="22"/>
          <w:szCs w:val="22"/>
        </w:rPr>
      </w:pPr>
      <w:r w:rsidRPr="00E21495">
        <w:rPr>
          <w:sz w:val="22"/>
          <w:szCs w:val="22"/>
        </w:rPr>
        <w:t xml:space="preserve">-If the breach was insignificant and the Court knows with near certainty that the decision be the same if it is quashed and sent back to the tribunal, then the court will uphold the decision because there is no practical utility </w:t>
      </w:r>
      <w:r w:rsidR="00A75C87" w:rsidRPr="00E21495">
        <w:rPr>
          <w:sz w:val="22"/>
          <w:szCs w:val="22"/>
        </w:rPr>
        <w:t>in sending it back</w:t>
      </w:r>
      <w:r w:rsidR="005A0B3E" w:rsidRPr="00E21495">
        <w:rPr>
          <w:sz w:val="22"/>
          <w:szCs w:val="22"/>
        </w:rPr>
        <w:t>.</w:t>
      </w:r>
    </w:p>
    <w:p w14:paraId="5A8E6D89" w14:textId="77777777" w:rsidR="00262D78" w:rsidRPr="00E21495" w:rsidRDefault="00262D78" w:rsidP="00262D78">
      <w:pPr>
        <w:rPr>
          <w:sz w:val="22"/>
          <w:szCs w:val="22"/>
        </w:rPr>
      </w:pPr>
    </w:p>
    <w:p w14:paraId="250D1596" w14:textId="68696E08" w:rsidR="00262D78" w:rsidRPr="00E21495" w:rsidRDefault="00262D78" w:rsidP="00262D78">
      <w:pPr>
        <w:rPr>
          <w:sz w:val="22"/>
          <w:szCs w:val="22"/>
        </w:rPr>
      </w:pPr>
      <w:r w:rsidRPr="00E21495">
        <w:rPr>
          <w:i/>
          <w:sz w:val="22"/>
          <w:szCs w:val="22"/>
        </w:rPr>
        <w:t>Moose Jaw Central Bingo Assn. v. Saskatchewan</w:t>
      </w:r>
      <w:r w:rsidRPr="00E21495">
        <w:rPr>
          <w:sz w:val="22"/>
          <w:szCs w:val="22"/>
        </w:rPr>
        <w:t xml:space="preserve"> (</w:t>
      </w:r>
      <w:r w:rsidR="006131E5" w:rsidRPr="00E21495">
        <w:rPr>
          <w:sz w:val="22"/>
          <w:szCs w:val="22"/>
        </w:rPr>
        <w:t>SKCA, 1994):</w:t>
      </w:r>
    </w:p>
    <w:p w14:paraId="2FAF1A46" w14:textId="6167F000" w:rsidR="006131E5" w:rsidRPr="00E21495" w:rsidRDefault="006131E5" w:rsidP="00262D78">
      <w:pPr>
        <w:rPr>
          <w:sz w:val="22"/>
          <w:szCs w:val="22"/>
        </w:rPr>
      </w:pPr>
      <w:r w:rsidRPr="00E21495">
        <w:rPr>
          <w:sz w:val="22"/>
          <w:szCs w:val="22"/>
        </w:rPr>
        <w:t>-Mootness.</w:t>
      </w:r>
    </w:p>
    <w:p w14:paraId="00D97C23" w14:textId="01A9D9D3" w:rsidR="007E552B" w:rsidRPr="00E21495" w:rsidRDefault="006131E5" w:rsidP="00E21495">
      <w:pPr>
        <w:rPr>
          <w:sz w:val="22"/>
          <w:szCs w:val="22"/>
        </w:rPr>
      </w:pPr>
      <w:r w:rsidRPr="00E21495">
        <w:rPr>
          <w:sz w:val="22"/>
          <w:szCs w:val="22"/>
        </w:rPr>
        <w:t>-</w:t>
      </w:r>
      <w:r w:rsidR="007E552B" w:rsidRPr="00E21495">
        <w:rPr>
          <w:sz w:val="22"/>
          <w:szCs w:val="22"/>
        </w:rPr>
        <w:t>Remedies of mandamus and certiorari are discretionary and flow from inherent jurisdiction of the court.  If granting the remedy would be futile, the Court retains the power to withhold the remedy even if there was a breach of procedural fairness.</w:t>
      </w:r>
    </w:p>
    <w:p w14:paraId="1C403A87" w14:textId="77777777" w:rsidR="007E552B" w:rsidRPr="00E21495" w:rsidRDefault="007E552B" w:rsidP="007E552B">
      <w:pPr>
        <w:rPr>
          <w:sz w:val="22"/>
          <w:szCs w:val="22"/>
        </w:rPr>
      </w:pPr>
    </w:p>
    <w:p w14:paraId="3BA75D97" w14:textId="69EB31FF" w:rsidR="007E552B" w:rsidRPr="00E21495" w:rsidRDefault="007E552B" w:rsidP="007E552B">
      <w:pPr>
        <w:rPr>
          <w:sz w:val="22"/>
          <w:szCs w:val="22"/>
        </w:rPr>
      </w:pPr>
      <w:r w:rsidRPr="00E21495">
        <w:rPr>
          <w:i/>
          <w:sz w:val="22"/>
          <w:szCs w:val="22"/>
        </w:rPr>
        <w:t>Bago v. Canada</w:t>
      </w:r>
      <w:r w:rsidRPr="00E21495">
        <w:rPr>
          <w:sz w:val="22"/>
          <w:szCs w:val="22"/>
        </w:rPr>
        <w:t xml:space="preserve"> (FC, 2004):</w:t>
      </w:r>
    </w:p>
    <w:p w14:paraId="13249F93" w14:textId="77777777" w:rsidR="00A75C87" w:rsidRPr="00E21495" w:rsidRDefault="00A75C87" w:rsidP="00E21495">
      <w:pPr>
        <w:rPr>
          <w:sz w:val="22"/>
          <w:szCs w:val="22"/>
        </w:rPr>
      </w:pPr>
      <w:r w:rsidRPr="00E21495">
        <w:rPr>
          <w:sz w:val="22"/>
          <w:szCs w:val="22"/>
        </w:rPr>
        <w:t>-Court must be very cautious in striking out judicial review applications.  Mootness is an exceptional circumstance.</w:t>
      </w:r>
    </w:p>
    <w:p w14:paraId="29CB0472" w14:textId="01BADFC1" w:rsidR="007E552B" w:rsidRPr="00E21495" w:rsidRDefault="007E552B" w:rsidP="00E21495">
      <w:pPr>
        <w:rPr>
          <w:sz w:val="22"/>
          <w:szCs w:val="22"/>
        </w:rPr>
      </w:pPr>
      <w:r w:rsidRPr="00E21495">
        <w:rPr>
          <w:sz w:val="22"/>
          <w:szCs w:val="22"/>
        </w:rPr>
        <w:t>-Three policy considerations underlying the doctrine of mootness:</w:t>
      </w:r>
    </w:p>
    <w:p w14:paraId="4D93F06E" w14:textId="6B6F2D0E" w:rsidR="007E552B" w:rsidRPr="00E21495" w:rsidRDefault="007E552B" w:rsidP="007E552B">
      <w:pPr>
        <w:rPr>
          <w:sz w:val="22"/>
          <w:szCs w:val="22"/>
        </w:rPr>
      </w:pPr>
      <w:r w:rsidRPr="00E21495">
        <w:rPr>
          <w:sz w:val="22"/>
          <w:szCs w:val="22"/>
        </w:rPr>
        <w:tab/>
        <w:t>1.) the existence of an adversarial context;</w:t>
      </w:r>
    </w:p>
    <w:p w14:paraId="3F7B8474" w14:textId="3CB85CF5" w:rsidR="007E552B" w:rsidRPr="00E21495" w:rsidRDefault="007E552B" w:rsidP="00E21495">
      <w:pPr>
        <w:ind w:firstLine="720"/>
        <w:rPr>
          <w:sz w:val="22"/>
          <w:szCs w:val="22"/>
        </w:rPr>
      </w:pPr>
      <w:r w:rsidRPr="00E21495">
        <w:rPr>
          <w:sz w:val="22"/>
          <w:szCs w:val="22"/>
        </w:rPr>
        <w:t>2.) judicial economy and conservation of judicial resources; and</w:t>
      </w:r>
    </w:p>
    <w:p w14:paraId="00951D7A" w14:textId="6BE61898" w:rsidR="007E552B" w:rsidRPr="00E21495" w:rsidRDefault="007E552B" w:rsidP="00E21495">
      <w:pPr>
        <w:ind w:firstLine="720"/>
        <w:rPr>
          <w:sz w:val="22"/>
          <w:szCs w:val="22"/>
        </w:rPr>
      </w:pPr>
      <w:r w:rsidRPr="00E21495">
        <w:rPr>
          <w:sz w:val="22"/>
          <w:szCs w:val="22"/>
        </w:rPr>
        <w:t>3.) a need for the Court to demonstrate awareness of its proper function.</w:t>
      </w:r>
    </w:p>
    <w:p w14:paraId="311D48D1" w14:textId="77777777" w:rsidR="007E552B" w:rsidRPr="00E21495" w:rsidRDefault="007E552B" w:rsidP="007E552B">
      <w:pPr>
        <w:ind w:left="720" w:firstLine="720"/>
        <w:rPr>
          <w:sz w:val="22"/>
          <w:szCs w:val="22"/>
        </w:rPr>
      </w:pPr>
    </w:p>
    <w:p w14:paraId="13AB1339" w14:textId="25C18F36" w:rsidR="007E552B" w:rsidRPr="00E21495" w:rsidRDefault="007E552B" w:rsidP="007E552B">
      <w:pPr>
        <w:rPr>
          <w:sz w:val="22"/>
          <w:szCs w:val="22"/>
        </w:rPr>
      </w:pPr>
      <w:r w:rsidRPr="00E21495">
        <w:rPr>
          <w:i/>
          <w:sz w:val="22"/>
          <w:szCs w:val="22"/>
        </w:rPr>
        <w:t xml:space="preserve">Mobil Oil Canada v. Canada-Nfld. Offshore Petroleum Board </w:t>
      </w:r>
      <w:r w:rsidRPr="00E21495">
        <w:rPr>
          <w:sz w:val="22"/>
          <w:szCs w:val="22"/>
        </w:rPr>
        <w:t>(SCC, 1994):</w:t>
      </w:r>
    </w:p>
    <w:p w14:paraId="7109F324" w14:textId="2C643276" w:rsidR="007E552B" w:rsidRPr="00E21495" w:rsidRDefault="007E552B" w:rsidP="00E21495">
      <w:pPr>
        <w:rPr>
          <w:sz w:val="22"/>
          <w:szCs w:val="22"/>
        </w:rPr>
      </w:pPr>
      <w:r w:rsidRPr="00E21495">
        <w:rPr>
          <w:sz w:val="22"/>
          <w:szCs w:val="22"/>
        </w:rPr>
        <w:t>-Where the legal outcome is certain, then sending the matter back to the tribunal would be moot.</w:t>
      </w:r>
    </w:p>
    <w:p w14:paraId="1AF0ABAB" w14:textId="77777777" w:rsidR="007E552B" w:rsidRPr="00E21495" w:rsidRDefault="007E552B" w:rsidP="007E552B">
      <w:pPr>
        <w:rPr>
          <w:sz w:val="22"/>
          <w:szCs w:val="22"/>
        </w:rPr>
      </w:pPr>
    </w:p>
    <w:p w14:paraId="2CD39572" w14:textId="06752E5C" w:rsidR="007751A3" w:rsidRPr="00D85E64" w:rsidRDefault="007751A3" w:rsidP="00DF4028">
      <w:pPr>
        <w:pStyle w:val="Heading3"/>
        <w:rPr>
          <w:color w:val="auto"/>
        </w:rPr>
      </w:pPr>
      <w:bookmarkStart w:id="10" w:name="_Toc259106265"/>
      <w:r w:rsidRPr="00D85E64">
        <w:rPr>
          <w:color w:val="auto"/>
        </w:rPr>
        <w:t>Exception 2: Obligati</w:t>
      </w:r>
      <w:r w:rsidR="00DF4028" w:rsidRPr="00D85E64">
        <w:rPr>
          <w:color w:val="auto"/>
        </w:rPr>
        <w:t>on to Exhaust Internal Remedies</w:t>
      </w:r>
      <w:bookmarkEnd w:id="10"/>
    </w:p>
    <w:p w14:paraId="1A360BD0" w14:textId="77777777" w:rsidR="007751A3" w:rsidRPr="00D85E64" w:rsidRDefault="007751A3" w:rsidP="007E552B"/>
    <w:p w14:paraId="1759968A" w14:textId="6CD49126" w:rsidR="007751A3" w:rsidRPr="00E21495" w:rsidRDefault="007751A3" w:rsidP="007E552B">
      <w:pPr>
        <w:rPr>
          <w:sz w:val="22"/>
          <w:szCs w:val="22"/>
        </w:rPr>
      </w:pPr>
      <w:r w:rsidRPr="00E21495">
        <w:rPr>
          <w:i/>
          <w:sz w:val="22"/>
          <w:szCs w:val="22"/>
        </w:rPr>
        <w:t>Harelkin v. University of Regina</w:t>
      </w:r>
      <w:r w:rsidRPr="00E21495">
        <w:rPr>
          <w:sz w:val="22"/>
          <w:szCs w:val="22"/>
        </w:rPr>
        <w:t xml:space="preserve"> (SCC, 1979):</w:t>
      </w:r>
    </w:p>
    <w:p w14:paraId="62F0F33D" w14:textId="232051FF" w:rsidR="007751A3" w:rsidRPr="00E21495" w:rsidRDefault="007751A3" w:rsidP="007E552B">
      <w:pPr>
        <w:rPr>
          <w:sz w:val="22"/>
          <w:szCs w:val="22"/>
        </w:rPr>
      </w:pPr>
      <w:r w:rsidRPr="00E21495">
        <w:rPr>
          <w:sz w:val="22"/>
          <w:szCs w:val="22"/>
        </w:rPr>
        <w:t>-Cite this case for obligation to exhaust internal remedies.</w:t>
      </w:r>
    </w:p>
    <w:p w14:paraId="177EA9B7" w14:textId="4BE447B4" w:rsidR="007751A3" w:rsidRPr="00E21495" w:rsidRDefault="007751A3" w:rsidP="00E21495">
      <w:pPr>
        <w:rPr>
          <w:sz w:val="22"/>
          <w:szCs w:val="22"/>
        </w:rPr>
      </w:pPr>
      <w:r w:rsidRPr="00E21495">
        <w:rPr>
          <w:sz w:val="22"/>
          <w:szCs w:val="22"/>
        </w:rPr>
        <w:t xml:space="preserve">-Where there is a convenient alternative remedy, the granting of judicial review is discretionary and involves considerations of expediency and expense as well as efficacious administration of justice.  </w:t>
      </w:r>
    </w:p>
    <w:p w14:paraId="6F49D32B" w14:textId="7E36FFCB" w:rsidR="00A75C87" w:rsidRPr="00E21495" w:rsidRDefault="00A75C87" w:rsidP="00E21495">
      <w:pPr>
        <w:rPr>
          <w:sz w:val="22"/>
          <w:szCs w:val="22"/>
        </w:rPr>
      </w:pPr>
      <w:r w:rsidRPr="00E21495">
        <w:rPr>
          <w:sz w:val="22"/>
          <w:szCs w:val="22"/>
        </w:rPr>
        <w:t>-The Courts should not use their discretion to promote delay and expenditure unless there is no other way to protect a right.</w:t>
      </w:r>
    </w:p>
    <w:p w14:paraId="2E102703" w14:textId="77777777" w:rsidR="007751A3" w:rsidRPr="00E21495" w:rsidRDefault="007751A3" w:rsidP="007E552B">
      <w:pPr>
        <w:rPr>
          <w:sz w:val="22"/>
          <w:szCs w:val="22"/>
        </w:rPr>
      </w:pPr>
    </w:p>
    <w:p w14:paraId="08E280DB" w14:textId="45F7BB57" w:rsidR="007751A3" w:rsidRPr="00E21495" w:rsidRDefault="007751A3" w:rsidP="007E552B">
      <w:pPr>
        <w:rPr>
          <w:sz w:val="22"/>
          <w:szCs w:val="22"/>
        </w:rPr>
      </w:pPr>
      <w:r w:rsidRPr="00E21495">
        <w:rPr>
          <w:i/>
          <w:sz w:val="22"/>
          <w:szCs w:val="22"/>
        </w:rPr>
        <w:t>Zundel v. Canada</w:t>
      </w:r>
      <w:r w:rsidRPr="00E21495">
        <w:rPr>
          <w:sz w:val="22"/>
          <w:szCs w:val="22"/>
        </w:rPr>
        <w:t xml:space="preserve"> (FCA, 2000):</w:t>
      </w:r>
    </w:p>
    <w:p w14:paraId="31D15006" w14:textId="29F66A4C" w:rsidR="007751A3" w:rsidRPr="00E21495" w:rsidRDefault="007751A3" w:rsidP="007E552B">
      <w:pPr>
        <w:rPr>
          <w:sz w:val="22"/>
          <w:szCs w:val="22"/>
        </w:rPr>
      </w:pPr>
      <w:r w:rsidRPr="00E21495">
        <w:rPr>
          <w:sz w:val="22"/>
          <w:szCs w:val="22"/>
        </w:rPr>
        <w:t>-Cite this case for prematurity.</w:t>
      </w:r>
    </w:p>
    <w:p w14:paraId="06F34BB1" w14:textId="77777777" w:rsidR="00466DE5" w:rsidRPr="00E21495" w:rsidRDefault="007751A3" w:rsidP="00E21495">
      <w:pPr>
        <w:rPr>
          <w:sz w:val="22"/>
          <w:szCs w:val="22"/>
        </w:rPr>
      </w:pPr>
      <w:r w:rsidRPr="00E21495">
        <w:rPr>
          <w:sz w:val="22"/>
          <w:szCs w:val="22"/>
        </w:rPr>
        <w:t>-Courts do not want to fragment tribunal proceedings by permitting the judicial review of interim decisions, unless those decisions involve al</w:t>
      </w:r>
      <w:r w:rsidR="00BD016A" w:rsidRPr="00E21495">
        <w:rPr>
          <w:sz w:val="22"/>
          <w:szCs w:val="22"/>
        </w:rPr>
        <w:t>legations of</w:t>
      </w:r>
      <w:r w:rsidR="00466DE5" w:rsidRPr="00E21495">
        <w:rPr>
          <w:sz w:val="22"/>
          <w:szCs w:val="22"/>
        </w:rPr>
        <w:t xml:space="preserve"> institutional</w:t>
      </w:r>
      <w:r w:rsidR="00BD016A" w:rsidRPr="00E21495">
        <w:rPr>
          <w:sz w:val="22"/>
          <w:szCs w:val="22"/>
        </w:rPr>
        <w:t xml:space="preserve"> bias.  </w:t>
      </w:r>
    </w:p>
    <w:p w14:paraId="1F001399" w14:textId="6A39F62C" w:rsidR="00A75C87" w:rsidRPr="00E21495" w:rsidRDefault="00466DE5" w:rsidP="00E21495">
      <w:pPr>
        <w:rPr>
          <w:sz w:val="22"/>
          <w:szCs w:val="22"/>
        </w:rPr>
      </w:pPr>
      <w:r w:rsidRPr="00E21495">
        <w:rPr>
          <w:sz w:val="22"/>
          <w:szCs w:val="22"/>
        </w:rPr>
        <w:t>-Hoole: f</w:t>
      </w:r>
      <w:r w:rsidR="00BD016A" w:rsidRPr="00E21495">
        <w:rPr>
          <w:sz w:val="22"/>
          <w:szCs w:val="22"/>
        </w:rPr>
        <w:t xml:space="preserve">or claims of </w:t>
      </w:r>
      <w:r w:rsidRPr="00E21495">
        <w:rPr>
          <w:sz w:val="22"/>
          <w:szCs w:val="22"/>
        </w:rPr>
        <w:t xml:space="preserve">individual </w:t>
      </w:r>
      <w:r w:rsidR="00BD016A" w:rsidRPr="00E21495">
        <w:rPr>
          <w:sz w:val="22"/>
          <w:szCs w:val="22"/>
        </w:rPr>
        <w:t>bias, you should make your complaint at the tribunal and then reserve your right to bring a judicial review application based on bias if you lose.</w:t>
      </w:r>
    </w:p>
    <w:p w14:paraId="4159ECF5" w14:textId="77777777" w:rsidR="00BD016A" w:rsidRPr="00E21495" w:rsidRDefault="00BD016A" w:rsidP="00BD016A">
      <w:pPr>
        <w:rPr>
          <w:sz w:val="22"/>
          <w:szCs w:val="22"/>
        </w:rPr>
      </w:pPr>
    </w:p>
    <w:p w14:paraId="1FEBBA8E" w14:textId="3F494440" w:rsidR="00BD016A" w:rsidRPr="00E21495" w:rsidRDefault="00BD016A" w:rsidP="00BD016A">
      <w:pPr>
        <w:rPr>
          <w:sz w:val="22"/>
          <w:szCs w:val="22"/>
        </w:rPr>
      </w:pPr>
      <w:r w:rsidRPr="00E21495">
        <w:rPr>
          <w:i/>
          <w:sz w:val="22"/>
          <w:szCs w:val="22"/>
        </w:rPr>
        <w:t>Secord v. Saint John</w:t>
      </w:r>
      <w:r w:rsidRPr="00E21495">
        <w:rPr>
          <w:sz w:val="22"/>
          <w:szCs w:val="22"/>
        </w:rPr>
        <w:t xml:space="preserve"> (NLQB, 2006):</w:t>
      </w:r>
    </w:p>
    <w:p w14:paraId="03145D3B" w14:textId="4359E525" w:rsidR="00BD016A" w:rsidRPr="00E21495" w:rsidRDefault="00BD016A" w:rsidP="00E21495">
      <w:pPr>
        <w:rPr>
          <w:sz w:val="22"/>
          <w:szCs w:val="22"/>
        </w:rPr>
      </w:pPr>
      <w:r w:rsidRPr="00E21495">
        <w:rPr>
          <w:sz w:val="22"/>
          <w:szCs w:val="22"/>
        </w:rPr>
        <w:t xml:space="preserve">-Where you are arguing that the tribunal has no jurisdiction, you can seek judicial review right away (exception to </w:t>
      </w:r>
      <w:r w:rsidRPr="00E21495">
        <w:rPr>
          <w:i/>
          <w:sz w:val="22"/>
          <w:szCs w:val="22"/>
        </w:rPr>
        <w:t>Zundel</w:t>
      </w:r>
      <w:r w:rsidRPr="00E21495">
        <w:rPr>
          <w:sz w:val="22"/>
          <w:szCs w:val="22"/>
        </w:rPr>
        <w:t>).</w:t>
      </w:r>
    </w:p>
    <w:p w14:paraId="6AB8971A" w14:textId="77777777" w:rsidR="00BD016A" w:rsidRPr="00E21495" w:rsidRDefault="00BD016A" w:rsidP="00BD016A">
      <w:pPr>
        <w:rPr>
          <w:sz w:val="22"/>
          <w:szCs w:val="22"/>
        </w:rPr>
      </w:pPr>
    </w:p>
    <w:p w14:paraId="4689B868" w14:textId="02CFDD3E" w:rsidR="00BD016A" w:rsidRPr="00E21495" w:rsidRDefault="00BD016A" w:rsidP="00BD016A">
      <w:pPr>
        <w:rPr>
          <w:sz w:val="22"/>
          <w:szCs w:val="22"/>
        </w:rPr>
      </w:pPr>
      <w:r w:rsidRPr="00E21495">
        <w:rPr>
          <w:i/>
          <w:sz w:val="22"/>
          <w:szCs w:val="22"/>
        </w:rPr>
        <w:t xml:space="preserve">Taiga Works v. BC </w:t>
      </w:r>
      <w:r w:rsidRPr="00E21495">
        <w:rPr>
          <w:sz w:val="22"/>
          <w:szCs w:val="22"/>
        </w:rPr>
        <w:t>(BCCA, 2010):</w:t>
      </w:r>
    </w:p>
    <w:p w14:paraId="2C744034" w14:textId="1C7C3D7F" w:rsidR="00BD016A" w:rsidRPr="00E21495" w:rsidRDefault="00BD016A" w:rsidP="00E21495">
      <w:pPr>
        <w:rPr>
          <w:sz w:val="22"/>
          <w:szCs w:val="22"/>
        </w:rPr>
      </w:pPr>
      <w:r w:rsidRPr="00E21495">
        <w:rPr>
          <w:sz w:val="22"/>
          <w:szCs w:val="22"/>
        </w:rPr>
        <w:t>-Tribunal silos should be able to cure procedural defects at lower levels of the silo.  Where the tribunal silo cannot cure the defects, then judicial review is available.</w:t>
      </w:r>
    </w:p>
    <w:p w14:paraId="0269486B" w14:textId="77777777" w:rsidR="00BD016A" w:rsidRPr="00E21495" w:rsidRDefault="00BD016A" w:rsidP="00BD016A">
      <w:pPr>
        <w:rPr>
          <w:sz w:val="22"/>
          <w:szCs w:val="22"/>
        </w:rPr>
      </w:pPr>
    </w:p>
    <w:p w14:paraId="106C0EB0" w14:textId="468431E0" w:rsidR="00BD016A" w:rsidRPr="00D85E64" w:rsidRDefault="00DF4028" w:rsidP="00DF4028">
      <w:pPr>
        <w:pStyle w:val="Heading2"/>
      </w:pPr>
      <w:bookmarkStart w:id="11" w:name="_Toc259106266"/>
      <w:r w:rsidRPr="00D85E64">
        <w:t>Waiver</w:t>
      </w:r>
      <w:bookmarkEnd w:id="11"/>
    </w:p>
    <w:p w14:paraId="2B673CDD" w14:textId="5B79221C" w:rsidR="00BD016A" w:rsidRPr="00D85E64" w:rsidRDefault="00BD016A" w:rsidP="00BD016A">
      <w:r w:rsidRPr="00D85E64">
        <w:tab/>
      </w:r>
    </w:p>
    <w:p w14:paraId="511E6436" w14:textId="14C90CCC" w:rsidR="00BD016A" w:rsidRPr="00E21495" w:rsidRDefault="00BD016A" w:rsidP="00BD016A">
      <w:pPr>
        <w:rPr>
          <w:sz w:val="22"/>
          <w:szCs w:val="22"/>
        </w:rPr>
      </w:pPr>
      <w:r w:rsidRPr="00E21495">
        <w:rPr>
          <w:i/>
          <w:sz w:val="22"/>
          <w:szCs w:val="22"/>
        </w:rPr>
        <w:t>Allard v. Assessor of Area #10</w:t>
      </w:r>
      <w:r w:rsidRPr="00E21495">
        <w:rPr>
          <w:sz w:val="22"/>
          <w:szCs w:val="22"/>
        </w:rPr>
        <w:t xml:space="preserve"> (BCCA, 2010):</w:t>
      </w:r>
    </w:p>
    <w:p w14:paraId="18DE5408" w14:textId="349454A6" w:rsidR="00BD016A" w:rsidRPr="00E21495" w:rsidRDefault="00BD016A" w:rsidP="00E21495">
      <w:pPr>
        <w:rPr>
          <w:sz w:val="22"/>
          <w:szCs w:val="22"/>
        </w:rPr>
      </w:pPr>
      <w:r w:rsidRPr="00E21495">
        <w:rPr>
          <w:sz w:val="22"/>
          <w:szCs w:val="22"/>
        </w:rPr>
        <w:t>-If you don’t press the tribunal on breaches of procedural fairness, you may be deemed to have waived your procedural fairness rights.</w:t>
      </w:r>
      <w:r w:rsidR="00466DE5" w:rsidRPr="00E21495">
        <w:rPr>
          <w:sz w:val="22"/>
          <w:szCs w:val="22"/>
        </w:rPr>
        <w:t xml:space="preserve">  You need to put your complaint on the record.</w:t>
      </w:r>
    </w:p>
    <w:p w14:paraId="56F78754" w14:textId="77777777" w:rsidR="00A51308" w:rsidRPr="00E21495" w:rsidRDefault="00A51308" w:rsidP="00A51308">
      <w:pPr>
        <w:rPr>
          <w:sz w:val="22"/>
          <w:szCs w:val="22"/>
        </w:rPr>
      </w:pPr>
    </w:p>
    <w:p w14:paraId="710F8671" w14:textId="7B05D740" w:rsidR="00A51308" w:rsidRPr="00E21495" w:rsidRDefault="00A419A8" w:rsidP="00A51308">
      <w:pPr>
        <w:rPr>
          <w:sz w:val="22"/>
          <w:szCs w:val="22"/>
        </w:rPr>
      </w:pPr>
      <w:r w:rsidRPr="00E21495">
        <w:rPr>
          <w:i/>
          <w:sz w:val="22"/>
          <w:szCs w:val="22"/>
        </w:rPr>
        <w:t xml:space="preserve">Cougar Aviation Ltd v. Canada </w:t>
      </w:r>
      <w:r w:rsidRPr="00E21495">
        <w:rPr>
          <w:sz w:val="22"/>
          <w:szCs w:val="22"/>
        </w:rPr>
        <w:t>(FCA, 2000):</w:t>
      </w:r>
    </w:p>
    <w:p w14:paraId="090AB58A" w14:textId="77777777" w:rsidR="00466DE5" w:rsidRPr="00E21495" w:rsidRDefault="00A419A8" w:rsidP="00E21495">
      <w:pPr>
        <w:rPr>
          <w:sz w:val="22"/>
          <w:szCs w:val="22"/>
        </w:rPr>
      </w:pPr>
      <w:r w:rsidRPr="00E21495">
        <w:rPr>
          <w:sz w:val="22"/>
          <w:szCs w:val="22"/>
        </w:rPr>
        <w:t xml:space="preserve">-Allegations of </w:t>
      </w:r>
      <w:r w:rsidR="00466DE5" w:rsidRPr="00E21495">
        <w:rPr>
          <w:sz w:val="22"/>
          <w:szCs w:val="22"/>
        </w:rPr>
        <w:t xml:space="preserve">reasonable apprehension of </w:t>
      </w:r>
      <w:r w:rsidRPr="00E21495">
        <w:rPr>
          <w:sz w:val="22"/>
          <w:szCs w:val="22"/>
        </w:rPr>
        <w:t xml:space="preserve">bias must normally be raised at the earliest practicable opportunity.  If not taken in a timely fashion, an objection will be regarded as waived.  </w:t>
      </w:r>
    </w:p>
    <w:p w14:paraId="7BFEDA33" w14:textId="75073F9C" w:rsidR="00A419A8" w:rsidRPr="00E21495" w:rsidRDefault="00466DE5" w:rsidP="00E21495">
      <w:pPr>
        <w:rPr>
          <w:sz w:val="22"/>
          <w:szCs w:val="22"/>
        </w:rPr>
      </w:pPr>
      <w:r w:rsidRPr="00E21495">
        <w:rPr>
          <w:sz w:val="22"/>
          <w:szCs w:val="22"/>
        </w:rPr>
        <w:t>-</w:t>
      </w:r>
      <w:r w:rsidR="00A419A8" w:rsidRPr="00E21495">
        <w:rPr>
          <w:sz w:val="22"/>
          <w:szCs w:val="22"/>
        </w:rPr>
        <w:t>Cannot be used by the unsuccessful party to impugn the validity of the decision if there have been no objections.  If you don’t raise the allegation of bias at the tribunal, you are barred from raising it at judicial review.</w:t>
      </w:r>
    </w:p>
    <w:p w14:paraId="16BB5B8A" w14:textId="77777777" w:rsidR="00A419A8" w:rsidRPr="00E21495" w:rsidRDefault="00A419A8" w:rsidP="00A419A8">
      <w:pPr>
        <w:rPr>
          <w:sz w:val="22"/>
          <w:szCs w:val="22"/>
        </w:rPr>
      </w:pPr>
    </w:p>
    <w:p w14:paraId="2CB37CD3" w14:textId="30148F8A" w:rsidR="00A419A8" w:rsidRPr="00E21495" w:rsidRDefault="00A419A8" w:rsidP="00A419A8">
      <w:pPr>
        <w:rPr>
          <w:sz w:val="22"/>
          <w:szCs w:val="22"/>
        </w:rPr>
      </w:pPr>
      <w:r w:rsidRPr="00E21495">
        <w:rPr>
          <w:i/>
          <w:sz w:val="22"/>
          <w:szCs w:val="22"/>
        </w:rPr>
        <w:t>Kvelashvili v. Canada (Minister of Citizenship and Immigration)</w:t>
      </w:r>
      <w:r w:rsidRPr="00E21495">
        <w:rPr>
          <w:sz w:val="22"/>
          <w:szCs w:val="22"/>
        </w:rPr>
        <w:t xml:space="preserve"> (FC, 2000):</w:t>
      </w:r>
    </w:p>
    <w:p w14:paraId="7CC86D43" w14:textId="01D72845" w:rsidR="00A419A8" w:rsidRPr="00E21495" w:rsidRDefault="00A419A8" w:rsidP="00E21495">
      <w:pPr>
        <w:rPr>
          <w:sz w:val="22"/>
          <w:szCs w:val="22"/>
        </w:rPr>
      </w:pPr>
      <w:r w:rsidRPr="00E21495">
        <w:rPr>
          <w:sz w:val="22"/>
          <w:szCs w:val="22"/>
        </w:rPr>
        <w:t xml:space="preserve">-In order to waive, the party must be reasonably sophisticated and must have received advice regarding their choice to waive.  </w:t>
      </w:r>
    </w:p>
    <w:p w14:paraId="45525F2D" w14:textId="1AD2FA62" w:rsidR="00A419A8" w:rsidRPr="00E21495" w:rsidRDefault="00A419A8" w:rsidP="00577C9B">
      <w:pPr>
        <w:rPr>
          <w:sz w:val="22"/>
          <w:szCs w:val="22"/>
        </w:rPr>
      </w:pPr>
      <w:r w:rsidRPr="00E21495">
        <w:rPr>
          <w:sz w:val="22"/>
          <w:szCs w:val="22"/>
        </w:rPr>
        <w:t xml:space="preserve">-If a claimant is pressured into waiving or doesn’t understand what they are doing, they have not </w:t>
      </w:r>
      <w:r w:rsidR="00466DE5" w:rsidRPr="00E21495">
        <w:rPr>
          <w:sz w:val="22"/>
          <w:szCs w:val="22"/>
        </w:rPr>
        <w:t>validly</w:t>
      </w:r>
      <w:r w:rsidRPr="00E21495">
        <w:rPr>
          <w:sz w:val="22"/>
          <w:szCs w:val="22"/>
        </w:rPr>
        <w:t xml:space="preserve"> consented to waiver.</w:t>
      </w:r>
    </w:p>
    <w:p w14:paraId="7E7E86AB" w14:textId="77777777" w:rsidR="00A419A8" w:rsidRPr="00E21495" w:rsidRDefault="00A419A8" w:rsidP="00A419A8">
      <w:pPr>
        <w:rPr>
          <w:sz w:val="22"/>
          <w:szCs w:val="22"/>
        </w:rPr>
      </w:pPr>
    </w:p>
    <w:p w14:paraId="57015909" w14:textId="2CE17A34" w:rsidR="00A419A8" w:rsidRPr="00D85E64" w:rsidRDefault="00A419A8" w:rsidP="00DF4028">
      <w:pPr>
        <w:pStyle w:val="Heading2"/>
      </w:pPr>
      <w:bookmarkStart w:id="12" w:name="_Toc259106267"/>
      <w:r w:rsidRPr="00D85E64">
        <w:t>Doctrine of Unclean Hands</w:t>
      </w:r>
      <w:bookmarkEnd w:id="12"/>
    </w:p>
    <w:p w14:paraId="69C1A57A" w14:textId="77777777" w:rsidR="00A419A8" w:rsidRPr="00D85E64" w:rsidRDefault="00A419A8" w:rsidP="00A419A8"/>
    <w:p w14:paraId="34FB3C00" w14:textId="3F94DEC8" w:rsidR="00A419A8" w:rsidRPr="00577C9B" w:rsidRDefault="00A419A8" w:rsidP="00A419A8">
      <w:pPr>
        <w:rPr>
          <w:sz w:val="22"/>
          <w:szCs w:val="22"/>
        </w:rPr>
      </w:pPr>
      <w:r w:rsidRPr="00577C9B">
        <w:rPr>
          <w:i/>
          <w:sz w:val="22"/>
          <w:szCs w:val="22"/>
        </w:rPr>
        <w:t>Cosman Realty Ltd v. Winnipeg</w:t>
      </w:r>
      <w:r w:rsidRPr="00577C9B">
        <w:rPr>
          <w:sz w:val="22"/>
          <w:szCs w:val="22"/>
        </w:rPr>
        <w:t xml:space="preserve"> </w:t>
      </w:r>
      <w:r w:rsidR="00A139D1" w:rsidRPr="00577C9B">
        <w:rPr>
          <w:sz w:val="22"/>
          <w:szCs w:val="22"/>
        </w:rPr>
        <w:t>(MBQB, 2001):</w:t>
      </w:r>
    </w:p>
    <w:p w14:paraId="0BCA57C5" w14:textId="4C9DE887" w:rsidR="00A139D1" w:rsidRPr="00577C9B" w:rsidRDefault="00A139D1" w:rsidP="00577C9B">
      <w:pPr>
        <w:rPr>
          <w:sz w:val="22"/>
          <w:szCs w:val="22"/>
        </w:rPr>
      </w:pPr>
      <w:r w:rsidRPr="00577C9B">
        <w:rPr>
          <w:sz w:val="22"/>
          <w:szCs w:val="22"/>
        </w:rPr>
        <w:t xml:space="preserve">-Doctrine of Unclean Hands applies to judicial review proceedings based on breaches of procedural fairness.  </w:t>
      </w:r>
    </w:p>
    <w:p w14:paraId="60EE607A" w14:textId="3C1435D9" w:rsidR="00A139D1" w:rsidRPr="00577C9B" w:rsidRDefault="00A139D1" w:rsidP="00577C9B">
      <w:pPr>
        <w:rPr>
          <w:sz w:val="22"/>
          <w:szCs w:val="22"/>
        </w:rPr>
      </w:pPr>
      <w:r w:rsidRPr="00577C9B">
        <w:rPr>
          <w:sz w:val="22"/>
          <w:szCs w:val="22"/>
        </w:rPr>
        <w:t>-Where equitable relief (which includes judicial review) is being requested by a litigant and would not achieve the goal for which it is ostensibly being requested but will advance some other oblique purpose, the Court must look closely at the true purpose behind the judicial review application.  If the true purpose is to obtain an improper result, then the application should be refused.</w:t>
      </w:r>
    </w:p>
    <w:p w14:paraId="345C4A25" w14:textId="77777777" w:rsidR="00A139D1" w:rsidRPr="00577C9B" w:rsidRDefault="00A139D1" w:rsidP="00A139D1">
      <w:pPr>
        <w:rPr>
          <w:sz w:val="22"/>
          <w:szCs w:val="22"/>
        </w:rPr>
      </w:pPr>
    </w:p>
    <w:p w14:paraId="53953F56" w14:textId="1939D3FF" w:rsidR="00A139D1" w:rsidRPr="00577C9B" w:rsidRDefault="00A139D1" w:rsidP="00A139D1">
      <w:pPr>
        <w:rPr>
          <w:sz w:val="22"/>
          <w:szCs w:val="22"/>
        </w:rPr>
      </w:pPr>
      <w:r w:rsidRPr="00577C9B">
        <w:rPr>
          <w:i/>
          <w:sz w:val="22"/>
          <w:szCs w:val="22"/>
        </w:rPr>
        <w:t>Jaoudi v. Canada</w:t>
      </w:r>
      <w:r w:rsidRPr="00577C9B">
        <w:rPr>
          <w:sz w:val="22"/>
          <w:szCs w:val="22"/>
        </w:rPr>
        <w:t xml:space="preserve"> (FC, 2003):</w:t>
      </w:r>
    </w:p>
    <w:p w14:paraId="1FABB48A" w14:textId="5DB0A476" w:rsidR="00A139D1" w:rsidRPr="00577C9B" w:rsidRDefault="00A139D1" w:rsidP="00577C9B">
      <w:pPr>
        <w:rPr>
          <w:sz w:val="22"/>
          <w:szCs w:val="22"/>
        </w:rPr>
      </w:pPr>
      <w:r w:rsidRPr="00577C9B">
        <w:rPr>
          <w:sz w:val="22"/>
          <w:szCs w:val="22"/>
        </w:rPr>
        <w:t>-If the applicant engaged in misconduct such as perjury that causes the tribunal to be biased against him, his hands are unclean and he cannot get a remedy on judicial review.</w:t>
      </w:r>
    </w:p>
    <w:p w14:paraId="3C4EF4DA" w14:textId="77777777" w:rsidR="00A139D1" w:rsidRPr="00577C9B" w:rsidRDefault="00A139D1" w:rsidP="00A139D1">
      <w:pPr>
        <w:rPr>
          <w:sz w:val="22"/>
          <w:szCs w:val="22"/>
        </w:rPr>
      </w:pPr>
    </w:p>
    <w:p w14:paraId="6E6299D3" w14:textId="556A3870" w:rsidR="00A139D1" w:rsidRPr="00D85E64" w:rsidRDefault="00A139D1" w:rsidP="0079665C">
      <w:pPr>
        <w:pStyle w:val="Heading2"/>
      </w:pPr>
      <w:bookmarkStart w:id="13" w:name="_Toc259106268"/>
      <w:r w:rsidRPr="00D85E64">
        <w:t>Balance of Convenience</w:t>
      </w:r>
      <w:bookmarkEnd w:id="13"/>
    </w:p>
    <w:p w14:paraId="5CA23222" w14:textId="77777777" w:rsidR="00A139D1" w:rsidRPr="00D85E64" w:rsidRDefault="00A139D1" w:rsidP="00A139D1"/>
    <w:p w14:paraId="670404B7" w14:textId="409690C1" w:rsidR="00A139D1" w:rsidRPr="00577C9B" w:rsidRDefault="001B15ED" w:rsidP="00A139D1">
      <w:pPr>
        <w:rPr>
          <w:sz w:val="22"/>
          <w:szCs w:val="22"/>
        </w:rPr>
      </w:pPr>
      <w:r w:rsidRPr="00577C9B">
        <w:rPr>
          <w:i/>
          <w:sz w:val="22"/>
          <w:szCs w:val="22"/>
        </w:rPr>
        <w:t>MiningWatch Canada v. Canada (Fisheries and Oceans)</w:t>
      </w:r>
      <w:r w:rsidR="00351CA1" w:rsidRPr="00577C9B">
        <w:rPr>
          <w:sz w:val="22"/>
          <w:szCs w:val="22"/>
        </w:rPr>
        <w:t xml:space="preserve"> (SCC, 2010):</w:t>
      </w:r>
    </w:p>
    <w:p w14:paraId="771BA8F3" w14:textId="5DBC6BB7" w:rsidR="00351CA1" w:rsidRPr="00577C9B" w:rsidRDefault="00351CA1" w:rsidP="00577C9B">
      <w:pPr>
        <w:rPr>
          <w:sz w:val="22"/>
          <w:szCs w:val="22"/>
        </w:rPr>
      </w:pPr>
      <w:r w:rsidRPr="00577C9B">
        <w:rPr>
          <w:sz w:val="22"/>
          <w:szCs w:val="22"/>
        </w:rPr>
        <w:t xml:space="preserve">-Even if the appellant is entitled to a remedy, the Court has the discretion as to whether or not to grant it.  Because not granting a remedy offends the rule of law, the Court must assess its decision on a balance of convenience standard.  </w:t>
      </w:r>
      <w:r w:rsidR="005A0B3E" w:rsidRPr="00577C9B">
        <w:rPr>
          <w:sz w:val="22"/>
          <w:szCs w:val="22"/>
        </w:rPr>
        <w:t xml:space="preserve"> Factors </w:t>
      </w:r>
      <w:r w:rsidR="00FB5EDB" w:rsidRPr="00577C9B">
        <w:rPr>
          <w:sz w:val="22"/>
          <w:szCs w:val="22"/>
        </w:rPr>
        <w:t>to weigh</w:t>
      </w:r>
      <w:r w:rsidR="005A0B3E" w:rsidRPr="00577C9B">
        <w:rPr>
          <w:sz w:val="22"/>
          <w:szCs w:val="22"/>
        </w:rPr>
        <w:t xml:space="preserve"> are whether</w:t>
      </w:r>
      <w:r w:rsidRPr="00577C9B">
        <w:rPr>
          <w:sz w:val="22"/>
          <w:szCs w:val="22"/>
        </w:rPr>
        <w:t xml:space="preserve"> there is </w:t>
      </w:r>
      <w:r w:rsidR="00DB5F22" w:rsidRPr="00577C9B">
        <w:rPr>
          <w:sz w:val="22"/>
          <w:szCs w:val="22"/>
        </w:rPr>
        <w:t>prejudice to anyone, significance</w:t>
      </w:r>
      <w:r w:rsidRPr="00577C9B">
        <w:rPr>
          <w:sz w:val="22"/>
          <w:szCs w:val="22"/>
        </w:rPr>
        <w:t xml:space="preserve"> to parties, fault, </w:t>
      </w:r>
      <w:r w:rsidR="00DB5F22" w:rsidRPr="00577C9B">
        <w:rPr>
          <w:sz w:val="22"/>
          <w:szCs w:val="22"/>
        </w:rPr>
        <w:t xml:space="preserve">and </w:t>
      </w:r>
      <w:r w:rsidRPr="00577C9B">
        <w:rPr>
          <w:sz w:val="22"/>
          <w:szCs w:val="22"/>
        </w:rPr>
        <w:t>whether issues can be dealt with elsewhere.</w:t>
      </w:r>
      <w:r w:rsidR="00FB5EDB" w:rsidRPr="00577C9B">
        <w:rPr>
          <w:sz w:val="22"/>
          <w:szCs w:val="22"/>
        </w:rPr>
        <w:t xml:space="preserve">  (On facts of the case, the balance of convenience favoured granting a declaration).</w:t>
      </w:r>
    </w:p>
    <w:p w14:paraId="2D91B972" w14:textId="77777777" w:rsidR="00351CA1" w:rsidRPr="00577C9B" w:rsidRDefault="00351CA1" w:rsidP="00351CA1">
      <w:pPr>
        <w:rPr>
          <w:sz w:val="22"/>
          <w:szCs w:val="22"/>
        </w:rPr>
      </w:pPr>
    </w:p>
    <w:p w14:paraId="499AECDB" w14:textId="669CF409" w:rsidR="00351CA1" w:rsidRPr="00D85E64" w:rsidRDefault="009853DB" w:rsidP="0079665C">
      <w:pPr>
        <w:pStyle w:val="Heading1"/>
      </w:pPr>
      <w:bookmarkStart w:id="14" w:name="_Toc259106269"/>
      <w:r>
        <w:t xml:space="preserve">Standing </w:t>
      </w:r>
      <w:r w:rsidR="00351CA1" w:rsidRPr="00D85E64">
        <w:t>of Administrative Tribunals on Judicial Review</w:t>
      </w:r>
      <w:bookmarkEnd w:id="14"/>
    </w:p>
    <w:p w14:paraId="4A841EB5" w14:textId="77777777" w:rsidR="00351CA1" w:rsidRPr="00577C9B" w:rsidRDefault="00351CA1" w:rsidP="00351CA1">
      <w:pPr>
        <w:rPr>
          <w:sz w:val="22"/>
          <w:szCs w:val="22"/>
        </w:rPr>
      </w:pPr>
    </w:p>
    <w:p w14:paraId="09DC9FA2" w14:textId="19D46B6C" w:rsidR="00351CA1" w:rsidRPr="00577C9B" w:rsidRDefault="00351CA1" w:rsidP="00351CA1">
      <w:pPr>
        <w:rPr>
          <w:sz w:val="22"/>
          <w:szCs w:val="22"/>
        </w:rPr>
      </w:pPr>
      <w:r w:rsidRPr="00577C9B">
        <w:rPr>
          <w:i/>
          <w:sz w:val="22"/>
          <w:szCs w:val="22"/>
        </w:rPr>
        <w:t>Northwestern Utilities v. City of Edmonton</w:t>
      </w:r>
      <w:r w:rsidRPr="00577C9B">
        <w:rPr>
          <w:sz w:val="22"/>
          <w:szCs w:val="22"/>
        </w:rPr>
        <w:t xml:space="preserve"> (SCC, 1979):</w:t>
      </w:r>
    </w:p>
    <w:p w14:paraId="73EDEAB6" w14:textId="77777777" w:rsidR="0079665C" w:rsidRPr="00577C9B" w:rsidRDefault="00351CA1" w:rsidP="00E21495">
      <w:pPr>
        <w:rPr>
          <w:sz w:val="22"/>
          <w:szCs w:val="22"/>
        </w:rPr>
      </w:pPr>
      <w:r w:rsidRPr="00577C9B">
        <w:rPr>
          <w:sz w:val="22"/>
          <w:szCs w:val="22"/>
        </w:rPr>
        <w:t xml:space="preserve">-Tribunals have a limited right to participate in appeals under the common law, which may be modified by applicable statutes.  Where a tribunal has the right to be heard on appeal or judicial review, it will not necessarily have the right to be a party.  </w:t>
      </w:r>
    </w:p>
    <w:p w14:paraId="6FE4BBC0" w14:textId="32CA5944" w:rsidR="00351CA1" w:rsidRPr="00577C9B" w:rsidRDefault="0079665C" w:rsidP="00E21495">
      <w:pPr>
        <w:rPr>
          <w:sz w:val="22"/>
          <w:szCs w:val="22"/>
        </w:rPr>
      </w:pPr>
      <w:r w:rsidRPr="00577C9B">
        <w:rPr>
          <w:sz w:val="22"/>
          <w:szCs w:val="22"/>
        </w:rPr>
        <w:t>-</w:t>
      </w:r>
      <w:r w:rsidR="00351CA1" w:rsidRPr="00577C9B">
        <w:rPr>
          <w:sz w:val="22"/>
          <w:szCs w:val="22"/>
        </w:rPr>
        <w:t>Tribunals may not advocate aggressively</w:t>
      </w:r>
      <w:r w:rsidR="00D83178" w:rsidRPr="00577C9B">
        <w:rPr>
          <w:sz w:val="22"/>
          <w:szCs w:val="22"/>
        </w:rPr>
        <w:t>.  The tribunal may not argue the merits of its decision on review, but may make arguments regarding its jurisdiction.</w:t>
      </w:r>
    </w:p>
    <w:p w14:paraId="17CF4180" w14:textId="186A4EE3" w:rsidR="0079665C" w:rsidRPr="00577C9B" w:rsidRDefault="0079665C" w:rsidP="00E21495">
      <w:pPr>
        <w:rPr>
          <w:sz w:val="22"/>
          <w:szCs w:val="22"/>
        </w:rPr>
      </w:pPr>
      <w:r w:rsidRPr="00577C9B">
        <w:rPr>
          <w:sz w:val="22"/>
          <w:szCs w:val="22"/>
        </w:rPr>
        <w:t>-Jurisdictional arguments do not include justifications of breaches of procedural fairness.  Tribunals may not justify breaches of procedural fairness because doing so “would produce a spectacle not ordinarily contemplated in our judicial traditions.”</w:t>
      </w:r>
    </w:p>
    <w:p w14:paraId="41B8C878" w14:textId="77777777" w:rsidR="00D83178" w:rsidRPr="00577C9B" w:rsidRDefault="00D83178" w:rsidP="00D83178">
      <w:pPr>
        <w:rPr>
          <w:sz w:val="22"/>
          <w:szCs w:val="22"/>
        </w:rPr>
      </w:pPr>
    </w:p>
    <w:p w14:paraId="68EF87EC" w14:textId="65E891F9" w:rsidR="00D83178" w:rsidRPr="00577C9B" w:rsidRDefault="00D83178" w:rsidP="00D83178">
      <w:pPr>
        <w:rPr>
          <w:sz w:val="22"/>
          <w:szCs w:val="22"/>
        </w:rPr>
      </w:pPr>
      <w:r w:rsidRPr="00577C9B">
        <w:rPr>
          <w:i/>
          <w:sz w:val="22"/>
          <w:szCs w:val="22"/>
        </w:rPr>
        <w:t>Caimaw v. Paccar of Canada Ltd</w:t>
      </w:r>
      <w:r w:rsidR="00B41E15" w:rsidRPr="00577C9B">
        <w:rPr>
          <w:sz w:val="22"/>
          <w:szCs w:val="22"/>
        </w:rPr>
        <w:t xml:space="preserve"> (SCC</w:t>
      </w:r>
      <w:r w:rsidRPr="00577C9B">
        <w:rPr>
          <w:sz w:val="22"/>
          <w:szCs w:val="22"/>
        </w:rPr>
        <w:t>, 1989):</w:t>
      </w:r>
    </w:p>
    <w:p w14:paraId="483E4AE4" w14:textId="35F42C2F" w:rsidR="00D83178" w:rsidRPr="00577C9B" w:rsidRDefault="00D83178" w:rsidP="00E21495">
      <w:pPr>
        <w:rPr>
          <w:sz w:val="22"/>
          <w:szCs w:val="22"/>
        </w:rPr>
      </w:pPr>
      <w:r w:rsidRPr="00577C9B">
        <w:rPr>
          <w:sz w:val="22"/>
          <w:szCs w:val="22"/>
        </w:rPr>
        <w:t>-On judicial review, the tribunal has standing to argue jurisdiction, to explain why its decision was reasonable in light of the specialized expertise of the tribunal, and that it did not l</w:t>
      </w:r>
      <w:r w:rsidR="0079665C" w:rsidRPr="00577C9B">
        <w:rPr>
          <w:sz w:val="22"/>
          <w:szCs w:val="22"/>
        </w:rPr>
        <w:t>ose jurisdiction by acting pa</w:t>
      </w:r>
      <w:r w:rsidRPr="00577C9B">
        <w:rPr>
          <w:sz w:val="22"/>
          <w:szCs w:val="22"/>
        </w:rPr>
        <w:t xml:space="preserve">tently unreasonably in interpreting its powers (note: this has been modified by </w:t>
      </w:r>
      <w:r w:rsidRPr="00577C9B">
        <w:rPr>
          <w:i/>
          <w:sz w:val="22"/>
          <w:szCs w:val="22"/>
        </w:rPr>
        <w:t>Dunsmuir</w:t>
      </w:r>
      <w:r w:rsidRPr="00577C9B">
        <w:rPr>
          <w:sz w:val="22"/>
          <w:szCs w:val="22"/>
        </w:rPr>
        <w:t>).</w:t>
      </w:r>
    </w:p>
    <w:p w14:paraId="685D49D2" w14:textId="77777777" w:rsidR="00D83178" w:rsidRPr="00577C9B" w:rsidRDefault="00D83178" w:rsidP="00D83178">
      <w:pPr>
        <w:rPr>
          <w:sz w:val="22"/>
          <w:szCs w:val="22"/>
        </w:rPr>
      </w:pPr>
    </w:p>
    <w:p w14:paraId="3CD6E162" w14:textId="2F483378" w:rsidR="00096F7C" w:rsidRPr="00577C9B" w:rsidRDefault="00096F7C" w:rsidP="00D83178">
      <w:pPr>
        <w:rPr>
          <w:sz w:val="22"/>
          <w:szCs w:val="22"/>
        </w:rPr>
      </w:pPr>
      <w:r w:rsidRPr="00577C9B">
        <w:rPr>
          <w:i/>
          <w:sz w:val="22"/>
          <w:szCs w:val="22"/>
        </w:rPr>
        <w:t xml:space="preserve">Children’s Lawyer for Ontario v. Goodis </w:t>
      </w:r>
      <w:r w:rsidRPr="00577C9B">
        <w:rPr>
          <w:sz w:val="22"/>
          <w:szCs w:val="22"/>
        </w:rPr>
        <w:t>(ONCA, 2005):</w:t>
      </w:r>
    </w:p>
    <w:p w14:paraId="379020D4" w14:textId="1A5421D0" w:rsidR="00096F7C" w:rsidRPr="00577C9B" w:rsidRDefault="00096F7C" w:rsidP="00D83178">
      <w:pPr>
        <w:rPr>
          <w:sz w:val="22"/>
          <w:szCs w:val="22"/>
        </w:rPr>
      </w:pPr>
      <w:r w:rsidRPr="00577C9B">
        <w:rPr>
          <w:sz w:val="22"/>
          <w:szCs w:val="22"/>
        </w:rPr>
        <w:t>-Not good law in BC.</w:t>
      </w:r>
    </w:p>
    <w:p w14:paraId="7E8BB670" w14:textId="28A1EC4D" w:rsidR="00096F7C" w:rsidRPr="00577C9B" w:rsidRDefault="00096F7C" w:rsidP="00D83178">
      <w:pPr>
        <w:rPr>
          <w:sz w:val="22"/>
          <w:szCs w:val="22"/>
        </w:rPr>
      </w:pPr>
      <w:r w:rsidRPr="00577C9B">
        <w:rPr>
          <w:sz w:val="22"/>
          <w:szCs w:val="22"/>
        </w:rPr>
        <w:t>-</w:t>
      </w:r>
      <w:r w:rsidR="00D105FA" w:rsidRPr="00577C9B">
        <w:rPr>
          <w:sz w:val="22"/>
          <w:szCs w:val="22"/>
        </w:rPr>
        <w:t>Note: statutory provisions are the same in BC as Ontario.</w:t>
      </w:r>
    </w:p>
    <w:p w14:paraId="56879D08" w14:textId="578044B1" w:rsidR="00D105FA" w:rsidRPr="00577C9B" w:rsidRDefault="00D105FA" w:rsidP="00E21495">
      <w:pPr>
        <w:rPr>
          <w:sz w:val="22"/>
          <w:szCs w:val="22"/>
        </w:rPr>
      </w:pPr>
      <w:r w:rsidRPr="00577C9B">
        <w:rPr>
          <w:sz w:val="22"/>
          <w:szCs w:val="22"/>
        </w:rPr>
        <w:t>-Where a statute provides that a tribunal may be party to a judicial review proceeding but grants the Court the discretion as to scope of the tribunal’s participation on judicial review, then the Court will look to the context of the case.  Where the participation of the tribunal is necessary for the Court to get a full view of the legal and factual basi</w:t>
      </w:r>
      <w:r w:rsidR="0079665C" w:rsidRPr="00577C9B">
        <w:rPr>
          <w:sz w:val="22"/>
          <w:szCs w:val="22"/>
        </w:rPr>
        <w:t>s of the case, such as where an</w:t>
      </w:r>
      <w:r w:rsidRPr="00577C9B">
        <w:rPr>
          <w:sz w:val="22"/>
          <w:szCs w:val="22"/>
        </w:rPr>
        <w:t>other party is unable or unwilling to participate in judicial review, then the Court will permit the tribunal to play a more active role in judicial review proceedings.</w:t>
      </w:r>
    </w:p>
    <w:p w14:paraId="64964575" w14:textId="77777777" w:rsidR="00D105FA" w:rsidRPr="00577C9B" w:rsidRDefault="00D105FA" w:rsidP="00D105FA">
      <w:pPr>
        <w:rPr>
          <w:sz w:val="22"/>
          <w:szCs w:val="22"/>
        </w:rPr>
      </w:pPr>
    </w:p>
    <w:p w14:paraId="73F392BC" w14:textId="6009653B" w:rsidR="00D105FA" w:rsidRPr="00577C9B" w:rsidRDefault="00D105FA" w:rsidP="00D105FA">
      <w:pPr>
        <w:rPr>
          <w:sz w:val="22"/>
          <w:szCs w:val="22"/>
        </w:rPr>
      </w:pPr>
      <w:r w:rsidRPr="00577C9B">
        <w:rPr>
          <w:i/>
          <w:sz w:val="22"/>
          <w:szCs w:val="22"/>
        </w:rPr>
        <w:t>Henthorne v. BC Ferry Services Inc</w:t>
      </w:r>
      <w:r w:rsidRPr="00577C9B">
        <w:rPr>
          <w:sz w:val="22"/>
          <w:szCs w:val="22"/>
        </w:rPr>
        <w:t xml:space="preserve"> (BCCA, 2011):</w:t>
      </w:r>
    </w:p>
    <w:p w14:paraId="62513274" w14:textId="27A1B54E" w:rsidR="00D105FA" w:rsidRPr="00577C9B" w:rsidRDefault="00D105FA" w:rsidP="00E21495">
      <w:pPr>
        <w:rPr>
          <w:sz w:val="22"/>
          <w:szCs w:val="22"/>
        </w:rPr>
      </w:pPr>
      <w:r w:rsidRPr="00577C9B">
        <w:rPr>
          <w:i/>
          <w:sz w:val="22"/>
          <w:szCs w:val="22"/>
        </w:rPr>
        <w:t>-Northwestern Utilities</w:t>
      </w:r>
      <w:r w:rsidRPr="00577C9B">
        <w:rPr>
          <w:sz w:val="22"/>
          <w:szCs w:val="22"/>
        </w:rPr>
        <w:t xml:space="preserve"> plus exceptions in </w:t>
      </w:r>
      <w:r w:rsidRPr="00577C9B">
        <w:rPr>
          <w:i/>
          <w:sz w:val="22"/>
          <w:szCs w:val="22"/>
        </w:rPr>
        <w:t xml:space="preserve">Paccar </w:t>
      </w:r>
      <w:r w:rsidRPr="00577C9B">
        <w:rPr>
          <w:sz w:val="22"/>
          <w:szCs w:val="22"/>
        </w:rPr>
        <w:t xml:space="preserve">are the law in BC; </w:t>
      </w:r>
      <w:r w:rsidRPr="00577C9B">
        <w:rPr>
          <w:i/>
          <w:sz w:val="22"/>
          <w:szCs w:val="22"/>
        </w:rPr>
        <w:t>Children’s Lawyer</w:t>
      </w:r>
      <w:r w:rsidRPr="00577C9B">
        <w:rPr>
          <w:sz w:val="22"/>
          <w:szCs w:val="22"/>
        </w:rPr>
        <w:t xml:space="preserve"> is not the law.</w:t>
      </w:r>
    </w:p>
    <w:p w14:paraId="01B52B7C" w14:textId="2634F186" w:rsidR="00D105FA" w:rsidRPr="00577C9B" w:rsidRDefault="002D352E" w:rsidP="00E21495">
      <w:pPr>
        <w:rPr>
          <w:sz w:val="22"/>
          <w:szCs w:val="22"/>
        </w:rPr>
      </w:pPr>
      <w:r w:rsidRPr="00577C9B">
        <w:rPr>
          <w:i/>
          <w:sz w:val="22"/>
          <w:szCs w:val="22"/>
        </w:rPr>
        <w:t>-</w:t>
      </w:r>
      <w:r w:rsidRPr="00577C9B">
        <w:rPr>
          <w:sz w:val="22"/>
          <w:szCs w:val="22"/>
        </w:rPr>
        <w:t>If tribunal argues procedural fairness, the court can strike pleadings or order costs against the tribunal.</w:t>
      </w:r>
    </w:p>
    <w:p w14:paraId="387608AD" w14:textId="1F448B86" w:rsidR="00D105FA" w:rsidRPr="00D85E64" w:rsidRDefault="00D105FA" w:rsidP="0079665C">
      <w:pPr>
        <w:pStyle w:val="Heading1"/>
      </w:pPr>
      <w:bookmarkStart w:id="15" w:name="_Toc259106270"/>
      <w:r w:rsidRPr="00D85E64">
        <w:t>Standard of Review</w:t>
      </w:r>
      <w:bookmarkEnd w:id="15"/>
    </w:p>
    <w:p w14:paraId="3A1CBAE2" w14:textId="77777777" w:rsidR="008A6739" w:rsidRPr="00D85E64" w:rsidRDefault="008A6739" w:rsidP="00D105FA"/>
    <w:p w14:paraId="32072517" w14:textId="48F0C071" w:rsidR="00D105FA" w:rsidRPr="00577C9B" w:rsidRDefault="00260204" w:rsidP="00D105FA">
      <w:pPr>
        <w:rPr>
          <w:sz w:val="22"/>
          <w:szCs w:val="22"/>
        </w:rPr>
      </w:pPr>
      <w:r w:rsidRPr="00577C9B">
        <w:rPr>
          <w:i/>
          <w:sz w:val="22"/>
          <w:szCs w:val="22"/>
        </w:rPr>
        <w:t>Housen v. Nikolaisen</w:t>
      </w:r>
      <w:r w:rsidRPr="00577C9B">
        <w:rPr>
          <w:sz w:val="22"/>
          <w:szCs w:val="22"/>
        </w:rPr>
        <w:t xml:space="preserve"> (</w:t>
      </w:r>
      <w:r w:rsidR="00D23FCF" w:rsidRPr="00577C9B">
        <w:rPr>
          <w:sz w:val="22"/>
          <w:szCs w:val="22"/>
        </w:rPr>
        <w:t>SCC, 2002):</w:t>
      </w:r>
    </w:p>
    <w:p w14:paraId="26B355D6" w14:textId="6B1D8D1D" w:rsidR="00D23FCF" w:rsidRPr="00577C9B" w:rsidRDefault="00D23FCF" w:rsidP="00E21495">
      <w:pPr>
        <w:rPr>
          <w:sz w:val="22"/>
          <w:szCs w:val="22"/>
        </w:rPr>
      </w:pPr>
      <w:r w:rsidRPr="00577C9B">
        <w:rPr>
          <w:sz w:val="22"/>
          <w:szCs w:val="22"/>
        </w:rPr>
        <w:t>-</w:t>
      </w:r>
      <w:r w:rsidR="008A6739" w:rsidRPr="00577C9B">
        <w:rPr>
          <w:sz w:val="22"/>
          <w:szCs w:val="22"/>
        </w:rPr>
        <w:t xml:space="preserve">For appellate review of inferior courts, the standard for </w:t>
      </w:r>
      <w:r w:rsidR="0090464C" w:rsidRPr="00577C9B">
        <w:rPr>
          <w:sz w:val="22"/>
          <w:szCs w:val="22"/>
        </w:rPr>
        <w:t>questions of fact is palpable and overriding error, and the standard for questions of law is correctness.</w:t>
      </w:r>
    </w:p>
    <w:p w14:paraId="67BB946F" w14:textId="77777777" w:rsidR="0090464C" w:rsidRPr="00577C9B" w:rsidRDefault="0090464C" w:rsidP="0090464C">
      <w:pPr>
        <w:rPr>
          <w:i/>
          <w:sz w:val="22"/>
          <w:szCs w:val="22"/>
        </w:rPr>
      </w:pPr>
    </w:p>
    <w:p w14:paraId="3C24B5BA" w14:textId="26892E7F" w:rsidR="00DA06C4" w:rsidRPr="00577C9B" w:rsidRDefault="00DA06C4" w:rsidP="0090464C">
      <w:pPr>
        <w:rPr>
          <w:sz w:val="22"/>
          <w:szCs w:val="22"/>
        </w:rPr>
      </w:pPr>
      <w:r w:rsidRPr="00577C9B">
        <w:rPr>
          <w:i/>
          <w:sz w:val="22"/>
          <w:szCs w:val="22"/>
        </w:rPr>
        <w:t xml:space="preserve">CUPE 963 v. New Brunswick Liquor Corp </w:t>
      </w:r>
      <w:r w:rsidRPr="00577C9B">
        <w:rPr>
          <w:sz w:val="22"/>
          <w:szCs w:val="22"/>
        </w:rPr>
        <w:t>(SCC, 1979):</w:t>
      </w:r>
    </w:p>
    <w:p w14:paraId="4559F141" w14:textId="761977E9" w:rsidR="00DA06C4" w:rsidRPr="00577C9B" w:rsidRDefault="00DA06C4" w:rsidP="00E21495">
      <w:pPr>
        <w:rPr>
          <w:sz w:val="22"/>
          <w:szCs w:val="22"/>
        </w:rPr>
      </w:pPr>
      <w:r w:rsidRPr="00577C9B">
        <w:rPr>
          <w:sz w:val="22"/>
          <w:szCs w:val="22"/>
        </w:rPr>
        <w:t>-Distinction between broad and narrow jurisdiction.  Narrow questions of jurisdiction deal with whether the tribunal has the authority to enter into the issue at all.  Broad issues of jurisdiction ask whether the tribunal can lose jurisdiction through the commission of errors such as breaching procedural fairness or making findings of law, fact, or discretion that offend the applicable standard of review.</w:t>
      </w:r>
    </w:p>
    <w:p w14:paraId="4A1A23F9" w14:textId="0759E1BB" w:rsidR="00DA06C4" w:rsidRPr="00577C9B" w:rsidRDefault="00DA06C4" w:rsidP="00E21495">
      <w:pPr>
        <w:rPr>
          <w:sz w:val="22"/>
          <w:szCs w:val="22"/>
        </w:rPr>
      </w:pPr>
      <w:r w:rsidRPr="00577C9B">
        <w:rPr>
          <w:sz w:val="22"/>
          <w:szCs w:val="22"/>
        </w:rPr>
        <w:t>-Rejects collateral question theory.</w:t>
      </w:r>
    </w:p>
    <w:p w14:paraId="67E2EAE2" w14:textId="35CBD3B2" w:rsidR="00DA06C4" w:rsidRPr="00577C9B" w:rsidRDefault="00DA06C4" w:rsidP="00E21495">
      <w:pPr>
        <w:rPr>
          <w:sz w:val="22"/>
          <w:szCs w:val="22"/>
        </w:rPr>
      </w:pPr>
      <w:r w:rsidRPr="00577C9B">
        <w:rPr>
          <w:sz w:val="22"/>
          <w:szCs w:val="22"/>
        </w:rPr>
        <w:t xml:space="preserve">-Standard of review is correctness for narrow jurisdictional issues.  </w:t>
      </w:r>
      <w:r w:rsidR="006B791E" w:rsidRPr="00577C9B">
        <w:rPr>
          <w:sz w:val="22"/>
          <w:szCs w:val="22"/>
        </w:rPr>
        <w:t>Patent unreasonableness (now reasonableness for non-</w:t>
      </w:r>
      <w:r w:rsidR="006B791E" w:rsidRPr="00577C9B">
        <w:rPr>
          <w:i/>
          <w:sz w:val="22"/>
          <w:szCs w:val="22"/>
        </w:rPr>
        <w:t>ATA</w:t>
      </w:r>
      <w:r w:rsidR="006B791E" w:rsidRPr="00577C9B">
        <w:rPr>
          <w:sz w:val="22"/>
          <w:szCs w:val="22"/>
        </w:rPr>
        <w:t xml:space="preserve"> tribunals) applies broad jurisdictional questions.</w:t>
      </w:r>
    </w:p>
    <w:p w14:paraId="48A3CC63" w14:textId="77777777" w:rsidR="006B791E" w:rsidRPr="00577C9B" w:rsidRDefault="006B791E" w:rsidP="006B791E">
      <w:pPr>
        <w:rPr>
          <w:sz w:val="22"/>
          <w:szCs w:val="22"/>
        </w:rPr>
      </w:pPr>
    </w:p>
    <w:p w14:paraId="4EE4DC96" w14:textId="443E4F20" w:rsidR="006B791E" w:rsidRPr="00577C9B" w:rsidRDefault="006B791E" w:rsidP="006B791E">
      <w:pPr>
        <w:rPr>
          <w:sz w:val="22"/>
          <w:szCs w:val="22"/>
        </w:rPr>
      </w:pPr>
      <w:r w:rsidRPr="00577C9B">
        <w:rPr>
          <w:i/>
          <w:sz w:val="22"/>
          <w:szCs w:val="22"/>
        </w:rPr>
        <w:t>U.E.S. Local 298 v. Bibeault</w:t>
      </w:r>
      <w:r w:rsidRPr="00577C9B">
        <w:rPr>
          <w:sz w:val="22"/>
          <w:szCs w:val="22"/>
        </w:rPr>
        <w:t xml:space="preserve"> (SCC, 1988):</w:t>
      </w:r>
    </w:p>
    <w:p w14:paraId="3CEF528A" w14:textId="13837501" w:rsidR="006B791E" w:rsidRPr="00577C9B" w:rsidRDefault="006B791E" w:rsidP="00E21495">
      <w:pPr>
        <w:rPr>
          <w:sz w:val="22"/>
          <w:szCs w:val="22"/>
        </w:rPr>
      </w:pPr>
      <w:r w:rsidRPr="00577C9B">
        <w:rPr>
          <w:sz w:val="22"/>
          <w:szCs w:val="22"/>
        </w:rPr>
        <w:t>-Pragmatic and functional test is used to distinguish betwe</w:t>
      </w:r>
      <w:r w:rsidR="00E21495" w:rsidRPr="00577C9B">
        <w:rPr>
          <w:sz w:val="22"/>
          <w:szCs w:val="22"/>
        </w:rPr>
        <w:t xml:space="preserve">en narrow and </w:t>
      </w:r>
      <w:r w:rsidRPr="00577C9B">
        <w:rPr>
          <w:sz w:val="22"/>
          <w:szCs w:val="22"/>
        </w:rPr>
        <w:t>broad questions of jurisdiction in determining the applicable standard of review.</w:t>
      </w:r>
    </w:p>
    <w:p w14:paraId="1248A77E" w14:textId="40826FF9" w:rsidR="006B791E" w:rsidRPr="00577C9B" w:rsidRDefault="006B791E" w:rsidP="006B791E">
      <w:pPr>
        <w:ind w:left="720"/>
        <w:rPr>
          <w:sz w:val="22"/>
          <w:szCs w:val="22"/>
        </w:rPr>
      </w:pPr>
      <w:r w:rsidRPr="00577C9B">
        <w:rPr>
          <w:sz w:val="22"/>
          <w:szCs w:val="22"/>
        </w:rPr>
        <w:t>-Consider whether there is a privative clause and its strength, the expertise of the tribunal, purpose of the provision and the act, and the nature of the question.</w:t>
      </w:r>
    </w:p>
    <w:p w14:paraId="675C7876" w14:textId="77777777" w:rsidR="00DA06C4" w:rsidRPr="00577C9B" w:rsidRDefault="00DA06C4" w:rsidP="0090464C">
      <w:pPr>
        <w:rPr>
          <w:i/>
          <w:sz w:val="22"/>
          <w:szCs w:val="22"/>
        </w:rPr>
      </w:pPr>
    </w:p>
    <w:p w14:paraId="22EE9E3C" w14:textId="7CB7596C" w:rsidR="001F74C8" w:rsidRPr="00577C9B" w:rsidRDefault="001F74C8" w:rsidP="0090464C">
      <w:pPr>
        <w:rPr>
          <w:sz w:val="22"/>
          <w:szCs w:val="22"/>
        </w:rPr>
      </w:pPr>
      <w:r w:rsidRPr="00577C9B">
        <w:rPr>
          <w:i/>
          <w:sz w:val="22"/>
          <w:szCs w:val="22"/>
        </w:rPr>
        <w:t>Baker v. Canada (Minister of Citizenship and Immigration)</w:t>
      </w:r>
      <w:r w:rsidRPr="00577C9B">
        <w:rPr>
          <w:sz w:val="22"/>
          <w:szCs w:val="22"/>
        </w:rPr>
        <w:t xml:space="preserve"> (SCC, 1999):</w:t>
      </w:r>
    </w:p>
    <w:p w14:paraId="100A7857" w14:textId="7B35D904" w:rsidR="001F74C8" w:rsidRPr="00577C9B" w:rsidRDefault="001F74C8" w:rsidP="0090464C">
      <w:pPr>
        <w:rPr>
          <w:sz w:val="22"/>
          <w:szCs w:val="22"/>
        </w:rPr>
      </w:pPr>
      <w:r w:rsidRPr="00577C9B">
        <w:rPr>
          <w:sz w:val="22"/>
          <w:szCs w:val="22"/>
        </w:rPr>
        <w:tab/>
        <w:t>-Standard of review applicable to discretionary decisions.</w:t>
      </w:r>
    </w:p>
    <w:p w14:paraId="20EE90CD" w14:textId="78BABC33" w:rsidR="001F74C8" w:rsidRPr="00577C9B" w:rsidRDefault="001F74C8" w:rsidP="001F74C8">
      <w:pPr>
        <w:ind w:left="720"/>
        <w:rPr>
          <w:sz w:val="22"/>
          <w:szCs w:val="22"/>
        </w:rPr>
      </w:pPr>
      <w:r w:rsidRPr="00577C9B">
        <w:rPr>
          <w:sz w:val="22"/>
          <w:szCs w:val="22"/>
        </w:rPr>
        <w:t xml:space="preserve">-Court will generally grant greater </w:t>
      </w:r>
      <w:r w:rsidR="000D3025" w:rsidRPr="00577C9B">
        <w:rPr>
          <w:sz w:val="22"/>
          <w:szCs w:val="22"/>
        </w:rPr>
        <w:t>deference</w:t>
      </w:r>
      <w:r w:rsidRPr="00577C9B">
        <w:rPr>
          <w:sz w:val="22"/>
          <w:szCs w:val="22"/>
        </w:rPr>
        <w:t xml:space="preserve"> to discretionary decisions.</w:t>
      </w:r>
    </w:p>
    <w:p w14:paraId="40112AF5" w14:textId="416028EB" w:rsidR="006668DA" w:rsidRPr="00577C9B" w:rsidRDefault="006668DA" w:rsidP="001F74C8">
      <w:pPr>
        <w:ind w:left="720"/>
        <w:rPr>
          <w:sz w:val="22"/>
          <w:szCs w:val="22"/>
        </w:rPr>
      </w:pPr>
      <w:r w:rsidRPr="00577C9B">
        <w:rPr>
          <w:rFonts w:eastAsia="Times New Roman" w:cs="Times New Roman"/>
          <w:sz w:val="22"/>
          <w:szCs w:val="22"/>
        </w:rPr>
        <w:t xml:space="preserve">-Discretion must be exercised in accordance with the boundaries imposed in the statute, the principles of the rule of law, the principles of administrative law, the fundamental values of Canadian society, and the principles of the </w:t>
      </w:r>
      <w:r w:rsidRPr="00577C9B">
        <w:rPr>
          <w:rFonts w:eastAsia="Times New Roman" w:cs="Times New Roman"/>
          <w:i/>
          <w:iCs/>
          <w:sz w:val="22"/>
          <w:szCs w:val="22"/>
        </w:rPr>
        <w:t>Charter</w:t>
      </w:r>
      <w:r w:rsidRPr="00577C9B">
        <w:rPr>
          <w:rFonts w:eastAsia="Times New Roman" w:cs="Times New Roman"/>
          <w:sz w:val="22"/>
          <w:szCs w:val="22"/>
        </w:rPr>
        <w:t>.</w:t>
      </w:r>
    </w:p>
    <w:p w14:paraId="17E17114" w14:textId="0DB3A6C2" w:rsidR="001F74C8" w:rsidRPr="00577C9B" w:rsidRDefault="001F74C8" w:rsidP="001F74C8">
      <w:pPr>
        <w:ind w:left="720"/>
        <w:rPr>
          <w:sz w:val="22"/>
          <w:szCs w:val="22"/>
        </w:rPr>
      </w:pPr>
      <w:r w:rsidRPr="00577C9B">
        <w:rPr>
          <w:sz w:val="22"/>
          <w:szCs w:val="22"/>
        </w:rPr>
        <w:t>-</w:t>
      </w:r>
      <w:r w:rsidR="006668DA" w:rsidRPr="00577C9B">
        <w:rPr>
          <w:sz w:val="22"/>
          <w:szCs w:val="22"/>
        </w:rPr>
        <w:t xml:space="preserve">Note from Hoole: </w:t>
      </w:r>
      <w:r w:rsidRPr="00577C9B">
        <w:rPr>
          <w:sz w:val="22"/>
          <w:szCs w:val="22"/>
        </w:rPr>
        <w:t xml:space="preserve">Discretionary powers </w:t>
      </w:r>
      <w:r w:rsidR="006668DA" w:rsidRPr="00577C9B">
        <w:rPr>
          <w:sz w:val="22"/>
          <w:szCs w:val="22"/>
        </w:rPr>
        <w:t>are signified by words such as “may” or “be satisfied”</w:t>
      </w:r>
    </w:p>
    <w:p w14:paraId="210E928B" w14:textId="77777777" w:rsidR="006668DA" w:rsidRPr="00577C9B" w:rsidRDefault="006668DA" w:rsidP="006668DA">
      <w:pPr>
        <w:rPr>
          <w:sz w:val="22"/>
          <w:szCs w:val="22"/>
        </w:rPr>
      </w:pPr>
    </w:p>
    <w:p w14:paraId="4718A9CD" w14:textId="0D22879D" w:rsidR="006668DA" w:rsidRPr="00577C9B" w:rsidRDefault="006668DA" w:rsidP="006668DA">
      <w:pPr>
        <w:rPr>
          <w:sz w:val="22"/>
          <w:szCs w:val="22"/>
        </w:rPr>
      </w:pPr>
      <w:r w:rsidRPr="00577C9B">
        <w:rPr>
          <w:i/>
          <w:sz w:val="22"/>
          <w:szCs w:val="22"/>
        </w:rPr>
        <w:t>Canada (Director of Investigation and Research) v. Southam Inc.</w:t>
      </w:r>
      <w:r w:rsidRPr="00577C9B">
        <w:rPr>
          <w:sz w:val="22"/>
          <w:szCs w:val="22"/>
        </w:rPr>
        <w:t xml:space="preserve"> (SCC, 1997):</w:t>
      </w:r>
    </w:p>
    <w:p w14:paraId="1836E602" w14:textId="7B2FDE3F" w:rsidR="006668DA" w:rsidRPr="00577C9B" w:rsidRDefault="000D3025" w:rsidP="005E46C9">
      <w:pPr>
        <w:rPr>
          <w:sz w:val="22"/>
          <w:szCs w:val="22"/>
        </w:rPr>
      </w:pPr>
      <w:r w:rsidRPr="00577C9B">
        <w:rPr>
          <w:sz w:val="22"/>
          <w:szCs w:val="22"/>
        </w:rPr>
        <w:t>-</w:t>
      </w:r>
      <w:r w:rsidR="006668DA" w:rsidRPr="00577C9B">
        <w:rPr>
          <w:sz w:val="22"/>
          <w:szCs w:val="22"/>
        </w:rPr>
        <w:t xml:space="preserve">Difference between reasonableness simpliciter (which is reasonableness under the </w:t>
      </w:r>
      <w:r w:rsidR="006668DA" w:rsidRPr="00577C9B">
        <w:rPr>
          <w:i/>
          <w:sz w:val="22"/>
          <w:szCs w:val="22"/>
        </w:rPr>
        <w:t>ATA</w:t>
      </w:r>
      <w:r w:rsidR="006668DA" w:rsidRPr="00577C9B">
        <w:rPr>
          <w:sz w:val="22"/>
          <w:szCs w:val="22"/>
        </w:rPr>
        <w:t>) and patent unreasonableness:</w:t>
      </w:r>
    </w:p>
    <w:p w14:paraId="32B86F27" w14:textId="6D04F149" w:rsidR="006668DA" w:rsidRPr="00577C9B" w:rsidRDefault="00547D19" w:rsidP="005E46C9">
      <w:pPr>
        <w:ind w:left="720"/>
        <w:rPr>
          <w:sz w:val="22"/>
          <w:szCs w:val="22"/>
        </w:rPr>
      </w:pPr>
      <w:r w:rsidRPr="00577C9B">
        <w:rPr>
          <w:sz w:val="22"/>
          <w:szCs w:val="22"/>
        </w:rPr>
        <w:t>-Unreasonable: not supported by reasons that can stand up to a “somewhat probing examination.”</w:t>
      </w:r>
    </w:p>
    <w:p w14:paraId="37882759" w14:textId="77777777" w:rsidR="00547D19" w:rsidRPr="00577C9B" w:rsidRDefault="00547D19" w:rsidP="005E46C9">
      <w:pPr>
        <w:ind w:firstLine="720"/>
        <w:rPr>
          <w:sz w:val="22"/>
          <w:szCs w:val="22"/>
        </w:rPr>
      </w:pPr>
      <w:r w:rsidRPr="00577C9B">
        <w:rPr>
          <w:sz w:val="22"/>
          <w:szCs w:val="22"/>
        </w:rPr>
        <w:t xml:space="preserve">-Difference between unreasonable and patently unreasonable: </w:t>
      </w:r>
    </w:p>
    <w:p w14:paraId="107363F1" w14:textId="77777777" w:rsidR="00547D19" w:rsidRPr="00577C9B" w:rsidRDefault="00547D19" w:rsidP="005E46C9">
      <w:pPr>
        <w:ind w:left="1440"/>
        <w:rPr>
          <w:sz w:val="22"/>
          <w:szCs w:val="22"/>
        </w:rPr>
      </w:pPr>
      <w:r w:rsidRPr="00577C9B">
        <w:rPr>
          <w:sz w:val="22"/>
          <w:szCs w:val="22"/>
        </w:rPr>
        <w:t xml:space="preserve">-If the defect is apparent on the face of the tribunal’s reasons, then the decision is patently unreasonable.  </w:t>
      </w:r>
    </w:p>
    <w:p w14:paraId="71A98237" w14:textId="42C6A23A" w:rsidR="00547D19" w:rsidRPr="00577C9B" w:rsidRDefault="00547D19" w:rsidP="005E46C9">
      <w:pPr>
        <w:ind w:left="1440"/>
        <w:rPr>
          <w:sz w:val="22"/>
          <w:szCs w:val="22"/>
        </w:rPr>
      </w:pPr>
      <w:r w:rsidRPr="00577C9B">
        <w:rPr>
          <w:sz w:val="22"/>
          <w:szCs w:val="22"/>
        </w:rPr>
        <w:t>-If it takes some significant searching or testing to find the defect, then it is unreasonable.</w:t>
      </w:r>
    </w:p>
    <w:p w14:paraId="37392C1B" w14:textId="77777777" w:rsidR="001F74C8" w:rsidRPr="00577C9B" w:rsidRDefault="001F74C8" w:rsidP="0090464C">
      <w:pPr>
        <w:rPr>
          <w:sz w:val="22"/>
          <w:szCs w:val="22"/>
        </w:rPr>
      </w:pPr>
    </w:p>
    <w:p w14:paraId="223A4CC1" w14:textId="3A5C49AE" w:rsidR="0090464C" w:rsidRPr="00577C9B" w:rsidRDefault="00801E0F" w:rsidP="0090464C">
      <w:pPr>
        <w:rPr>
          <w:sz w:val="22"/>
          <w:szCs w:val="22"/>
        </w:rPr>
      </w:pPr>
      <w:r w:rsidRPr="00577C9B">
        <w:rPr>
          <w:i/>
          <w:sz w:val="22"/>
          <w:szCs w:val="22"/>
        </w:rPr>
        <w:t>Dr. Q. v. College of Physicians and Surgeons of BC</w:t>
      </w:r>
      <w:r w:rsidRPr="00577C9B">
        <w:rPr>
          <w:sz w:val="22"/>
          <w:szCs w:val="22"/>
        </w:rPr>
        <w:t xml:space="preserve"> (SCC, 2003):</w:t>
      </w:r>
    </w:p>
    <w:p w14:paraId="01835894" w14:textId="34CEE4F2" w:rsidR="00801E0F" w:rsidRPr="00577C9B" w:rsidRDefault="00801E0F" w:rsidP="005E46C9">
      <w:pPr>
        <w:rPr>
          <w:sz w:val="22"/>
          <w:szCs w:val="22"/>
        </w:rPr>
      </w:pPr>
      <w:r w:rsidRPr="00577C9B">
        <w:rPr>
          <w:sz w:val="22"/>
          <w:szCs w:val="22"/>
        </w:rPr>
        <w:t>-When a judicial review decision by a chambers judge is being appealed, the chamber judge’s decision can be reviewed on either palpable and overriding error for findings of fact or correctness for findings of law.  The chambers judge is not deemed to be an administrative tribunal.</w:t>
      </w:r>
      <w:r w:rsidR="003462E1" w:rsidRPr="00577C9B">
        <w:rPr>
          <w:sz w:val="22"/>
          <w:szCs w:val="22"/>
        </w:rPr>
        <w:t xml:space="preserve">  Appeals of judicial review decisions are subject to </w:t>
      </w:r>
      <w:r w:rsidR="003462E1" w:rsidRPr="00577C9B">
        <w:rPr>
          <w:i/>
          <w:sz w:val="22"/>
          <w:szCs w:val="22"/>
        </w:rPr>
        <w:t>Housen v. Nikolaisen.</w:t>
      </w:r>
    </w:p>
    <w:p w14:paraId="746B0F41" w14:textId="77777777" w:rsidR="00801E0F" w:rsidRPr="00577C9B" w:rsidRDefault="00801E0F" w:rsidP="00801E0F">
      <w:pPr>
        <w:rPr>
          <w:sz w:val="22"/>
          <w:szCs w:val="22"/>
        </w:rPr>
      </w:pPr>
    </w:p>
    <w:p w14:paraId="4A35246A" w14:textId="79DD9E1E" w:rsidR="00801E0F" w:rsidRPr="00577C9B" w:rsidRDefault="00801E0F" w:rsidP="00801E0F">
      <w:pPr>
        <w:rPr>
          <w:sz w:val="22"/>
          <w:szCs w:val="22"/>
        </w:rPr>
      </w:pPr>
      <w:r w:rsidRPr="00577C9B">
        <w:rPr>
          <w:i/>
          <w:sz w:val="22"/>
          <w:szCs w:val="22"/>
        </w:rPr>
        <w:t xml:space="preserve">Dunsmuir v. </w:t>
      </w:r>
      <w:r w:rsidR="0006789C" w:rsidRPr="00577C9B">
        <w:rPr>
          <w:i/>
          <w:sz w:val="22"/>
          <w:szCs w:val="22"/>
        </w:rPr>
        <w:t>New Brunswick</w:t>
      </w:r>
      <w:r w:rsidR="0006789C" w:rsidRPr="00577C9B">
        <w:rPr>
          <w:sz w:val="22"/>
          <w:szCs w:val="22"/>
        </w:rPr>
        <w:t xml:space="preserve"> (SCC, 2008):</w:t>
      </w:r>
    </w:p>
    <w:p w14:paraId="6BD5885F" w14:textId="10361ABA" w:rsidR="0006789C" w:rsidRPr="00577C9B" w:rsidRDefault="0006789C" w:rsidP="00577C9B">
      <w:pPr>
        <w:rPr>
          <w:sz w:val="22"/>
          <w:szCs w:val="22"/>
        </w:rPr>
      </w:pPr>
      <w:r w:rsidRPr="00577C9B">
        <w:rPr>
          <w:sz w:val="22"/>
          <w:szCs w:val="22"/>
        </w:rPr>
        <w:t>-There are two standards of review for non-</w:t>
      </w:r>
      <w:r w:rsidRPr="00577C9B">
        <w:rPr>
          <w:i/>
          <w:sz w:val="22"/>
          <w:szCs w:val="22"/>
        </w:rPr>
        <w:t>ATA</w:t>
      </w:r>
      <w:r w:rsidRPr="00577C9B">
        <w:rPr>
          <w:sz w:val="22"/>
          <w:szCs w:val="22"/>
        </w:rPr>
        <w:t xml:space="preserve"> tribunals: reasonableness and correctness. </w:t>
      </w:r>
    </w:p>
    <w:p w14:paraId="5C936500" w14:textId="5F2B341B" w:rsidR="00FC26AE" w:rsidRPr="00577C9B" w:rsidRDefault="0006789C" w:rsidP="00577C9B">
      <w:pPr>
        <w:rPr>
          <w:sz w:val="22"/>
          <w:szCs w:val="22"/>
        </w:rPr>
      </w:pPr>
      <w:r w:rsidRPr="00577C9B">
        <w:rPr>
          <w:sz w:val="22"/>
          <w:szCs w:val="22"/>
        </w:rPr>
        <w:t>-</w:t>
      </w:r>
      <w:r w:rsidR="00FC26AE" w:rsidRPr="00577C9B">
        <w:rPr>
          <w:sz w:val="22"/>
          <w:szCs w:val="22"/>
        </w:rPr>
        <w:t>Definition of reasonableness (paragraph 47): In judicial review, reasonableness is concerned mostly with the existence of justification, transparency and intelligibility within the decision-making process.  But it is also concerned with whether the decision falls within a range of possible, acceptable outcomes which are defensible i</w:t>
      </w:r>
      <w:r w:rsidR="006F43D4" w:rsidRPr="00577C9B">
        <w:rPr>
          <w:sz w:val="22"/>
          <w:szCs w:val="22"/>
        </w:rPr>
        <w:t xml:space="preserve">n respect of the facts and law (cite this in exam whenever dealing with reasonableness standard under </w:t>
      </w:r>
      <w:r w:rsidR="006F43D4" w:rsidRPr="00577C9B">
        <w:rPr>
          <w:i/>
          <w:sz w:val="22"/>
          <w:szCs w:val="22"/>
        </w:rPr>
        <w:t>Dunsmuir</w:t>
      </w:r>
      <w:r w:rsidR="006F43D4" w:rsidRPr="00577C9B">
        <w:rPr>
          <w:sz w:val="22"/>
          <w:szCs w:val="22"/>
        </w:rPr>
        <w:t>).</w:t>
      </w:r>
    </w:p>
    <w:p w14:paraId="14598BD1" w14:textId="77777777" w:rsidR="00FC26AE" w:rsidRPr="00577C9B" w:rsidRDefault="00FC26AE" w:rsidP="00577C9B">
      <w:pPr>
        <w:rPr>
          <w:sz w:val="22"/>
          <w:szCs w:val="22"/>
        </w:rPr>
      </w:pPr>
      <w:r w:rsidRPr="00577C9B">
        <w:rPr>
          <w:sz w:val="22"/>
          <w:szCs w:val="22"/>
        </w:rPr>
        <w:t>-Approach for determining whether reasonableness applies:</w:t>
      </w:r>
    </w:p>
    <w:p w14:paraId="76F5C795" w14:textId="1142CB27" w:rsidR="00FC26AE" w:rsidRPr="00577C9B" w:rsidRDefault="00FC26AE" w:rsidP="0006789C">
      <w:pPr>
        <w:ind w:left="720"/>
        <w:rPr>
          <w:sz w:val="22"/>
          <w:szCs w:val="22"/>
        </w:rPr>
      </w:pPr>
      <w:r w:rsidRPr="00577C9B">
        <w:rPr>
          <w:sz w:val="22"/>
          <w:szCs w:val="22"/>
        </w:rPr>
        <w:t xml:space="preserve">1.) Is there a privative clause? </w:t>
      </w:r>
    </w:p>
    <w:p w14:paraId="06ABFE3C" w14:textId="029FD55B" w:rsidR="0006789C" w:rsidRPr="00577C9B" w:rsidRDefault="00FC26AE" w:rsidP="00577C9B">
      <w:pPr>
        <w:ind w:left="720"/>
        <w:rPr>
          <w:sz w:val="22"/>
          <w:szCs w:val="22"/>
        </w:rPr>
      </w:pPr>
      <w:r w:rsidRPr="00577C9B">
        <w:rPr>
          <w:sz w:val="22"/>
          <w:szCs w:val="22"/>
        </w:rPr>
        <w:t xml:space="preserve">2.) Is there a discrete and special administrative regime in which the tribunal has special expertise?  </w:t>
      </w:r>
    </w:p>
    <w:p w14:paraId="48C8BA88" w14:textId="631AD73D" w:rsidR="00FC26AE" w:rsidRPr="00577C9B" w:rsidRDefault="00FC26AE" w:rsidP="00577C9B">
      <w:pPr>
        <w:ind w:firstLine="720"/>
        <w:rPr>
          <w:sz w:val="22"/>
          <w:szCs w:val="22"/>
        </w:rPr>
      </w:pPr>
      <w:r w:rsidRPr="00577C9B">
        <w:rPr>
          <w:sz w:val="22"/>
          <w:szCs w:val="22"/>
        </w:rPr>
        <w:t>3.) What is the nature of the question of law?</w:t>
      </w:r>
    </w:p>
    <w:p w14:paraId="03DD7D41" w14:textId="07837EA0" w:rsidR="00FC26AE" w:rsidRPr="00577C9B" w:rsidRDefault="00FC26AE" w:rsidP="00577C9B">
      <w:pPr>
        <w:ind w:left="720" w:firstLine="720"/>
        <w:rPr>
          <w:sz w:val="22"/>
          <w:szCs w:val="22"/>
        </w:rPr>
      </w:pPr>
      <w:r w:rsidRPr="00577C9B">
        <w:rPr>
          <w:sz w:val="22"/>
          <w:szCs w:val="22"/>
        </w:rPr>
        <w:t>-If the question of law is outside of the regime, then correctness applies.</w:t>
      </w:r>
    </w:p>
    <w:p w14:paraId="67263892" w14:textId="649B9512" w:rsidR="00FC26AE" w:rsidRPr="00577C9B" w:rsidRDefault="00FC26AE" w:rsidP="00577C9B">
      <w:pPr>
        <w:ind w:left="720" w:firstLine="720"/>
        <w:rPr>
          <w:sz w:val="22"/>
          <w:szCs w:val="22"/>
        </w:rPr>
      </w:pPr>
      <w:r w:rsidRPr="00577C9B">
        <w:rPr>
          <w:sz w:val="22"/>
          <w:szCs w:val="22"/>
        </w:rPr>
        <w:t>-If the question of law is constitutional, then correctness applies.</w:t>
      </w:r>
    </w:p>
    <w:p w14:paraId="674FD127" w14:textId="5178ACA4" w:rsidR="003114BE" w:rsidRPr="00577C9B" w:rsidRDefault="003114BE" w:rsidP="00577C9B">
      <w:pPr>
        <w:rPr>
          <w:sz w:val="22"/>
          <w:szCs w:val="22"/>
        </w:rPr>
      </w:pPr>
      <w:r w:rsidRPr="00577C9B">
        <w:rPr>
          <w:sz w:val="22"/>
          <w:szCs w:val="22"/>
        </w:rPr>
        <w:t>-If existing jurisprudence identifies which standard applies, then you do not need to go through the above test.</w:t>
      </w:r>
    </w:p>
    <w:p w14:paraId="28050B9F" w14:textId="5768A87B" w:rsidR="00FC26AE" w:rsidRPr="00577C9B" w:rsidRDefault="00FC26AE" w:rsidP="00577C9B">
      <w:pPr>
        <w:rPr>
          <w:sz w:val="22"/>
          <w:szCs w:val="22"/>
        </w:rPr>
      </w:pPr>
      <w:r w:rsidRPr="00577C9B">
        <w:rPr>
          <w:i/>
          <w:sz w:val="22"/>
          <w:szCs w:val="22"/>
        </w:rPr>
        <w:t>-Dunsmuir</w:t>
      </w:r>
      <w:r w:rsidRPr="00577C9B">
        <w:rPr>
          <w:sz w:val="22"/>
          <w:szCs w:val="22"/>
        </w:rPr>
        <w:t xml:space="preserve"> abolishes automatic procedural fairness entitlement for most statutory officeholders.  If there is a contract of employment, then the contract contains the entire scope of your rights.  If there is no contract and you are an officeholder at pleasure, however, you may be entitled to some degree of procedural fairness.  Note: this only applies to some judges, cabinet ministers, and the Usher of the Black Rod.</w:t>
      </w:r>
    </w:p>
    <w:p w14:paraId="65146846" w14:textId="77777777" w:rsidR="00FC26AE" w:rsidRPr="00577C9B" w:rsidRDefault="00FC26AE" w:rsidP="00FC26AE">
      <w:pPr>
        <w:rPr>
          <w:sz w:val="22"/>
          <w:szCs w:val="22"/>
        </w:rPr>
      </w:pPr>
    </w:p>
    <w:p w14:paraId="5AF12D5B" w14:textId="32510405" w:rsidR="00FC26AE" w:rsidRPr="00577C9B" w:rsidRDefault="006B6B39" w:rsidP="006B6B39">
      <w:pPr>
        <w:rPr>
          <w:sz w:val="22"/>
          <w:szCs w:val="22"/>
        </w:rPr>
      </w:pPr>
      <w:r w:rsidRPr="00577C9B">
        <w:rPr>
          <w:i/>
          <w:sz w:val="22"/>
          <w:szCs w:val="22"/>
        </w:rPr>
        <w:t>Canada (Canadian Human Rights Commission) v</w:t>
      </w:r>
      <w:r w:rsidR="0079665C" w:rsidRPr="00577C9B">
        <w:rPr>
          <w:i/>
          <w:sz w:val="22"/>
          <w:szCs w:val="22"/>
        </w:rPr>
        <w:t>.</w:t>
      </w:r>
      <w:r w:rsidRPr="00577C9B">
        <w:rPr>
          <w:i/>
          <w:sz w:val="22"/>
          <w:szCs w:val="22"/>
        </w:rPr>
        <w:t xml:space="preserve"> Canada (Attorney-General)</w:t>
      </w:r>
      <w:r w:rsidRPr="00577C9B">
        <w:rPr>
          <w:sz w:val="22"/>
          <w:szCs w:val="22"/>
        </w:rPr>
        <w:t xml:space="preserve"> (SCC, 2011) [</w:t>
      </w:r>
      <w:r w:rsidRPr="00577C9B">
        <w:rPr>
          <w:i/>
          <w:sz w:val="22"/>
          <w:szCs w:val="22"/>
        </w:rPr>
        <w:t>Moat</w:t>
      </w:r>
      <w:r w:rsidRPr="00577C9B">
        <w:rPr>
          <w:sz w:val="22"/>
          <w:szCs w:val="22"/>
        </w:rPr>
        <w:t>]:</w:t>
      </w:r>
    </w:p>
    <w:p w14:paraId="3D36BDEC" w14:textId="7C3763F3" w:rsidR="006B6B39" w:rsidRPr="00577C9B" w:rsidRDefault="006B6B39" w:rsidP="00577C9B">
      <w:pPr>
        <w:rPr>
          <w:sz w:val="22"/>
          <w:szCs w:val="22"/>
        </w:rPr>
      </w:pPr>
      <w:r w:rsidRPr="00577C9B">
        <w:rPr>
          <w:sz w:val="22"/>
          <w:szCs w:val="22"/>
        </w:rPr>
        <w:t>-Case narrows the “central importance to the legal profession” exception to reasonableness.  Costs are not of central importance to the legal profession as a whole.</w:t>
      </w:r>
    </w:p>
    <w:p w14:paraId="74026466" w14:textId="77777777" w:rsidR="006B6B39" w:rsidRPr="00577C9B" w:rsidRDefault="006B6B39" w:rsidP="006B6B39">
      <w:pPr>
        <w:rPr>
          <w:sz w:val="22"/>
          <w:szCs w:val="22"/>
        </w:rPr>
      </w:pPr>
    </w:p>
    <w:p w14:paraId="1AD29877" w14:textId="0733E82E" w:rsidR="006B6B39" w:rsidRPr="00577C9B" w:rsidRDefault="006B6B39" w:rsidP="006B6B39">
      <w:pPr>
        <w:rPr>
          <w:sz w:val="22"/>
          <w:szCs w:val="22"/>
        </w:rPr>
      </w:pPr>
      <w:r w:rsidRPr="00577C9B">
        <w:rPr>
          <w:i/>
          <w:sz w:val="22"/>
          <w:szCs w:val="22"/>
        </w:rPr>
        <w:t>Alberta v. Alberta Teachers’ Assn.</w:t>
      </w:r>
      <w:r w:rsidRPr="00577C9B">
        <w:rPr>
          <w:sz w:val="22"/>
          <w:szCs w:val="22"/>
        </w:rPr>
        <w:t xml:space="preserve"> (SCC, 2011):</w:t>
      </w:r>
    </w:p>
    <w:p w14:paraId="1D840152" w14:textId="4A7856C8" w:rsidR="003114BE" w:rsidRPr="00577C9B" w:rsidRDefault="003114BE" w:rsidP="006B6B39">
      <w:pPr>
        <w:rPr>
          <w:sz w:val="22"/>
          <w:szCs w:val="22"/>
        </w:rPr>
      </w:pPr>
      <w:r w:rsidRPr="00577C9B">
        <w:rPr>
          <w:sz w:val="22"/>
          <w:szCs w:val="22"/>
        </w:rPr>
        <w:t>-Case creates presumption that reasonableness applies.</w:t>
      </w:r>
    </w:p>
    <w:p w14:paraId="1C2FC701" w14:textId="6C337649" w:rsidR="006B6B39" w:rsidRPr="00577C9B" w:rsidRDefault="006B6B39" w:rsidP="00577C9B">
      <w:pPr>
        <w:rPr>
          <w:sz w:val="22"/>
          <w:szCs w:val="22"/>
        </w:rPr>
      </w:pPr>
      <w:r w:rsidRPr="00577C9B">
        <w:rPr>
          <w:sz w:val="22"/>
          <w:szCs w:val="22"/>
        </w:rPr>
        <w:t>-Case lists exceptions to reasonableness standard of review:</w:t>
      </w:r>
    </w:p>
    <w:p w14:paraId="37BE3ACE" w14:textId="19B3B0AB" w:rsidR="006B6B39" w:rsidRPr="00577C9B" w:rsidRDefault="006B6B39" w:rsidP="00577C9B">
      <w:pPr>
        <w:ind w:left="720"/>
        <w:rPr>
          <w:sz w:val="22"/>
          <w:szCs w:val="22"/>
        </w:rPr>
      </w:pPr>
      <w:r w:rsidRPr="00577C9B">
        <w:rPr>
          <w:sz w:val="22"/>
          <w:szCs w:val="22"/>
        </w:rPr>
        <w:t>1.) General legal question of central importance to the legal profession (</w:t>
      </w:r>
      <w:r w:rsidRPr="00577C9B">
        <w:rPr>
          <w:i/>
          <w:sz w:val="22"/>
          <w:szCs w:val="22"/>
        </w:rPr>
        <w:t xml:space="preserve">Moat </w:t>
      </w:r>
      <w:r w:rsidRPr="00577C9B">
        <w:rPr>
          <w:sz w:val="22"/>
          <w:szCs w:val="22"/>
        </w:rPr>
        <w:t>makes this narrow).</w:t>
      </w:r>
    </w:p>
    <w:p w14:paraId="2AE7CD17" w14:textId="4F80F517" w:rsidR="006B6B39" w:rsidRPr="00577C9B" w:rsidRDefault="006B6B39" w:rsidP="00577C9B">
      <w:pPr>
        <w:ind w:firstLine="720"/>
        <w:rPr>
          <w:sz w:val="22"/>
          <w:szCs w:val="22"/>
        </w:rPr>
      </w:pPr>
      <w:r w:rsidRPr="00577C9B">
        <w:rPr>
          <w:sz w:val="22"/>
          <w:szCs w:val="22"/>
        </w:rPr>
        <w:t>2.) Constitutional questions.</w:t>
      </w:r>
    </w:p>
    <w:p w14:paraId="1D8D4446" w14:textId="4788E76A" w:rsidR="006B6B39" w:rsidRPr="00577C9B" w:rsidRDefault="006B6B39" w:rsidP="00577C9B">
      <w:pPr>
        <w:ind w:firstLine="720"/>
        <w:rPr>
          <w:sz w:val="22"/>
          <w:szCs w:val="22"/>
        </w:rPr>
      </w:pPr>
      <w:r w:rsidRPr="00577C9B">
        <w:rPr>
          <w:sz w:val="22"/>
          <w:szCs w:val="22"/>
        </w:rPr>
        <w:t>3.) Questions regarding jurisdiction between competing tribunals.</w:t>
      </w:r>
    </w:p>
    <w:p w14:paraId="21474E05" w14:textId="4D5E3FCF" w:rsidR="006B6B39" w:rsidRPr="00577C9B" w:rsidRDefault="006B6B39" w:rsidP="00577C9B">
      <w:pPr>
        <w:ind w:firstLine="720"/>
        <w:rPr>
          <w:sz w:val="22"/>
          <w:szCs w:val="22"/>
        </w:rPr>
      </w:pPr>
      <w:r w:rsidRPr="00577C9B">
        <w:rPr>
          <w:sz w:val="22"/>
          <w:szCs w:val="22"/>
        </w:rPr>
        <w:t>4.) True questions of jurisdiction (narrow questions).</w:t>
      </w:r>
    </w:p>
    <w:p w14:paraId="6A229FED" w14:textId="4BDA3F12" w:rsidR="006B6B39" w:rsidRPr="00577C9B" w:rsidRDefault="006B6B39" w:rsidP="00577C9B">
      <w:pPr>
        <w:ind w:firstLine="720"/>
        <w:rPr>
          <w:sz w:val="22"/>
          <w:szCs w:val="22"/>
        </w:rPr>
      </w:pPr>
      <w:r w:rsidRPr="00577C9B">
        <w:rPr>
          <w:sz w:val="22"/>
          <w:szCs w:val="22"/>
        </w:rPr>
        <w:t>5.) Legal questions where there is concurrent jurisdiction with the courts.</w:t>
      </w:r>
    </w:p>
    <w:p w14:paraId="6D5ED65E" w14:textId="6B9425A8" w:rsidR="006B6B39" w:rsidRPr="00577C9B" w:rsidRDefault="006B6B39" w:rsidP="00577C9B">
      <w:pPr>
        <w:ind w:firstLine="720"/>
        <w:rPr>
          <w:sz w:val="22"/>
          <w:szCs w:val="22"/>
        </w:rPr>
      </w:pPr>
      <w:r w:rsidRPr="00577C9B">
        <w:rPr>
          <w:sz w:val="22"/>
          <w:szCs w:val="22"/>
        </w:rPr>
        <w:t xml:space="preserve">6.) </w:t>
      </w:r>
      <w:r w:rsidR="003114BE" w:rsidRPr="00577C9B">
        <w:rPr>
          <w:sz w:val="22"/>
          <w:szCs w:val="22"/>
        </w:rPr>
        <w:t>Q</w:t>
      </w:r>
      <w:r w:rsidRPr="00577C9B">
        <w:rPr>
          <w:sz w:val="22"/>
          <w:szCs w:val="22"/>
        </w:rPr>
        <w:t xml:space="preserve">uestion of law outside of </w:t>
      </w:r>
      <w:r w:rsidR="003114BE" w:rsidRPr="00577C9B">
        <w:rPr>
          <w:sz w:val="22"/>
          <w:szCs w:val="22"/>
        </w:rPr>
        <w:t>the tribunal’s</w:t>
      </w:r>
      <w:r w:rsidRPr="00577C9B">
        <w:rPr>
          <w:sz w:val="22"/>
          <w:szCs w:val="22"/>
        </w:rPr>
        <w:t xml:space="preserve"> area of expertise.</w:t>
      </w:r>
    </w:p>
    <w:p w14:paraId="3601EA4F" w14:textId="77777777" w:rsidR="00E63276" w:rsidRPr="00577C9B" w:rsidRDefault="00E63276" w:rsidP="00E63276">
      <w:pPr>
        <w:rPr>
          <w:sz w:val="22"/>
          <w:szCs w:val="22"/>
        </w:rPr>
      </w:pPr>
    </w:p>
    <w:p w14:paraId="7F0FA689" w14:textId="77777777" w:rsidR="00E63276" w:rsidRPr="00577C9B" w:rsidRDefault="00E63276" w:rsidP="00E63276">
      <w:pPr>
        <w:rPr>
          <w:sz w:val="22"/>
          <w:szCs w:val="22"/>
        </w:rPr>
      </w:pPr>
      <w:r w:rsidRPr="00577C9B">
        <w:rPr>
          <w:i/>
          <w:sz w:val="22"/>
          <w:szCs w:val="22"/>
        </w:rPr>
        <w:t>Rogers Communications Inc. v. Society of Composers, Authors and Music Publishers of Canada</w:t>
      </w:r>
      <w:r w:rsidRPr="00577C9B">
        <w:rPr>
          <w:sz w:val="22"/>
          <w:szCs w:val="22"/>
        </w:rPr>
        <w:t xml:space="preserve"> (SCC, 2012):</w:t>
      </w:r>
    </w:p>
    <w:p w14:paraId="0286B1A5" w14:textId="1C499B4C" w:rsidR="00E63276" w:rsidRPr="00577C9B" w:rsidRDefault="00E63276" w:rsidP="00577C9B">
      <w:pPr>
        <w:rPr>
          <w:sz w:val="22"/>
          <w:szCs w:val="22"/>
        </w:rPr>
      </w:pPr>
      <w:r w:rsidRPr="00577C9B">
        <w:rPr>
          <w:sz w:val="22"/>
          <w:szCs w:val="22"/>
        </w:rPr>
        <w:t>-Where the tribunal has concurrent jurisdiction with a court, then the presumption that reasonableness will apply is rebutted.</w:t>
      </w:r>
    </w:p>
    <w:p w14:paraId="0459AB5C" w14:textId="77777777" w:rsidR="00E63276" w:rsidRPr="00577C9B" w:rsidRDefault="00E63276" w:rsidP="00E63276">
      <w:pPr>
        <w:rPr>
          <w:sz w:val="22"/>
          <w:szCs w:val="22"/>
        </w:rPr>
      </w:pPr>
    </w:p>
    <w:p w14:paraId="6A52D40C" w14:textId="01AC45E0" w:rsidR="006B6B39" w:rsidRPr="00577C9B" w:rsidRDefault="006B6B39" w:rsidP="006B6B39">
      <w:pPr>
        <w:rPr>
          <w:sz w:val="22"/>
          <w:szCs w:val="22"/>
        </w:rPr>
      </w:pPr>
      <w:r w:rsidRPr="00577C9B">
        <w:rPr>
          <w:i/>
          <w:sz w:val="22"/>
          <w:szCs w:val="22"/>
        </w:rPr>
        <w:t>Morgan</w:t>
      </w:r>
      <w:r w:rsidR="006C3432" w:rsidRPr="00577C9B">
        <w:rPr>
          <w:i/>
          <w:sz w:val="22"/>
          <w:szCs w:val="22"/>
        </w:rPr>
        <w:t>-Heung v</w:t>
      </w:r>
      <w:r w:rsidR="0049144D" w:rsidRPr="00577C9B">
        <w:rPr>
          <w:i/>
          <w:sz w:val="22"/>
          <w:szCs w:val="22"/>
        </w:rPr>
        <w:t>.</w:t>
      </w:r>
      <w:r w:rsidR="006C3432" w:rsidRPr="00577C9B">
        <w:rPr>
          <w:i/>
          <w:sz w:val="22"/>
          <w:szCs w:val="22"/>
        </w:rPr>
        <w:t xml:space="preserve"> BC Human Rights Tribunal</w:t>
      </w:r>
      <w:r w:rsidR="006C3432" w:rsidRPr="00577C9B">
        <w:rPr>
          <w:sz w:val="22"/>
          <w:szCs w:val="22"/>
        </w:rPr>
        <w:t xml:space="preserve"> (BCCA, 2011):</w:t>
      </w:r>
    </w:p>
    <w:p w14:paraId="2F8E9137" w14:textId="07A4D711" w:rsidR="006C3432" w:rsidRPr="00577C9B" w:rsidRDefault="006C3432" w:rsidP="00577C9B">
      <w:pPr>
        <w:rPr>
          <w:sz w:val="22"/>
          <w:szCs w:val="22"/>
        </w:rPr>
      </w:pPr>
      <w:r w:rsidRPr="00577C9B">
        <w:rPr>
          <w:sz w:val="22"/>
          <w:szCs w:val="22"/>
        </w:rPr>
        <w:t xml:space="preserve">-Where a tribunal makes a discretionary decision based on a faulty finding of fact, the reviewing court can parse out the finding of fact and review it separately from the exercise of discretion.  The finding of fact will be reviewed on reasonableness standard if </w:t>
      </w:r>
      <w:r w:rsidRPr="00577C9B">
        <w:rPr>
          <w:i/>
          <w:sz w:val="22"/>
          <w:szCs w:val="22"/>
        </w:rPr>
        <w:t>Dunsmuir</w:t>
      </w:r>
      <w:r w:rsidRPr="00577C9B">
        <w:rPr>
          <w:sz w:val="22"/>
          <w:szCs w:val="22"/>
        </w:rPr>
        <w:t xml:space="preserve"> tribunal or applicable standard under </w:t>
      </w:r>
      <w:r w:rsidRPr="00577C9B">
        <w:rPr>
          <w:i/>
          <w:sz w:val="22"/>
          <w:szCs w:val="22"/>
        </w:rPr>
        <w:t>ATA</w:t>
      </w:r>
      <w:r w:rsidRPr="00577C9B">
        <w:rPr>
          <w:sz w:val="22"/>
          <w:szCs w:val="22"/>
        </w:rPr>
        <w:t>.</w:t>
      </w:r>
    </w:p>
    <w:p w14:paraId="59DB5CF9" w14:textId="151BD79C" w:rsidR="006C3432" w:rsidRPr="00577C9B" w:rsidRDefault="006C3432" w:rsidP="00577C9B">
      <w:pPr>
        <w:rPr>
          <w:sz w:val="22"/>
          <w:szCs w:val="22"/>
        </w:rPr>
      </w:pPr>
      <w:r w:rsidRPr="00577C9B">
        <w:rPr>
          <w:sz w:val="22"/>
          <w:szCs w:val="22"/>
        </w:rPr>
        <w:t>-Note: case applies to both</w:t>
      </w:r>
      <w:r w:rsidRPr="00577C9B">
        <w:rPr>
          <w:i/>
          <w:sz w:val="22"/>
          <w:szCs w:val="22"/>
        </w:rPr>
        <w:t xml:space="preserve"> ATA</w:t>
      </w:r>
      <w:r w:rsidRPr="00577C9B">
        <w:rPr>
          <w:sz w:val="22"/>
          <w:szCs w:val="22"/>
        </w:rPr>
        <w:t xml:space="preserve"> and non-</w:t>
      </w:r>
      <w:r w:rsidRPr="00577C9B">
        <w:rPr>
          <w:i/>
          <w:sz w:val="22"/>
          <w:szCs w:val="22"/>
        </w:rPr>
        <w:t>ATA</w:t>
      </w:r>
      <w:r w:rsidRPr="00577C9B">
        <w:rPr>
          <w:sz w:val="22"/>
          <w:szCs w:val="22"/>
        </w:rPr>
        <w:t xml:space="preserve"> tribunals.</w:t>
      </w:r>
    </w:p>
    <w:p w14:paraId="1EA724F4" w14:textId="77777777" w:rsidR="0005476A" w:rsidRPr="00577C9B" w:rsidRDefault="0005476A" w:rsidP="0005476A">
      <w:pPr>
        <w:rPr>
          <w:sz w:val="22"/>
          <w:szCs w:val="22"/>
        </w:rPr>
      </w:pPr>
    </w:p>
    <w:p w14:paraId="0D415C9E" w14:textId="2ABA9994" w:rsidR="0005476A" w:rsidRPr="00577C9B" w:rsidRDefault="0005476A" w:rsidP="0005476A">
      <w:pPr>
        <w:rPr>
          <w:sz w:val="22"/>
          <w:szCs w:val="22"/>
        </w:rPr>
      </w:pPr>
      <w:r w:rsidRPr="00577C9B">
        <w:rPr>
          <w:i/>
          <w:sz w:val="22"/>
          <w:szCs w:val="22"/>
        </w:rPr>
        <w:t>Canada (Citizenship and Immigration) v. Khosa</w:t>
      </w:r>
      <w:r w:rsidRPr="00577C9B">
        <w:rPr>
          <w:sz w:val="22"/>
          <w:szCs w:val="22"/>
        </w:rPr>
        <w:t xml:space="preserve"> (SCC, 2009):</w:t>
      </w:r>
    </w:p>
    <w:p w14:paraId="19EC3F3E" w14:textId="53A28F91" w:rsidR="0005476A" w:rsidRPr="00577C9B" w:rsidRDefault="0005476A" w:rsidP="00577C9B">
      <w:pPr>
        <w:rPr>
          <w:sz w:val="22"/>
          <w:szCs w:val="22"/>
        </w:rPr>
      </w:pPr>
      <w:r w:rsidRPr="00577C9B">
        <w:rPr>
          <w:sz w:val="22"/>
          <w:szCs w:val="22"/>
        </w:rPr>
        <w:t xml:space="preserve">-Binnie J. states in </w:t>
      </w:r>
      <w:r w:rsidRPr="003778B4">
        <w:rPr>
          <w:i/>
          <w:sz w:val="22"/>
          <w:szCs w:val="22"/>
        </w:rPr>
        <w:t>orbiter</w:t>
      </w:r>
      <w:r w:rsidRPr="00577C9B">
        <w:rPr>
          <w:sz w:val="22"/>
          <w:szCs w:val="22"/>
        </w:rPr>
        <w:t xml:space="preserve"> that </w:t>
      </w:r>
      <w:r w:rsidRPr="003778B4">
        <w:rPr>
          <w:i/>
          <w:sz w:val="22"/>
          <w:szCs w:val="22"/>
        </w:rPr>
        <w:t>Dunsmuir</w:t>
      </w:r>
      <w:r w:rsidRPr="00577C9B">
        <w:rPr>
          <w:sz w:val="22"/>
          <w:szCs w:val="22"/>
        </w:rPr>
        <w:t xml:space="preserve"> should be used to select the standard of review under the </w:t>
      </w:r>
      <w:r w:rsidRPr="003778B4">
        <w:rPr>
          <w:i/>
          <w:sz w:val="22"/>
          <w:szCs w:val="22"/>
        </w:rPr>
        <w:t>ATA</w:t>
      </w:r>
      <w:r w:rsidRPr="00577C9B">
        <w:rPr>
          <w:sz w:val="22"/>
          <w:szCs w:val="22"/>
        </w:rPr>
        <w:t xml:space="preserve"> and that the </w:t>
      </w:r>
      <w:r w:rsidRPr="003778B4">
        <w:rPr>
          <w:i/>
          <w:sz w:val="22"/>
          <w:szCs w:val="22"/>
        </w:rPr>
        <w:t>ATA</w:t>
      </w:r>
      <w:r w:rsidRPr="00577C9B">
        <w:rPr>
          <w:sz w:val="22"/>
          <w:szCs w:val="22"/>
        </w:rPr>
        <w:t xml:space="preserve"> standards of review should be calibrated to reflect the common law.</w:t>
      </w:r>
    </w:p>
    <w:p w14:paraId="1F8AC0D0" w14:textId="77777777" w:rsidR="0005476A" w:rsidRPr="00577C9B" w:rsidRDefault="0005476A" w:rsidP="0005476A">
      <w:pPr>
        <w:rPr>
          <w:sz w:val="22"/>
          <w:szCs w:val="22"/>
        </w:rPr>
      </w:pPr>
    </w:p>
    <w:p w14:paraId="2A3AB93D" w14:textId="38D16B97" w:rsidR="00765CBD" w:rsidRPr="00577C9B" w:rsidRDefault="00765CBD" w:rsidP="0005476A">
      <w:pPr>
        <w:rPr>
          <w:rFonts w:ascii="Cambria" w:hAnsi="Cambria"/>
          <w:sz w:val="22"/>
          <w:szCs w:val="22"/>
          <w:lang w:val="en-CA"/>
        </w:rPr>
      </w:pPr>
      <w:r w:rsidRPr="00577C9B">
        <w:rPr>
          <w:i/>
          <w:sz w:val="22"/>
          <w:szCs w:val="22"/>
          <w:lang w:val="en-CA"/>
        </w:rPr>
        <w:t xml:space="preserve">Viking </w:t>
      </w:r>
      <w:r w:rsidRPr="00577C9B">
        <w:rPr>
          <w:rFonts w:ascii="Cambria" w:hAnsi="Cambria"/>
          <w:i/>
          <w:sz w:val="22"/>
          <w:szCs w:val="22"/>
          <w:lang w:val="en-CA"/>
        </w:rPr>
        <w:t>Logistics</w:t>
      </w:r>
      <w:r w:rsidRPr="00577C9B">
        <w:rPr>
          <w:rFonts w:ascii="Cambria" w:hAnsi="Cambria"/>
          <w:sz w:val="22"/>
          <w:szCs w:val="22"/>
          <w:lang w:val="en-CA"/>
        </w:rPr>
        <w:t>:</w:t>
      </w:r>
    </w:p>
    <w:p w14:paraId="168649FF" w14:textId="05A618AB" w:rsidR="00765CBD" w:rsidRPr="00577C9B" w:rsidRDefault="00765CBD" w:rsidP="0005476A">
      <w:pPr>
        <w:rPr>
          <w:rFonts w:ascii="Cambria" w:hAnsi="Cambria"/>
          <w:sz w:val="22"/>
          <w:szCs w:val="22"/>
          <w:lang w:val="en-CA"/>
        </w:rPr>
      </w:pPr>
      <w:r w:rsidRPr="00577C9B">
        <w:rPr>
          <w:rFonts w:ascii="Cambria" w:hAnsi="Cambria"/>
          <w:sz w:val="22"/>
          <w:szCs w:val="22"/>
          <w:lang w:val="en-CA"/>
        </w:rPr>
        <w:t xml:space="preserve">-Followed Binnie J’s </w:t>
      </w:r>
      <w:r w:rsidRPr="00577C9B">
        <w:rPr>
          <w:rFonts w:ascii="Cambria" w:hAnsi="Cambria"/>
          <w:i/>
          <w:sz w:val="22"/>
          <w:szCs w:val="22"/>
          <w:lang w:val="en-CA"/>
        </w:rPr>
        <w:t xml:space="preserve">orbiter </w:t>
      </w:r>
      <w:r w:rsidRPr="00577C9B">
        <w:rPr>
          <w:rFonts w:ascii="Cambria" w:hAnsi="Cambria"/>
          <w:sz w:val="22"/>
          <w:szCs w:val="22"/>
          <w:lang w:val="en-CA"/>
        </w:rPr>
        <w:t xml:space="preserve">in </w:t>
      </w:r>
      <w:r w:rsidRPr="005E46C9">
        <w:rPr>
          <w:rFonts w:ascii="Cambria" w:hAnsi="Cambria"/>
          <w:i/>
          <w:sz w:val="22"/>
          <w:szCs w:val="22"/>
          <w:lang w:val="en-CA"/>
        </w:rPr>
        <w:t>Khosa</w:t>
      </w:r>
      <w:r w:rsidRPr="00577C9B">
        <w:rPr>
          <w:rFonts w:ascii="Cambria" w:hAnsi="Cambria"/>
          <w:sz w:val="22"/>
          <w:szCs w:val="22"/>
          <w:lang w:val="en-CA"/>
        </w:rPr>
        <w:t>.</w:t>
      </w:r>
    </w:p>
    <w:p w14:paraId="78CD0D70" w14:textId="77777777" w:rsidR="00765CBD" w:rsidRPr="00577C9B" w:rsidRDefault="00765CBD" w:rsidP="0005476A">
      <w:pPr>
        <w:rPr>
          <w:rFonts w:ascii="Cambria" w:hAnsi="Cambria"/>
          <w:sz w:val="22"/>
          <w:szCs w:val="22"/>
          <w:lang w:val="en-CA"/>
        </w:rPr>
      </w:pPr>
    </w:p>
    <w:p w14:paraId="3E9A2DE7" w14:textId="77777777" w:rsidR="00765CBD" w:rsidRPr="00577C9B" w:rsidRDefault="00765CBD" w:rsidP="00765CBD">
      <w:pPr>
        <w:pStyle w:val="SCJNumber"/>
        <w:spacing w:after="0" w:line="240" w:lineRule="auto"/>
        <w:jc w:val="both"/>
        <w:rPr>
          <w:rFonts w:ascii="Cambria" w:hAnsi="Cambria"/>
          <w:sz w:val="22"/>
          <w:szCs w:val="22"/>
          <w:lang w:val="en-CA"/>
        </w:rPr>
      </w:pPr>
      <w:r w:rsidRPr="00577C9B">
        <w:rPr>
          <w:rFonts w:ascii="Cambria" w:hAnsi="Cambria"/>
          <w:i/>
          <w:sz w:val="22"/>
          <w:szCs w:val="22"/>
          <w:lang w:val="en-CA"/>
        </w:rPr>
        <w:t>Coast Mountain Bus Company Ltd. v. National Automobile, Aerospace, Transportation and General Workers of Canada (CAW-Canada), Local 111</w:t>
      </w:r>
      <w:r w:rsidRPr="00577C9B">
        <w:rPr>
          <w:rFonts w:ascii="Cambria" w:hAnsi="Cambria"/>
          <w:sz w:val="22"/>
          <w:szCs w:val="22"/>
          <w:lang w:val="en-CA"/>
        </w:rPr>
        <w:t>, 2010 BCCA 447:</w:t>
      </w:r>
    </w:p>
    <w:p w14:paraId="50BE88C3" w14:textId="500CFBB6" w:rsidR="00765CBD" w:rsidRPr="00577C9B" w:rsidRDefault="00765CBD" w:rsidP="0005476A">
      <w:pPr>
        <w:rPr>
          <w:rFonts w:ascii="Cambria" w:hAnsi="Cambria"/>
          <w:sz w:val="22"/>
          <w:szCs w:val="22"/>
        </w:rPr>
      </w:pPr>
      <w:r w:rsidRPr="00577C9B">
        <w:rPr>
          <w:rFonts w:ascii="Cambria" w:hAnsi="Cambria"/>
          <w:sz w:val="22"/>
          <w:szCs w:val="22"/>
        </w:rPr>
        <w:t xml:space="preserve">-BCCA rejects </w:t>
      </w:r>
      <w:r w:rsidRPr="00577C9B">
        <w:rPr>
          <w:rFonts w:ascii="Cambria" w:hAnsi="Cambria"/>
          <w:i/>
          <w:sz w:val="22"/>
          <w:szCs w:val="22"/>
        </w:rPr>
        <w:t xml:space="preserve">Viking </w:t>
      </w:r>
      <w:r w:rsidRPr="00577C9B">
        <w:rPr>
          <w:rFonts w:ascii="Cambria" w:hAnsi="Cambria"/>
          <w:sz w:val="22"/>
          <w:szCs w:val="22"/>
        </w:rPr>
        <w:t>Logistics.</w:t>
      </w:r>
    </w:p>
    <w:p w14:paraId="29E132C7" w14:textId="77777777" w:rsidR="00765CBD" w:rsidRPr="00577C9B" w:rsidRDefault="00765CBD" w:rsidP="0005476A">
      <w:pPr>
        <w:rPr>
          <w:rFonts w:ascii="Cambria" w:hAnsi="Cambria"/>
          <w:sz w:val="22"/>
          <w:szCs w:val="22"/>
        </w:rPr>
      </w:pPr>
    </w:p>
    <w:p w14:paraId="73E83059" w14:textId="03CD1651" w:rsidR="0005476A" w:rsidRPr="00577C9B" w:rsidRDefault="006A78E8" w:rsidP="0005476A">
      <w:pPr>
        <w:rPr>
          <w:sz w:val="22"/>
          <w:szCs w:val="22"/>
        </w:rPr>
      </w:pPr>
      <w:r w:rsidRPr="00577C9B">
        <w:rPr>
          <w:rFonts w:ascii="Cambria" w:hAnsi="Cambria"/>
          <w:i/>
          <w:sz w:val="22"/>
          <w:szCs w:val="22"/>
        </w:rPr>
        <w:t>United Steelworkers, Paper</w:t>
      </w:r>
      <w:r w:rsidRPr="00577C9B">
        <w:rPr>
          <w:i/>
          <w:sz w:val="22"/>
          <w:szCs w:val="22"/>
        </w:rPr>
        <w:t xml:space="preserve"> and Forestry, Rubber, Manufacturing, Energy (Allied Industrial and Service Workers International Union, Local 2009) v. Auyeung</w:t>
      </w:r>
      <w:r w:rsidRPr="00577C9B">
        <w:rPr>
          <w:sz w:val="22"/>
          <w:szCs w:val="22"/>
        </w:rPr>
        <w:t xml:space="preserve"> (BCSC, 2011):</w:t>
      </w:r>
    </w:p>
    <w:p w14:paraId="0D36A10D" w14:textId="6F9FB1B8" w:rsidR="006A78E8" w:rsidRPr="00577C9B" w:rsidRDefault="006A78E8" w:rsidP="00577C9B">
      <w:pPr>
        <w:rPr>
          <w:sz w:val="22"/>
          <w:szCs w:val="22"/>
        </w:rPr>
      </w:pPr>
      <w:r w:rsidRPr="00577C9B">
        <w:rPr>
          <w:sz w:val="22"/>
          <w:szCs w:val="22"/>
        </w:rPr>
        <w:t xml:space="preserve">-Court rejects orbiter in </w:t>
      </w:r>
      <w:r w:rsidRPr="00577C9B">
        <w:rPr>
          <w:i/>
          <w:sz w:val="22"/>
          <w:szCs w:val="22"/>
        </w:rPr>
        <w:t>Khosa</w:t>
      </w:r>
      <w:r w:rsidRPr="00577C9B">
        <w:rPr>
          <w:sz w:val="22"/>
          <w:szCs w:val="22"/>
        </w:rPr>
        <w:t>.  Ss. 58 and 59 of the</w:t>
      </w:r>
      <w:r w:rsidRPr="000469B0">
        <w:rPr>
          <w:i/>
          <w:sz w:val="22"/>
          <w:szCs w:val="22"/>
        </w:rPr>
        <w:t xml:space="preserve"> ATA </w:t>
      </w:r>
      <w:r w:rsidRPr="00577C9B">
        <w:rPr>
          <w:sz w:val="22"/>
          <w:szCs w:val="22"/>
        </w:rPr>
        <w:t>are frozen in pre-</w:t>
      </w:r>
      <w:r w:rsidRPr="00577C9B">
        <w:rPr>
          <w:i/>
          <w:sz w:val="22"/>
          <w:szCs w:val="22"/>
        </w:rPr>
        <w:t>Dunsmuir</w:t>
      </w:r>
      <w:r w:rsidRPr="00577C9B">
        <w:rPr>
          <w:sz w:val="22"/>
          <w:szCs w:val="22"/>
        </w:rPr>
        <w:t xml:space="preserve"> time.</w:t>
      </w:r>
    </w:p>
    <w:p w14:paraId="5785C663" w14:textId="6F1CC3C6" w:rsidR="006A78E8" w:rsidRPr="00577C9B" w:rsidRDefault="006A78E8" w:rsidP="00577C9B">
      <w:pPr>
        <w:rPr>
          <w:rFonts w:ascii="Cambria" w:hAnsi="Cambria"/>
          <w:sz w:val="22"/>
          <w:szCs w:val="22"/>
        </w:rPr>
      </w:pPr>
      <w:r w:rsidRPr="00577C9B">
        <w:rPr>
          <w:sz w:val="22"/>
          <w:szCs w:val="22"/>
        </w:rPr>
        <w:t>-Court upholds</w:t>
      </w:r>
      <w:r w:rsidRPr="000469B0">
        <w:rPr>
          <w:i/>
          <w:sz w:val="22"/>
          <w:szCs w:val="22"/>
        </w:rPr>
        <w:t xml:space="preserve"> Speckling</w:t>
      </w:r>
      <w:r w:rsidRPr="00577C9B">
        <w:rPr>
          <w:sz w:val="22"/>
          <w:szCs w:val="22"/>
        </w:rPr>
        <w:t xml:space="preserve"> for meaning patent unreasonabless </w:t>
      </w:r>
      <w:r w:rsidRPr="00577C9B">
        <w:rPr>
          <w:rFonts w:ascii="Cambria" w:hAnsi="Cambria"/>
          <w:sz w:val="22"/>
          <w:szCs w:val="22"/>
        </w:rPr>
        <w:t xml:space="preserve">under the </w:t>
      </w:r>
      <w:r w:rsidRPr="00577C9B">
        <w:rPr>
          <w:rFonts w:ascii="Cambria" w:hAnsi="Cambria"/>
          <w:i/>
          <w:sz w:val="22"/>
          <w:szCs w:val="22"/>
        </w:rPr>
        <w:t>ATA</w:t>
      </w:r>
      <w:r w:rsidRPr="00577C9B">
        <w:rPr>
          <w:rFonts w:ascii="Cambria" w:hAnsi="Cambria"/>
          <w:sz w:val="22"/>
          <w:szCs w:val="22"/>
        </w:rPr>
        <w:t>:</w:t>
      </w:r>
    </w:p>
    <w:p w14:paraId="60237C86" w14:textId="4332C9D9" w:rsidR="006A78E8" w:rsidRPr="00577C9B" w:rsidRDefault="006A78E8" w:rsidP="005E46C9">
      <w:pPr>
        <w:pStyle w:val="scjquote1"/>
        <w:spacing w:after="0"/>
        <w:ind w:right="1440"/>
        <w:rPr>
          <w:rFonts w:ascii="Cambria" w:hAnsi="Cambria"/>
        </w:rPr>
      </w:pPr>
      <w:r w:rsidRPr="00577C9B">
        <w:rPr>
          <w:rFonts w:ascii="Cambria" w:hAnsi="Cambria"/>
        </w:rPr>
        <w:t>1.</w:t>
      </w:r>
      <w:r w:rsidR="005E46C9">
        <w:rPr>
          <w:rFonts w:ascii="Cambria" w:hAnsi="Cambria"/>
        </w:rPr>
        <w:t>)</w:t>
      </w:r>
      <w:r w:rsidRPr="00577C9B">
        <w:rPr>
          <w:rFonts w:ascii="Cambria" w:hAnsi="Cambria"/>
        </w:rPr>
        <w:t>  The standard of review is that of patent unreasonableness.</w:t>
      </w:r>
    </w:p>
    <w:p w14:paraId="4C6D04B5" w14:textId="0E7670C9" w:rsidR="006A78E8" w:rsidRPr="00577C9B" w:rsidRDefault="006A78E8" w:rsidP="005E46C9">
      <w:pPr>
        <w:pStyle w:val="scjquote1"/>
        <w:spacing w:after="0"/>
        <w:ind w:right="1440"/>
        <w:rPr>
          <w:rFonts w:ascii="Cambria" w:hAnsi="Cambria"/>
        </w:rPr>
      </w:pPr>
      <w:r w:rsidRPr="00577C9B">
        <w:rPr>
          <w:rFonts w:ascii="Cambria" w:hAnsi="Cambria"/>
        </w:rPr>
        <w:t>2.</w:t>
      </w:r>
      <w:r w:rsidR="005E46C9">
        <w:rPr>
          <w:rFonts w:ascii="Cambria" w:hAnsi="Cambria"/>
        </w:rPr>
        <w:t>)</w:t>
      </w:r>
      <w:r w:rsidRPr="00577C9B">
        <w:rPr>
          <w:rFonts w:ascii="Cambria" w:hAnsi="Cambria"/>
        </w:rPr>
        <w:t>  "Patently unreasonable" means openly, clearly, evidently unreasonable.</w:t>
      </w:r>
    </w:p>
    <w:p w14:paraId="0D5A8067" w14:textId="70D19886" w:rsidR="006A78E8" w:rsidRPr="00577C9B" w:rsidRDefault="006A78E8" w:rsidP="005E46C9">
      <w:pPr>
        <w:pStyle w:val="scjquote1"/>
        <w:spacing w:after="0"/>
        <w:ind w:right="1440"/>
        <w:rPr>
          <w:rFonts w:ascii="Cambria" w:hAnsi="Cambria"/>
        </w:rPr>
      </w:pPr>
      <w:r w:rsidRPr="00577C9B">
        <w:rPr>
          <w:rFonts w:ascii="Cambria" w:hAnsi="Cambria"/>
        </w:rPr>
        <w:t>3.</w:t>
      </w:r>
      <w:r w:rsidR="005E46C9">
        <w:rPr>
          <w:rFonts w:ascii="Cambria" w:hAnsi="Cambria"/>
        </w:rPr>
        <w:t>)</w:t>
      </w:r>
      <w:r w:rsidRPr="00577C9B">
        <w:rPr>
          <w:rFonts w:ascii="Cambria" w:hAnsi="Cambria"/>
        </w:rPr>
        <w:t xml:space="preserve"> The review test must be applied to the result not to the reasons leading to the result.</w:t>
      </w:r>
    </w:p>
    <w:p w14:paraId="63FCB16E" w14:textId="33D52DCA" w:rsidR="006A78E8" w:rsidRPr="00577C9B" w:rsidRDefault="006A78E8" w:rsidP="005E46C9">
      <w:pPr>
        <w:pStyle w:val="scjquote1"/>
        <w:spacing w:after="0"/>
        <w:ind w:right="1440"/>
        <w:rPr>
          <w:rFonts w:ascii="Cambria" w:hAnsi="Cambria"/>
        </w:rPr>
      </w:pPr>
      <w:r w:rsidRPr="00577C9B">
        <w:rPr>
          <w:rFonts w:ascii="Cambria" w:hAnsi="Cambria"/>
        </w:rPr>
        <w:t>4.</w:t>
      </w:r>
      <w:r w:rsidR="005E46C9">
        <w:rPr>
          <w:rFonts w:ascii="Cambria" w:hAnsi="Cambria"/>
        </w:rPr>
        <w:t xml:space="preserve">) </w:t>
      </w:r>
      <w:r w:rsidRPr="00577C9B">
        <w:rPr>
          <w:rFonts w:ascii="Cambria" w:hAnsi="Cambria"/>
        </w:rPr>
        <w:t xml:space="preserve">The privative clause set out in s. 96(1) of the </w:t>
      </w:r>
      <w:bookmarkStart w:id="16" w:name="_GoBack"/>
      <w:bookmarkEnd w:id="16"/>
      <w:r w:rsidRPr="000469B0">
        <w:rPr>
          <w:rFonts w:ascii="Cambria" w:hAnsi="Cambria"/>
          <w:i/>
        </w:rPr>
        <w:t xml:space="preserve">Act </w:t>
      </w:r>
      <w:r w:rsidRPr="00577C9B">
        <w:rPr>
          <w:rFonts w:ascii="Cambria" w:hAnsi="Cambria"/>
        </w:rPr>
        <w:t>requires the highest level of curial deference.</w:t>
      </w:r>
    </w:p>
    <w:p w14:paraId="702FA3C5" w14:textId="144A6172" w:rsidR="006A78E8" w:rsidRPr="00577C9B" w:rsidRDefault="007B218E" w:rsidP="005E46C9">
      <w:pPr>
        <w:pStyle w:val="scjquote1"/>
        <w:spacing w:after="0"/>
        <w:ind w:right="1440"/>
        <w:rPr>
          <w:rFonts w:ascii="Cambria" w:hAnsi="Cambria"/>
        </w:rPr>
      </w:pPr>
      <w:r w:rsidRPr="00577C9B">
        <w:rPr>
          <w:rFonts w:ascii="Cambria" w:hAnsi="Cambria"/>
        </w:rPr>
        <w:t>5.</w:t>
      </w:r>
      <w:r w:rsidR="005E46C9">
        <w:rPr>
          <w:rFonts w:ascii="Cambria" w:hAnsi="Cambria"/>
        </w:rPr>
        <w:t>)</w:t>
      </w:r>
      <w:r w:rsidR="006A78E8" w:rsidRPr="00577C9B">
        <w:rPr>
          <w:rFonts w:ascii="Cambria" w:hAnsi="Cambria"/>
        </w:rPr>
        <w:t xml:space="preserve"> A decision may only be set aside where the board commits jurisdiction error.</w:t>
      </w:r>
    </w:p>
    <w:p w14:paraId="4F8AA655" w14:textId="04891BB3" w:rsidR="006C3432" w:rsidRDefault="007B218E" w:rsidP="005E46C9">
      <w:pPr>
        <w:pStyle w:val="scjquote1"/>
        <w:spacing w:after="0"/>
        <w:ind w:right="1440"/>
        <w:rPr>
          <w:rFonts w:ascii="Cambria" w:hAnsi="Cambria"/>
        </w:rPr>
      </w:pPr>
      <w:r w:rsidRPr="00577C9B">
        <w:rPr>
          <w:rFonts w:ascii="Cambria" w:hAnsi="Cambria"/>
        </w:rPr>
        <w:t>6.</w:t>
      </w:r>
      <w:r w:rsidR="005E46C9">
        <w:rPr>
          <w:rFonts w:ascii="Cambria" w:hAnsi="Cambria"/>
        </w:rPr>
        <w:t>)</w:t>
      </w:r>
      <w:r w:rsidRPr="00577C9B">
        <w:rPr>
          <w:rFonts w:ascii="Cambria" w:hAnsi="Cambria"/>
        </w:rPr>
        <w:t xml:space="preserve"> </w:t>
      </w:r>
      <w:r w:rsidR="006A78E8" w:rsidRPr="00577C9B">
        <w:rPr>
          <w:rFonts w:ascii="Cambria" w:hAnsi="Cambria"/>
        </w:rPr>
        <w:t xml:space="preserve">A decision based on no evidence is patently unreasonable, but a decision based on insufficient evidence is not: </w:t>
      </w:r>
      <w:r w:rsidR="006A78E8" w:rsidRPr="00577C9B">
        <w:rPr>
          <w:rFonts w:ascii="Cambria" w:hAnsi="Cambria"/>
          <w:i/>
          <w:iCs/>
        </w:rPr>
        <w:t>Douglas Aircraft Co. of Canada Ltd. v. McConnell</w:t>
      </w:r>
      <w:r w:rsidR="006A78E8" w:rsidRPr="00577C9B">
        <w:rPr>
          <w:rFonts w:ascii="Cambria" w:hAnsi="Cambria"/>
        </w:rPr>
        <w:t xml:space="preserve">, [1980] 1 S.C.R. 245, and </w:t>
      </w:r>
      <w:r w:rsidR="006A78E8" w:rsidRPr="00577C9B">
        <w:rPr>
          <w:rFonts w:ascii="Cambria" w:hAnsi="Cambria"/>
          <w:i/>
          <w:iCs/>
        </w:rPr>
        <w:t>Board of Education for the City of Toronto v. Ontario Secondary School Teachers' Federation et al</w:t>
      </w:r>
      <w:r w:rsidR="006A78E8" w:rsidRPr="00577C9B">
        <w:rPr>
          <w:rFonts w:ascii="Cambria" w:hAnsi="Cambria"/>
        </w:rPr>
        <w:t xml:space="preserve"> (1997), 144 D.L.R. (4th) 385 (S.C.C.).</w:t>
      </w:r>
    </w:p>
    <w:p w14:paraId="61BFE6DB" w14:textId="77777777" w:rsidR="005E46C9" w:rsidRPr="00577C9B" w:rsidRDefault="005E46C9" w:rsidP="005E46C9">
      <w:pPr>
        <w:pStyle w:val="scjquote1"/>
        <w:spacing w:after="0"/>
        <w:ind w:right="1440"/>
        <w:rPr>
          <w:rFonts w:ascii="Cambria" w:hAnsi="Cambria"/>
        </w:rPr>
      </w:pPr>
    </w:p>
    <w:p w14:paraId="682B2F25" w14:textId="6CE59FB5" w:rsidR="006C3432" w:rsidRPr="00577C9B" w:rsidRDefault="006C3432" w:rsidP="006C3432">
      <w:pPr>
        <w:rPr>
          <w:rFonts w:ascii="Cambria" w:hAnsi="Cambria"/>
          <w:i/>
          <w:sz w:val="22"/>
          <w:szCs w:val="22"/>
        </w:rPr>
      </w:pPr>
      <w:r w:rsidRPr="00577C9B">
        <w:rPr>
          <w:rFonts w:ascii="Cambria" w:hAnsi="Cambria"/>
          <w:i/>
          <w:sz w:val="22"/>
          <w:szCs w:val="22"/>
        </w:rPr>
        <w:t>Administrative Tribunals Act</w:t>
      </w:r>
    </w:p>
    <w:p w14:paraId="402CD758" w14:textId="68994754" w:rsidR="006C3432" w:rsidRPr="00577C9B" w:rsidRDefault="004D35CA" w:rsidP="00577C9B">
      <w:pPr>
        <w:rPr>
          <w:rFonts w:ascii="Cambria" w:hAnsi="Cambria"/>
          <w:sz w:val="22"/>
          <w:szCs w:val="22"/>
        </w:rPr>
      </w:pPr>
      <w:r w:rsidRPr="00577C9B">
        <w:rPr>
          <w:rFonts w:ascii="Cambria" w:hAnsi="Cambria"/>
          <w:sz w:val="22"/>
          <w:szCs w:val="22"/>
        </w:rPr>
        <w:t>-Steps in determining which standard of review applies for a BC tribunal.</w:t>
      </w:r>
    </w:p>
    <w:p w14:paraId="5B524A6A" w14:textId="1836D3E9" w:rsidR="004D35CA" w:rsidRPr="00577C9B" w:rsidRDefault="004D35CA" w:rsidP="00577C9B">
      <w:pPr>
        <w:rPr>
          <w:rFonts w:ascii="Cambria" w:hAnsi="Cambria"/>
          <w:sz w:val="22"/>
          <w:szCs w:val="22"/>
        </w:rPr>
      </w:pPr>
      <w:r w:rsidRPr="00577C9B">
        <w:rPr>
          <w:rFonts w:ascii="Cambria" w:hAnsi="Cambria"/>
          <w:sz w:val="22"/>
          <w:szCs w:val="22"/>
        </w:rPr>
        <w:t xml:space="preserve">-Step 1: does the tribunal meet the definition of “tribunal” found in s. 1 of the </w:t>
      </w:r>
      <w:r w:rsidRPr="00577C9B">
        <w:rPr>
          <w:rFonts w:ascii="Cambria" w:hAnsi="Cambria"/>
          <w:i/>
          <w:sz w:val="22"/>
          <w:szCs w:val="22"/>
        </w:rPr>
        <w:t>ATA</w:t>
      </w:r>
      <w:r w:rsidRPr="00577C9B">
        <w:rPr>
          <w:rFonts w:ascii="Cambria" w:hAnsi="Cambria"/>
          <w:sz w:val="22"/>
          <w:szCs w:val="22"/>
        </w:rPr>
        <w:t xml:space="preserve">: </w:t>
      </w:r>
    </w:p>
    <w:p w14:paraId="75109526" w14:textId="436AF401" w:rsidR="004D35CA" w:rsidRPr="00577C9B" w:rsidRDefault="004D35CA" w:rsidP="00577C9B">
      <w:pPr>
        <w:ind w:left="720"/>
        <w:rPr>
          <w:rFonts w:ascii="Cambria" w:eastAsia="Times New Roman" w:hAnsi="Cambria" w:cs="Times New Roman"/>
          <w:sz w:val="22"/>
          <w:szCs w:val="22"/>
        </w:rPr>
      </w:pPr>
      <w:r w:rsidRPr="00577C9B">
        <w:rPr>
          <w:rFonts w:ascii="Cambria" w:hAnsi="Cambria"/>
          <w:sz w:val="22"/>
          <w:szCs w:val="22"/>
        </w:rPr>
        <w:t>-</w:t>
      </w:r>
      <w:r w:rsidRPr="00577C9B">
        <w:rPr>
          <w:rFonts w:ascii="Cambria" w:eastAsia="Times New Roman" w:hAnsi="Cambria" w:cs="Times New Roman"/>
          <w:sz w:val="22"/>
          <w:szCs w:val="22"/>
        </w:rPr>
        <w:t>“tribunal” means a tribunal to which some or all of the provisions of this Act are made applicable under the tribunal's enabling Act.</w:t>
      </w:r>
    </w:p>
    <w:p w14:paraId="60E4C51E" w14:textId="187C5844" w:rsidR="004D35CA" w:rsidRPr="00577C9B" w:rsidRDefault="004D35CA" w:rsidP="00577C9B">
      <w:pPr>
        <w:rPr>
          <w:rFonts w:ascii="Cambria" w:eastAsia="Times New Roman" w:hAnsi="Cambria" w:cs="Times New Roman"/>
          <w:sz w:val="22"/>
          <w:szCs w:val="22"/>
        </w:rPr>
      </w:pPr>
      <w:r w:rsidRPr="00577C9B">
        <w:rPr>
          <w:rFonts w:ascii="Cambria" w:eastAsia="Times New Roman" w:hAnsi="Cambria" w:cs="Times New Roman"/>
          <w:sz w:val="22"/>
          <w:szCs w:val="22"/>
        </w:rPr>
        <w:t xml:space="preserve">-If the answer to the above question is “no”, then the tribunal is not an </w:t>
      </w:r>
      <w:r w:rsidRPr="00577C9B">
        <w:rPr>
          <w:rFonts w:ascii="Cambria" w:eastAsia="Times New Roman" w:hAnsi="Cambria" w:cs="Times New Roman"/>
          <w:i/>
          <w:sz w:val="22"/>
          <w:szCs w:val="22"/>
        </w:rPr>
        <w:t xml:space="preserve">ATA </w:t>
      </w:r>
      <w:r w:rsidRPr="00577C9B">
        <w:rPr>
          <w:rFonts w:ascii="Cambria" w:eastAsia="Times New Roman" w:hAnsi="Cambria" w:cs="Times New Roman"/>
          <w:sz w:val="22"/>
          <w:szCs w:val="22"/>
        </w:rPr>
        <w:t xml:space="preserve">tribunal and </w:t>
      </w:r>
      <w:r w:rsidRPr="00577C9B">
        <w:rPr>
          <w:rFonts w:ascii="Cambria" w:eastAsia="Times New Roman" w:hAnsi="Cambria" w:cs="Times New Roman"/>
          <w:i/>
          <w:sz w:val="22"/>
          <w:szCs w:val="22"/>
        </w:rPr>
        <w:t>Dunsmuir</w:t>
      </w:r>
      <w:r w:rsidRPr="00577C9B">
        <w:rPr>
          <w:rFonts w:ascii="Cambria" w:eastAsia="Times New Roman" w:hAnsi="Cambria" w:cs="Times New Roman"/>
          <w:sz w:val="22"/>
          <w:szCs w:val="22"/>
        </w:rPr>
        <w:t xml:space="preserve"> applies.</w:t>
      </w:r>
    </w:p>
    <w:p w14:paraId="03FA11DC" w14:textId="27CA571A" w:rsidR="004D35CA" w:rsidRPr="00577C9B" w:rsidRDefault="004D35CA" w:rsidP="00577C9B">
      <w:pPr>
        <w:rPr>
          <w:rFonts w:ascii="Cambria" w:eastAsia="Times New Roman" w:hAnsi="Cambria" w:cs="Times New Roman"/>
          <w:sz w:val="22"/>
          <w:szCs w:val="22"/>
        </w:rPr>
      </w:pPr>
      <w:r w:rsidRPr="00577C9B">
        <w:rPr>
          <w:rFonts w:ascii="Cambria" w:eastAsia="Times New Roman" w:hAnsi="Cambria" w:cs="Times New Roman"/>
          <w:sz w:val="22"/>
          <w:szCs w:val="22"/>
        </w:rPr>
        <w:t>-If the answer is yes, next consider whether the enabling statute has a privative clause, as defined in s. 1:</w:t>
      </w:r>
    </w:p>
    <w:p w14:paraId="3091C05D" w14:textId="06292A25" w:rsidR="004D35CA" w:rsidRPr="00577C9B" w:rsidRDefault="004D35CA" w:rsidP="00577C9B">
      <w:pPr>
        <w:ind w:left="720"/>
        <w:rPr>
          <w:rFonts w:ascii="Cambria" w:eastAsia="Times New Roman" w:hAnsi="Cambria" w:cs="Times New Roman"/>
          <w:sz w:val="22"/>
          <w:szCs w:val="22"/>
        </w:rPr>
      </w:pPr>
      <w:r w:rsidRPr="00577C9B">
        <w:rPr>
          <w:rFonts w:ascii="Cambria" w:eastAsia="Times New Roman" w:hAnsi="Cambria" w:cs="Times New Roman"/>
          <w:sz w:val="22"/>
          <w:szCs w:val="22"/>
        </w:rPr>
        <w:t>-“privative clause” means provisions in the tribunal's enabling Act that give the tribunal exclusive and final jurisdiction to inquire into, hear and decide certain matters and questions and provide that a decision of the tribunal in respect of the matters within its jurisdiction is final and binding and not open to review in any court.</w:t>
      </w:r>
    </w:p>
    <w:p w14:paraId="0B8D60D0" w14:textId="02E28E7E" w:rsidR="004D35CA" w:rsidRPr="00577C9B" w:rsidRDefault="004D35CA" w:rsidP="00577C9B">
      <w:pPr>
        <w:rPr>
          <w:rFonts w:ascii="Cambria" w:eastAsia="Times New Roman" w:hAnsi="Cambria" w:cs="Times New Roman"/>
          <w:sz w:val="22"/>
          <w:szCs w:val="22"/>
        </w:rPr>
      </w:pPr>
      <w:r w:rsidRPr="00577C9B">
        <w:rPr>
          <w:rFonts w:ascii="Cambria" w:eastAsia="Times New Roman" w:hAnsi="Cambria" w:cs="Times New Roman"/>
          <w:sz w:val="22"/>
          <w:szCs w:val="22"/>
        </w:rPr>
        <w:t>-If there is a privative clause, s. 58 sets out the applicable standard of review</w:t>
      </w:r>
      <w:r w:rsidR="0005476A" w:rsidRPr="00577C9B">
        <w:rPr>
          <w:rFonts w:ascii="Cambria" w:eastAsia="Times New Roman" w:hAnsi="Cambria" w:cs="Times New Roman"/>
          <w:sz w:val="22"/>
          <w:szCs w:val="22"/>
        </w:rPr>
        <w:t>.</w:t>
      </w:r>
    </w:p>
    <w:p w14:paraId="5C71E0CB" w14:textId="1D2159AC" w:rsidR="006A78E8" w:rsidRPr="00577C9B" w:rsidRDefault="004D35CA" w:rsidP="004D35CA">
      <w:pPr>
        <w:rPr>
          <w:rFonts w:ascii="Cambria" w:eastAsia="Times New Roman" w:hAnsi="Cambria" w:cs="Times New Roman"/>
          <w:sz w:val="22"/>
          <w:szCs w:val="22"/>
        </w:rPr>
      </w:pPr>
      <w:r w:rsidRPr="00577C9B">
        <w:rPr>
          <w:rFonts w:ascii="Cambria" w:eastAsia="Times New Roman" w:hAnsi="Cambria" w:cs="Times New Roman"/>
          <w:sz w:val="22"/>
          <w:szCs w:val="22"/>
        </w:rPr>
        <w:t>-If there is no priva</w:t>
      </w:r>
      <w:r w:rsidR="0005476A" w:rsidRPr="00577C9B">
        <w:rPr>
          <w:rFonts w:ascii="Cambria" w:eastAsia="Times New Roman" w:hAnsi="Cambria" w:cs="Times New Roman"/>
          <w:sz w:val="22"/>
          <w:szCs w:val="22"/>
        </w:rPr>
        <w:t>tive clause, then s. 59 applies.</w:t>
      </w:r>
    </w:p>
    <w:p w14:paraId="17C9BCD1" w14:textId="77777777" w:rsidR="006A78E8" w:rsidRPr="00577C9B" w:rsidRDefault="006A78E8" w:rsidP="004D35CA">
      <w:pPr>
        <w:rPr>
          <w:rFonts w:ascii="Cambria" w:eastAsia="Times New Roman" w:hAnsi="Cambria" w:cs="Times New Roman"/>
          <w:sz w:val="22"/>
          <w:szCs w:val="22"/>
        </w:rPr>
      </w:pPr>
    </w:p>
    <w:p w14:paraId="2FBC1EF8" w14:textId="3A02FEB7" w:rsidR="00F00AB1" w:rsidRPr="00577C9B" w:rsidRDefault="00402230" w:rsidP="004D35CA">
      <w:pPr>
        <w:rPr>
          <w:rFonts w:ascii="Cambria" w:hAnsi="Cambria"/>
          <w:sz w:val="22"/>
          <w:szCs w:val="22"/>
        </w:rPr>
      </w:pPr>
      <w:r w:rsidRPr="00577C9B">
        <w:rPr>
          <w:rFonts w:ascii="Cambria" w:hAnsi="Cambria"/>
          <w:i/>
          <w:sz w:val="22"/>
          <w:szCs w:val="22"/>
        </w:rPr>
        <w:t>Kerton</w:t>
      </w:r>
      <w:r w:rsidR="007B218E" w:rsidRPr="00577C9B">
        <w:rPr>
          <w:rFonts w:ascii="Cambria" w:hAnsi="Cambria"/>
          <w:i/>
          <w:sz w:val="22"/>
          <w:szCs w:val="22"/>
        </w:rPr>
        <w:t xml:space="preserve"> v. WCAT </w:t>
      </w:r>
      <w:r w:rsidR="007B218E" w:rsidRPr="00577C9B">
        <w:rPr>
          <w:rFonts w:ascii="Cambria" w:hAnsi="Cambria"/>
          <w:sz w:val="22"/>
          <w:szCs w:val="22"/>
        </w:rPr>
        <w:t>(BCCA, 2011):</w:t>
      </w:r>
    </w:p>
    <w:p w14:paraId="5CAB8DA9" w14:textId="1AC59D92" w:rsidR="00402230" w:rsidRPr="00577C9B" w:rsidRDefault="00402230" w:rsidP="00577C9B">
      <w:pPr>
        <w:rPr>
          <w:sz w:val="22"/>
          <w:szCs w:val="22"/>
        </w:rPr>
      </w:pPr>
      <w:r w:rsidRPr="00577C9B">
        <w:rPr>
          <w:sz w:val="22"/>
          <w:szCs w:val="22"/>
        </w:rPr>
        <w:t xml:space="preserve">-Replaces </w:t>
      </w:r>
      <w:r w:rsidRPr="00577C9B">
        <w:rPr>
          <w:i/>
          <w:sz w:val="22"/>
          <w:szCs w:val="22"/>
        </w:rPr>
        <w:t>United Brotherhood</w:t>
      </w:r>
      <w:r w:rsidRPr="00577C9B">
        <w:rPr>
          <w:sz w:val="22"/>
          <w:szCs w:val="22"/>
        </w:rPr>
        <w:t xml:space="preserve"> (doesn’t formally overrule it because no five member panel).  </w:t>
      </w:r>
      <w:r w:rsidR="007B218E" w:rsidRPr="00577C9B">
        <w:rPr>
          <w:sz w:val="22"/>
          <w:szCs w:val="22"/>
        </w:rPr>
        <w:t xml:space="preserve">It is not necessary to go through the </w:t>
      </w:r>
      <w:r w:rsidRPr="00577C9B">
        <w:rPr>
          <w:sz w:val="22"/>
          <w:szCs w:val="22"/>
        </w:rPr>
        <w:t>pragmatic and functional test for s. 58.</w:t>
      </w:r>
      <w:r w:rsidR="007B218E" w:rsidRPr="00577C9B">
        <w:rPr>
          <w:sz w:val="22"/>
          <w:szCs w:val="22"/>
        </w:rPr>
        <w:t>`</w:t>
      </w:r>
    </w:p>
    <w:p w14:paraId="0B873291" w14:textId="77777777" w:rsidR="00402230" w:rsidRPr="00577C9B" w:rsidRDefault="00402230" w:rsidP="004D35CA">
      <w:pPr>
        <w:rPr>
          <w:sz w:val="22"/>
          <w:szCs w:val="22"/>
        </w:rPr>
      </w:pPr>
    </w:p>
    <w:p w14:paraId="5EFCD4F4" w14:textId="563AFC8B" w:rsidR="00F00AB1" w:rsidRPr="00577C9B" w:rsidRDefault="00823A6A" w:rsidP="004D35CA">
      <w:pPr>
        <w:rPr>
          <w:sz w:val="22"/>
          <w:szCs w:val="22"/>
        </w:rPr>
      </w:pPr>
      <w:r w:rsidRPr="00577C9B">
        <w:rPr>
          <w:sz w:val="22"/>
          <w:szCs w:val="22"/>
        </w:rPr>
        <w:t xml:space="preserve">Note re </w:t>
      </w:r>
      <w:r w:rsidRPr="00577C9B">
        <w:rPr>
          <w:i/>
          <w:sz w:val="22"/>
          <w:szCs w:val="22"/>
        </w:rPr>
        <w:t>Newfoundland Nurses</w:t>
      </w:r>
      <w:r w:rsidRPr="00577C9B">
        <w:rPr>
          <w:sz w:val="22"/>
          <w:szCs w:val="22"/>
        </w:rPr>
        <w:t>:</w:t>
      </w:r>
    </w:p>
    <w:p w14:paraId="3065CC7F" w14:textId="4F10E556" w:rsidR="00823A6A" w:rsidRPr="00577C9B" w:rsidRDefault="00823A6A" w:rsidP="00577C9B">
      <w:pPr>
        <w:rPr>
          <w:sz w:val="22"/>
          <w:szCs w:val="22"/>
        </w:rPr>
      </w:pPr>
      <w:r w:rsidRPr="00577C9B">
        <w:rPr>
          <w:sz w:val="22"/>
          <w:szCs w:val="22"/>
        </w:rPr>
        <w:t xml:space="preserve">-For BC </w:t>
      </w:r>
      <w:r w:rsidRPr="00577C9B">
        <w:rPr>
          <w:i/>
          <w:sz w:val="22"/>
          <w:szCs w:val="22"/>
        </w:rPr>
        <w:t xml:space="preserve">ATA </w:t>
      </w:r>
      <w:r w:rsidRPr="00577C9B">
        <w:rPr>
          <w:sz w:val="22"/>
          <w:szCs w:val="22"/>
        </w:rPr>
        <w:t>tribunals, adequacy of reasons is still part of procedural fairness and is not part of the standard of review of analysis.</w:t>
      </w:r>
    </w:p>
    <w:p w14:paraId="2FF73458" w14:textId="77777777" w:rsidR="00823A6A" w:rsidRPr="00577C9B" w:rsidRDefault="00823A6A" w:rsidP="00823A6A">
      <w:pPr>
        <w:rPr>
          <w:sz w:val="22"/>
          <w:szCs w:val="22"/>
        </w:rPr>
      </w:pPr>
    </w:p>
    <w:p w14:paraId="399FD143" w14:textId="009D7F10" w:rsidR="00823A6A" w:rsidRPr="00577C9B" w:rsidRDefault="00823A6A" w:rsidP="00823A6A">
      <w:pPr>
        <w:rPr>
          <w:sz w:val="22"/>
          <w:szCs w:val="22"/>
        </w:rPr>
      </w:pPr>
      <w:r w:rsidRPr="00577C9B">
        <w:rPr>
          <w:sz w:val="22"/>
          <w:szCs w:val="22"/>
        </w:rPr>
        <w:t xml:space="preserve">Note re </w:t>
      </w:r>
      <w:r w:rsidRPr="00577C9B">
        <w:rPr>
          <w:i/>
          <w:sz w:val="22"/>
          <w:szCs w:val="22"/>
        </w:rPr>
        <w:t>Phillips</w:t>
      </w:r>
      <w:r w:rsidRPr="00577C9B">
        <w:rPr>
          <w:sz w:val="22"/>
          <w:szCs w:val="22"/>
        </w:rPr>
        <w:t>:</w:t>
      </w:r>
    </w:p>
    <w:p w14:paraId="62F1B6F3" w14:textId="6C47228E" w:rsidR="00F00AB1" w:rsidRPr="00577C9B" w:rsidRDefault="00823A6A" w:rsidP="004D35CA">
      <w:pPr>
        <w:rPr>
          <w:sz w:val="22"/>
          <w:szCs w:val="22"/>
        </w:rPr>
      </w:pPr>
      <w:r w:rsidRPr="00577C9B">
        <w:rPr>
          <w:sz w:val="22"/>
          <w:szCs w:val="22"/>
        </w:rPr>
        <w:t>-</w:t>
      </w:r>
      <w:r w:rsidRPr="00577C9B">
        <w:rPr>
          <w:i/>
          <w:sz w:val="22"/>
          <w:szCs w:val="22"/>
        </w:rPr>
        <w:t>Phillips</w:t>
      </w:r>
      <w:r w:rsidRPr="00577C9B">
        <w:rPr>
          <w:sz w:val="22"/>
          <w:szCs w:val="22"/>
        </w:rPr>
        <w:t xml:space="preserve"> is a probably wrongly decided case that states that there is no difference between </w:t>
      </w:r>
      <w:r w:rsidRPr="00577C9B">
        <w:rPr>
          <w:i/>
          <w:sz w:val="22"/>
          <w:szCs w:val="22"/>
        </w:rPr>
        <w:t>ATA</w:t>
      </w:r>
      <w:r w:rsidRPr="00577C9B">
        <w:rPr>
          <w:sz w:val="22"/>
          <w:szCs w:val="22"/>
        </w:rPr>
        <w:t xml:space="preserve"> and non-</w:t>
      </w:r>
      <w:r w:rsidRPr="00577C9B">
        <w:rPr>
          <w:i/>
          <w:sz w:val="22"/>
          <w:szCs w:val="22"/>
        </w:rPr>
        <w:t>ATA</w:t>
      </w:r>
      <w:r w:rsidRPr="00577C9B">
        <w:rPr>
          <w:sz w:val="22"/>
          <w:szCs w:val="22"/>
        </w:rPr>
        <w:t xml:space="preserve"> tribunals regarding the placement of adequacy of reasons in the standard of review analysis.  </w:t>
      </w:r>
    </w:p>
    <w:p w14:paraId="3DE394A4" w14:textId="3E693322" w:rsidR="00F00AB1" w:rsidRPr="00D85E64" w:rsidRDefault="00823A6A" w:rsidP="0079665C">
      <w:pPr>
        <w:pStyle w:val="Heading1"/>
      </w:pPr>
      <w:bookmarkStart w:id="17" w:name="_Toc259106271"/>
      <w:r w:rsidRPr="00D85E64">
        <w:t>Delegation and Sub-Delegation</w:t>
      </w:r>
      <w:bookmarkEnd w:id="17"/>
    </w:p>
    <w:p w14:paraId="5ECA38E9" w14:textId="77777777" w:rsidR="00F00AB1" w:rsidRPr="00D85E64" w:rsidRDefault="00F00AB1" w:rsidP="004D35CA"/>
    <w:p w14:paraId="1267B5F4" w14:textId="5447325C" w:rsidR="00F00AB1" w:rsidRPr="00577C9B" w:rsidRDefault="0049144D" w:rsidP="004D35CA">
      <w:pPr>
        <w:rPr>
          <w:sz w:val="22"/>
          <w:szCs w:val="22"/>
        </w:rPr>
      </w:pPr>
      <w:r w:rsidRPr="00577C9B">
        <w:rPr>
          <w:i/>
          <w:sz w:val="22"/>
          <w:szCs w:val="22"/>
        </w:rPr>
        <w:t>Delegatus non potest delegare</w:t>
      </w:r>
      <w:r w:rsidRPr="00577C9B">
        <w:rPr>
          <w:sz w:val="22"/>
          <w:szCs w:val="22"/>
        </w:rPr>
        <w:t>:</w:t>
      </w:r>
    </w:p>
    <w:p w14:paraId="49015C85" w14:textId="710E8165" w:rsidR="0049144D" w:rsidRPr="00577C9B" w:rsidRDefault="0049144D" w:rsidP="00577C9B">
      <w:pPr>
        <w:rPr>
          <w:sz w:val="22"/>
          <w:szCs w:val="22"/>
        </w:rPr>
      </w:pPr>
      <w:r w:rsidRPr="00577C9B">
        <w:rPr>
          <w:sz w:val="22"/>
          <w:szCs w:val="22"/>
        </w:rPr>
        <w:t>-The person to whom a power is delegated cannot delegate it further.</w:t>
      </w:r>
    </w:p>
    <w:p w14:paraId="5486FF4B" w14:textId="77777777" w:rsidR="0049144D" w:rsidRPr="00577C9B" w:rsidRDefault="0049144D" w:rsidP="0049144D">
      <w:pPr>
        <w:rPr>
          <w:sz w:val="22"/>
          <w:szCs w:val="22"/>
        </w:rPr>
      </w:pPr>
    </w:p>
    <w:p w14:paraId="59FCC6F9" w14:textId="6E5E0B57" w:rsidR="0049144D" w:rsidRPr="00577C9B" w:rsidRDefault="0049144D" w:rsidP="0049144D">
      <w:pPr>
        <w:rPr>
          <w:sz w:val="22"/>
          <w:szCs w:val="22"/>
        </w:rPr>
      </w:pPr>
      <w:r w:rsidRPr="00577C9B">
        <w:rPr>
          <w:i/>
          <w:sz w:val="22"/>
          <w:szCs w:val="22"/>
        </w:rPr>
        <w:t xml:space="preserve">Carltona </w:t>
      </w:r>
      <w:r w:rsidRPr="00577C9B">
        <w:rPr>
          <w:sz w:val="22"/>
          <w:szCs w:val="22"/>
        </w:rPr>
        <w:t>Doctrine:</w:t>
      </w:r>
    </w:p>
    <w:p w14:paraId="516A196B" w14:textId="1857C821" w:rsidR="0049144D" w:rsidRPr="00577C9B" w:rsidRDefault="0049144D" w:rsidP="00577C9B">
      <w:pPr>
        <w:rPr>
          <w:sz w:val="22"/>
          <w:szCs w:val="22"/>
        </w:rPr>
      </w:pPr>
      <w:r w:rsidRPr="00577C9B">
        <w:rPr>
          <w:sz w:val="22"/>
          <w:szCs w:val="22"/>
        </w:rPr>
        <w:t>-Anyone duly employed and authorized by the Minister may exercise a power delegated to the Minister.</w:t>
      </w:r>
    </w:p>
    <w:p w14:paraId="7AA55747" w14:textId="77777777" w:rsidR="0049144D" w:rsidRPr="00577C9B" w:rsidRDefault="0049144D" w:rsidP="0049144D">
      <w:pPr>
        <w:rPr>
          <w:sz w:val="22"/>
          <w:szCs w:val="22"/>
        </w:rPr>
      </w:pPr>
    </w:p>
    <w:p w14:paraId="34122EF6" w14:textId="054D6EA5" w:rsidR="0049144D" w:rsidRPr="00577C9B" w:rsidRDefault="0049144D" w:rsidP="0049144D">
      <w:pPr>
        <w:rPr>
          <w:sz w:val="22"/>
          <w:szCs w:val="22"/>
        </w:rPr>
      </w:pPr>
      <w:r w:rsidRPr="00577C9B">
        <w:rPr>
          <w:i/>
          <w:sz w:val="22"/>
          <w:szCs w:val="22"/>
        </w:rPr>
        <w:t>The Queen v. Harrison</w:t>
      </w:r>
      <w:r w:rsidR="00AA598F" w:rsidRPr="00577C9B">
        <w:rPr>
          <w:sz w:val="22"/>
          <w:szCs w:val="22"/>
        </w:rPr>
        <w:t xml:space="preserve"> (SCC, 1977)</w:t>
      </w:r>
      <w:r w:rsidRPr="00577C9B">
        <w:rPr>
          <w:sz w:val="22"/>
          <w:szCs w:val="22"/>
        </w:rPr>
        <w:t>:</w:t>
      </w:r>
    </w:p>
    <w:p w14:paraId="38A06A0F" w14:textId="12A9BA28" w:rsidR="0049144D" w:rsidRPr="00577C9B" w:rsidRDefault="0049144D" w:rsidP="00577C9B">
      <w:pPr>
        <w:rPr>
          <w:sz w:val="22"/>
          <w:szCs w:val="22"/>
        </w:rPr>
      </w:pPr>
      <w:r w:rsidRPr="00577C9B">
        <w:rPr>
          <w:sz w:val="22"/>
          <w:szCs w:val="22"/>
        </w:rPr>
        <w:t>-Anyone who is acting on behalf of the Attorney General can confirm the Crown’s right to appeal.</w:t>
      </w:r>
    </w:p>
    <w:p w14:paraId="145753BF" w14:textId="77777777" w:rsidR="0049144D" w:rsidRPr="00577C9B" w:rsidRDefault="0049144D" w:rsidP="0049144D">
      <w:pPr>
        <w:rPr>
          <w:sz w:val="22"/>
          <w:szCs w:val="22"/>
        </w:rPr>
      </w:pPr>
    </w:p>
    <w:p w14:paraId="7534773D" w14:textId="6B803611" w:rsidR="0049144D" w:rsidRPr="00577C9B" w:rsidRDefault="0049144D" w:rsidP="0049144D">
      <w:pPr>
        <w:rPr>
          <w:sz w:val="22"/>
          <w:szCs w:val="22"/>
        </w:rPr>
      </w:pPr>
      <w:r w:rsidRPr="00577C9B">
        <w:rPr>
          <w:i/>
          <w:sz w:val="22"/>
          <w:szCs w:val="22"/>
        </w:rPr>
        <w:t>Edgar v. Canada</w:t>
      </w:r>
      <w:r w:rsidR="00AA598F" w:rsidRPr="00577C9B">
        <w:rPr>
          <w:i/>
          <w:sz w:val="22"/>
          <w:szCs w:val="22"/>
        </w:rPr>
        <w:t xml:space="preserve"> </w:t>
      </w:r>
      <w:r w:rsidR="00AA598F" w:rsidRPr="00577C9B">
        <w:rPr>
          <w:sz w:val="22"/>
          <w:szCs w:val="22"/>
        </w:rPr>
        <w:t>(ONCA, 1999)</w:t>
      </w:r>
      <w:r w:rsidRPr="00577C9B">
        <w:rPr>
          <w:sz w:val="22"/>
          <w:szCs w:val="22"/>
        </w:rPr>
        <w:t>:</w:t>
      </w:r>
    </w:p>
    <w:p w14:paraId="78CF497B" w14:textId="5043D9D3" w:rsidR="0049144D" w:rsidRPr="00577C9B" w:rsidRDefault="0049144D" w:rsidP="00577C9B">
      <w:pPr>
        <w:rPr>
          <w:sz w:val="22"/>
          <w:szCs w:val="22"/>
        </w:rPr>
      </w:pPr>
      <w:r w:rsidRPr="00577C9B">
        <w:rPr>
          <w:sz w:val="22"/>
          <w:szCs w:val="22"/>
        </w:rPr>
        <w:t>-</w:t>
      </w:r>
      <w:r w:rsidR="003B62E3" w:rsidRPr="00577C9B">
        <w:rPr>
          <w:sz w:val="22"/>
          <w:szCs w:val="22"/>
        </w:rPr>
        <w:t xml:space="preserve">If the legislation clearly states that delegation of the power is disallowed, then the Court can overcome the presumption in the </w:t>
      </w:r>
      <w:r w:rsidR="003B62E3" w:rsidRPr="00577C9B">
        <w:rPr>
          <w:i/>
          <w:sz w:val="22"/>
          <w:szCs w:val="22"/>
        </w:rPr>
        <w:t>Interpretation Act</w:t>
      </w:r>
      <w:r w:rsidR="003B62E3" w:rsidRPr="00577C9B">
        <w:rPr>
          <w:sz w:val="22"/>
          <w:szCs w:val="22"/>
        </w:rPr>
        <w:t xml:space="preserve"> that the reference to minister includes authorized employees. </w:t>
      </w:r>
    </w:p>
    <w:p w14:paraId="1627F859" w14:textId="77777777" w:rsidR="006750FF" w:rsidRPr="00577C9B" w:rsidRDefault="006750FF" w:rsidP="003B62E3">
      <w:pPr>
        <w:ind w:left="720"/>
        <w:rPr>
          <w:sz w:val="22"/>
          <w:szCs w:val="22"/>
        </w:rPr>
      </w:pPr>
    </w:p>
    <w:p w14:paraId="560843C0" w14:textId="01AA40D2" w:rsidR="003B62E3" w:rsidRPr="00577C9B" w:rsidRDefault="003B62E3" w:rsidP="003B62E3">
      <w:pPr>
        <w:rPr>
          <w:sz w:val="22"/>
          <w:szCs w:val="22"/>
        </w:rPr>
      </w:pPr>
      <w:r w:rsidRPr="00577C9B">
        <w:rPr>
          <w:i/>
          <w:sz w:val="22"/>
          <w:szCs w:val="22"/>
        </w:rPr>
        <w:t>Thorne’s Hardware Ltd v. The Queen</w:t>
      </w:r>
      <w:r w:rsidRPr="00577C9B">
        <w:rPr>
          <w:sz w:val="22"/>
          <w:szCs w:val="22"/>
        </w:rPr>
        <w:t>:</w:t>
      </w:r>
    </w:p>
    <w:p w14:paraId="155BE699" w14:textId="11EBA69E" w:rsidR="003B62E3" w:rsidRPr="00577C9B" w:rsidRDefault="003B62E3" w:rsidP="00577C9B">
      <w:pPr>
        <w:rPr>
          <w:sz w:val="22"/>
          <w:szCs w:val="22"/>
        </w:rPr>
      </w:pPr>
      <w:r w:rsidRPr="00577C9B">
        <w:rPr>
          <w:sz w:val="22"/>
          <w:szCs w:val="22"/>
        </w:rPr>
        <w:t xml:space="preserve">-The Courts may judicially review delegated decisions of cabinet </w:t>
      </w:r>
      <w:r w:rsidR="00D55250" w:rsidRPr="00577C9B">
        <w:rPr>
          <w:sz w:val="22"/>
          <w:szCs w:val="22"/>
        </w:rPr>
        <w:t xml:space="preserve">only </w:t>
      </w:r>
      <w:r w:rsidRPr="00577C9B">
        <w:rPr>
          <w:sz w:val="22"/>
          <w:szCs w:val="22"/>
        </w:rPr>
        <w:t>in cases of egregious abuses of delegated authority.</w:t>
      </w:r>
    </w:p>
    <w:p w14:paraId="44D01EAD" w14:textId="3415C0CD" w:rsidR="005A3400" w:rsidRPr="00577C9B" w:rsidRDefault="007A6175" w:rsidP="00577C9B">
      <w:pPr>
        <w:rPr>
          <w:sz w:val="22"/>
          <w:szCs w:val="22"/>
        </w:rPr>
      </w:pPr>
      <w:r w:rsidRPr="00577C9B">
        <w:rPr>
          <w:sz w:val="22"/>
          <w:szCs w:val="22"/>
        </w:rPr>
        <w:t xml:space="preserve">-Overruled by </w:t>
      </w:r>
      <w:r w:rsidRPr="00577C9B">
        <w:rPr>
          <w:i/>
          <w:sz w:val="22"/>
          <w:szCs w:val="22"/>
        </w:rPr>
        <w:t>Globalive</w:t>
      </w:r>
      <w:r w:rsidRPr="00577C9B">
        <w:rPr>
          <w:sz w:val="22"/>
          <w:szCs w:val="22"/>
        </w:rPr>
        <w:t>.</w:t>
      </w:r>
    </w:p>
    <w:p w14:paraId="0AB22DE2" w14:textId="77777777" w:rsidR="003B62E3" w:rsidRPr="00577C9B" w:rsidRDefault="003B62E3" w:rsidP="003B62E3">
      <w:pPr>
        <w:rPr>
          <w:sz w:val="22"/>
          <w:szCs w:val="22"/>
        </w:rPr>
      </w:pPr>
    </w:p>
    <w:p w14:paraId="7096F49D" w14:textId="5776D58F" w:rsidR="003B62E3" w:rsidRPr="00577C9B" w:rsidRDefault="003B62E3" w:rsidP="003B62E3">
      <w:pPr>
        <w:rPr>
          <w:sz w:val="22"/>
          <w:szCs w:val="22"/>
        </w:rPr>
      </w:pPr>
      <w:r w:rsidRPr="00577C9B">
        <w:rPr>
          <w:i/>
          <w:sz w:val="22"/>
          <w:szCs w:val="22"/>
        </w:rPr>
        <w:t>Globalive Wireless Management Corp v. Public Mobile</w:t>
      </w:r>
      <w:r w:rsidRPr="00577C9B">
        <w:rPr>
          <w:sz w:val="22"/>
          <w:szCs w:val="22"/>
        </w:rPr>
        <w:t>:</w:t>
      </w:r>
    </w:p>
    <w:p w14:paraId="6A33301B" w14:textId="5F300522" w:rsidR="003B62E3" w:rsidRPr="00577C9B" w:rsidRDefault="003B62E3" w:rsidP="00577C9B">
      <w:pPr>
        <w:rPr>
          <w:sz w:val="22"/>
          <w:szCs w:val="22"/>
        </w:rPr>
      </w:pPr>
      <w:r w:rsidRPr="00577C9B">
        <w:rPr>
          <w:sz w:val="22"/>
          <w:szCs w:val="22"/>
        </w:rPr>
        <w:t xml:space="preserve">-Whenever cabinet acts as a statutory decision maker, its decisions are open to judicial review.  The standard of review will be the same as any other tribunal.  </w:t>
      </w:r>
    </w:p>
    <w:p w14:paraId="1A51AD9C" w14:textId="77777777" w:rsidR="00062BE5" w:rsidRDefault="00062BE5" w:rsidP="00062BE5"/>
    <w:p w14:paraId="4A7DF397" w14:textId="5CF6D15A" w:rsidR="00062BE5" w:rsidRPr="00062BE5" w:rsidRDefault="00062BE5" w:rsidP="00062BE5">
      <w:pPr>
        <w:pStyle w:val="Heading2"/>
      </w:pPr>
      <w:bookmarkStart w:id="18" w:name="_Toc259106272"/>
      <w:r w:rsidRPr="00062BE5">
        <w:t>Delegated Rule Making</w:t>
      </w:r>
      <w:bookmarkEnd w:id="18"/>
    </w:p>
    <w:p w14:paraId="35A42083" w14:textId="77777777" w:rsidR="00D55250" w:rsidRPr="00D85E64" w:rsidRDefault="00D55250" w:rsidP="00D55250"/>
    <w:p w14:paraId="74801D86" w14:textId="52DB377C" w:rsidR="00D55250" w:rsidRPr="00577C9B" w:rsidRDefault="00D55250" w:rsidP="00D55250">
      <w:pPr>
        <w:rPr>
          <w:sz w:val="22"/>
          <w:szCs w:val="22"/>
        </w:rPr>
      </w:pPr>
      <w:r w:rsidRPr="00577C9B">
        <w:rPr>
          <w:i/>
          <w:sz w:val="22"/>
          <w:szCs w:val="22"/>
        </w:rPr>
        <w:t>Enbridge Gas Distribution Inc. v. Ontario (Energy Board)</w:t>
      </w:r>
      <w:r w:rsidRPr="00577C9B">
        <w:rPr>
          <w:sz w:val="22"/>
          <w:szCs w:val="22"/>
        </w:rPr>
        <w:t xml:space="preserve"> (ONCA, 2005):</w:t>
      </w:r>
    </w:p>
    <w:p w14:paraId="52243A3E" w14:textId="2379EC2F" w:rsidR="00D55250" w:rsidRPr="00577C9B" w:rsidRDefault="00D55250" w:rsidP="00D55250">
      <w:pPr>
        <w:rPr>
          <w:sz w:val="22"/>
          <w:szCs w:val="22"/>
        </w:rPr>
      </w:pPr>
      <w:r w:rsidRPr="00577C9B">
        <w:rPr>
          <w:sz w:val="22"/>
          <w:szCs w:val="22"/>
        </w:rPr>
        <w:t xml:space="preserve">-Judicial review of delegated rule-making authority.  </w:t>
      </w:r>
    </w:p>
    <w:p w14:paraId="11981942" w14:textId="5C6D80B3" w:rsidR="00D55250" w:rsidRPr="00577C9B" w:rsidRDefault="00D55250" w:rsidP="00577C9B">
      <w:pPr>
        <w:rPr>
          <w:sz w:val="22"/>
          <w:szCs w:val="22"/>
        </w:rPr>
      </w:pPr>
      <w:r w:rsidRPr="00577C9B">
        <w:rPr>
          <w:sz w:val="22"/>
          <w:szCs w:val="22"/>
        </w:rPr>
        <w:t xml:space="preserve">-For reviewing delegated rule-making authority (as opposed to delegated decision-making authority), you must look to the statute to determine whether it specifically delegates the rule-making authority in question.  If so, the delegation is valid; if not, it is </w:t>
      </w:r>
      <w:r w:rsidRPr="00577C9B">
        <w:rPr>
          <w:i/>
          <w:sz w:val="22"/>
          <w:szCs w:val="22"/>
        </w:rPr>
        <w:t>ultra vires</w:t>
      </w:r>
      <w:r w:rsidRPr="00577C9B">
        <w:rPr>
          <w:sz w:val="22"/>
          <w:szCs w:val="22"/>
        </w:rPr>
        <w:t>.</w:t>
      </w:r>
    </w:p>
    <w:p w14:paraId="5041C49D" w14:textId="77777777" w:rsidR="003B62E3" w:rsidRPr="00577C9B" w:rsidRDefault="003B62E3" w:rsidP="003B62E3">
      <w:pPr>
        <w:rPr>
          <w:sz w:val="22"/>
          <w:szCs w:val="22"/>
        </w:rPr>
      </w:pPr>
    </w:p>
    <w:p w14:paraId="06209E05" w14:textId="451D77E2" w:rsidR="003B62E3" w:rsidRPr="00577C9B" w:rsidRDefault="00D55250" w:rsidP="003B62E3">
      <w:pPr>
        <w:rPr>
          <w:sz w:val="22"/>
          <w:szCs w:val="22"/>
        </w:rPr>
      </w:pPr>
      <w:r w:rsidRPr="00577C9B">
        <w:rPr>
          <w:i/>
          <w:sz w:val="22"/>
          <w:szCs w:val="22"/>
        </w:rPr>
        <w:t>Skyline Roofing Ltd. v. Alberta</w:t>
      </w:r>
      <w:r w:rsidRPr="00577C9B">
        <w:rPr>
          <w:sz w:val="22"/>
          <w:szCs w:val="22"/>
        </w:rPr>
        <w:t xml:space="preserve"> (ABQB, 2001):</w:t>
      </w:r>
    </w:p>
    <w:p w14:paraId="6FEF29A4" w14:textId="34070699" w:rsidR="00D55250" w:rsidRPr="00577C9B" w:rsidRDefault="00D55250" w:rsidP="00577C9B">
      <w:pPr>
        <w:rPr>
          <w:sz w:val="22"/>
          <w:szCs w:val="22"/>
        </w:rPr>
      </w:pPr>
      <w:r w:rsidRPr="00577C9B">
        <w:rPr>
          <w:sz w:val="22"/>
          <w:szCs w:val="22"/>
        </w:rPr>
        <w:t>-The power to make retroactive policies will not be inferred by the Court unless specifically required by the statute.</w:t>
      </w:r>
    </w:p>
    <w:p w14:paraId="3611F317" w14:textId="4AA01A09" w:rsidR="00D55250" w:rsidRPr="00577C9B" w:rsidRDefault="00D55250" w:rsidP="00577C9B">
      <w:pPr>
        <w:rPr>
          <w:sz w:val="22"/>
          <w:szCs w:val="22"/>
        </w:rPr>
      </w:pPr>
      <w:r w:rsidRPr="00577C9B">
        <w:rPr>
          <w:sz w:val="22"/>
          <w:szCs w:val="22"/>
        </w:rPr>
        <w:t xml:space="preserve">-Policy concern: citizens are entitled to know what the law is at the date they are making decisions about their conduct.  </w:t>
      </w:r>
    </w:p>
    <w:p w14:paraId="0C94FC4F" w14:textId="39A27C8A" w:rsidR="00D55250" w:rsidRPr="00577C9B" w:rsidRDefault="00D55250" w:rsidP="00577C9B">
      <w:pPr>
        <w:rPr>
          <w:sz w:val="22"/>
          <w:szCs w:val="22"/>
        </w:rPr>
      </w:pPr>
      <w:r w:rsidRPr="00577C9B">
        <w:rPr>
          <w:sz w:val="22"/>
          <w:szCs w:val="22"/>
        </w:rPr>
        <w:t>-General presumption that policies cannot be made to apply retroactively.</w:t>
      </w:r>
    </w:p>
    <w:p w14:paraId="7B13975B" w14:textId="77777777" w:rsidR="00D55250" w:rsidRPr="00577C9B" w:rsidRDefault="00D55250" w:rsidP="00D55250">
      <w:pPr>
        <w:rPr>
          <w:i/>
          <w:sz w:val="22"/>
          <w:szCs w:val="22"/>
        </w:rPr>
      </w:pPr>
    </w:p>
    <w:p w14:paraId="299084FD" w14:textId="525BD63F" w:rsidR="00D55250" w:rsidRPr="00577C9B" w:rsidRDefault="00D55250" w:rsidP="00D55250">
      <w:pPr>
        <w:rPr>
          <w:sz w:val="22"/>
          <w:szCs w:val="22"/>
        </w:rPr>
      </w:pPr>
      <w:r w:rsidRPr="00577C9B">
        <w:rPr>
          <w:i/>
          <w:sz w:val="22"/>
          <w:szCs w:val="22"/>
        </w:rPr>
        <w:t>Canadian Forest Products Ltd. v. BC</w:t>
      </w:r>
      <w:r w:rsidRPr="00577C9B">
        <w:rPr>
          <w:sz w:val="22"/>
          <w:szCs w:val="22"/>
        </w:rPr>
        <w:t xml:space="preserve"> (BCSC, 2009):</w:t>
      </w:r>
    </w:p>
    <w:p w14:paraId="1ECF6475" w14:textId="154DAE2E" w:rsidR="00DD4139" w:rsidRPr="00577C9B" w:rsidRDefault="00D55250" w:rsidP="00577C9B">
      <w:pPr>
        <w:rPr>
          <w:sz w:val="22"/>
          <w:szCs w:val="22"/>
        </w:rPr>
      </w:pPr>
      <w:r w:rsidRPr="00577C9B">
        <w:rPr>
          <w:sz w:val="22"/>
          <w:szCs w:val="22"/>
        </w:rPr>
        <w:t>-</w:t>
      </w:r>
      <w:r w:rsidR="00DD4139" w:rsidRPr="00577C9B">
        <w:rPr>
          <w:sz w:val="22"/>
          <w:szCs w:val="22"/>
        </w:rPr>
        <w:t>Where the home statute does not allow retroactive rule making, any retroactive rules are inoperative to the extent that they conflict with the enabling statute.</w:t>
      </w:r>
    </w:p>
    <w:p w14:paraId="601FCDBC" w14:textId="77777777" w:rsidR="00DD4139" w:rsidRPr="00577C9B" w:rsidRDefault="00DD4139" w:rsidP="00DD4139">
      <w:pPr>
        <w:rPr>
          <w:sz w:val="22"/>
          <w:szCs w:val="22"/>
        </w:rPr>
      </w:pPr>
    </w:p>
    <w:p w14:paraId="3F2499E3" w14:textId="0F1248EF" w:rsidR="00DD4139" w:rsidRPr="00577C9B" w:rsidRDefault="00DD4139" w:rsidP="00DD4139">
      <w:pPr>
        <w:rPr>
          <w:sz w:val="22"/>
          <w:szCs w:val="22"/>
        </w:rPr>
      </w:pPr>
      <w:r w:rsidRPr="00577C9B">
        <w:rPr>
          <w:i/>
          <w:sz w:val="22"/>
          <w:szCs w:val="22"/>
        </w:rPr>
        <w:t xml:space="preserve">Thamotharem v. Canada (Minister of Citizenship and Immigration) </w:t>
      </w:r>
      <w:r w:rsidRPr="00577C9B">
        <w:rPr>
          <w:sz w:val="22"/>
          <w:szCs w:val="22"/>
        </w:rPr>
        <w:t>(FCA, 2007):</w:t>
      </w:r>
    </w:p>
    <w:p w14:paraId="174A0E46" w14:textId="40F8D35C" w:rsidR="00DD4139" w:rsidRPr="00577C9B" w:rsidRDefault="00DD4139" w:rsidP="00577C9B">
      <w:pPr>
        <w:rPr>
          <w:sz w:val="22"/>
          <w:szCs w:val="22"/>
        </w:rPr>
      </w:pPr>
      <w:r w:rsidRPr="00577C9B">
        <w:rPr>
          <w:sz w:val="22"/>
          <w:szCs w:val="22"/>
        </w:rPr>
        <w:t>-Where a statute includes residual discretion, any rules made under delegated authority must retain some of that discretion.</w:t>
      </w:r>
    </w:p>
    <w:p w14:paraId="24D158E0" w14:textId="0E4B44CC" w:rsidR="00DD4139" w:rsidRPr="00577C9B" w:rsidRDefault="00DD4139" w:rsidP="00577C9B">
      <w:pPr>
        <w:rPr>
          <w:sz w:val="22"/>
          <w:szCs w:val="22"/>
        </w:rPr>
      </w:pPr>
      <w:r w:rsidRPr="00577C9B">
        <w:rPr>
          <w:sz w:val="22"/>
          <w:szCs w:val="22"/>
        </w:rPr>
        <w:t>-This applies to both regulations as well as soft law such as guidelines.</w:t>
      </w:r>
    </w:p>
    <w:p w14:paraId="789AFB28" w14:textId="77777777" w:rsidR="00DD4139" w:rsidRPr="00577C9B" w:rsidRDefault="00DD4139" w:rsidP="00DD4139">
      <w:pPr>
        <w:rPr>
          <w:sz w:val="22"/>
          <w:szCs w:val="22"/>
        </w:rPr>
      </w:pPr>
    </w:p>
    <w:p w14:paraId="6CA21E72" w14:textId="59FF1A51" w:rsidR="00DD4139" w:rsidRPr="00D85E64" w:rsidRDefault="007F7008" w:rsidP="0079665C">
      <w:pPr>
        <w:pStyle w:val="Heading1"/>
      </w:pPr>
      <w:bookmarkStart w:id="19" w:name="_Toc259106273"/>
      <w:r w:rsidRPr="00D85E64">
        <w:t>Constitution and Human Rights</w:t>
      </w:r>
      <w:bookmarkEnd w:id="19"/>
    </w:p>
    <w:p w14:paraId="334E32C9" w14:textId="77777777" w:rsidR="007F7008" w:rsidRPr="00D85E64" w:rsidRDefault="007F7008" w:rsidP="00DD4139"/>
    <w:p w14:paraId="2AA17257" w14:textId="5C26FF6A" w:rsidR="007F7008" w:rsidRPr="00577C9B" w:rsidRDefault="00AC7EBC" w:rsidP="00DD4139">
      <w:pPr>
        <w:rPr>
          <w:sz w:val="22"/>
          <w:szCs w:val="22"/>
        </w:rPr>
      </w:pPr>
      <w:r w:rsidRPr="00577C9B">
        <w:rPr>
          <w:i/>
          <w:sz w:val="22"/>
          <w:szCs w:val="22"/>
        </w:rPr>
        <w:t>Cooper v. Canada</w:t>
      </w:r>
      <w:r w:rsidRPr="00577C9B">
        <w:rPr>
          <w:sz w:val="22"/>
          <w:szCs w:val="22"/>
        </w:rPr>
        <w:t xml:space="preserve"> (SCC, 1996):</w:t>
      </w:r>
    </w:p>
    <w:p w14:paraId="3686603E" w14:textId="434AD0FA" w:rsidR="00AC7EBC" w:rsidRPr="00577C9B" w:rsidRDefault="00AC7EBC" w:rsidP="00577C9B">
      <w:pPr>
        <w:rPr>
          <w:sz w:val="22"/>
          <w:szCs w:val="22"/>
        </w:rPr>
      </w:pPr>
      <w:r w:rsidRPr="00577C9B">
        <w:rPr>
          <w:sz w:val="22"/>
          <w:szCs w:val="22"/>
        </w:rPr>
        <w:t xml:space="preserve">-Dissenting judgment: principle that tribunals may apply and interpret the </w:t>
      </w:r>
      <w:r w:rsidRPr="00577C9B">
        <w:rPr>
          <w:i/>
          <w:sz w:val="22"/>
          <w:szCs w:val="22"/>
        </w:rPr>
        <w:t>Charter</w:t>
      </w:r>
      <w:r w:rsidRPr="00577C9B">
        <w:rPr>
          <w:sz w:val="22"/>
          <w:szCs w:val="22"/>
        </w:rPr>
        <w:t xml:space="preserve">.    “The </w:t>
      </w:r>
      <w:r w:rsidRPr="00577C9B">
        <w:rPr>
          <w:i/>
          <w:sz w:val="22"/>
          <w:szCs w:val="22"/>
        </w:rPr>
        <w:t xml:space="preserve">Charter </w:t>
      </w:r>
      <w:r w:rsidRPr="00577C9B">
        <w:rPr>
          <w:sz w:val="22"/>
          <w:szCs w:val="22"/>
        </w:rPr>
        <w:t>is not some holy grail which only judicial initiates of the superior courts may touch.”</w:t>
      </w:r>
    </w:p>
    <w:p w14:paraId="283FE24F" w14:textId="77777777" w:rsidR="00AC7EBC" w:rsidRPr="00577C9B" w:rsidRDefault="00AC7EBC" w:rsidP="00AC7EBC">
      <w:pPr>
        <w:rPr>
          <w:sz w:val="22"/>
          <w:szCs w:val="22"/>
        </w:rPr>
      </w:pPr>
    </w:p>
    <w:p w14:paraId="35D9C239" w14:textId="54BB9FEE" w:rsidR="00AC7EBC" w:rsidRPr="00577C9B" w:rsidRDefault="00AC7EBC" w:rsidP="00AC7EBC">
      <w:pPr>
        <w:rPr>
          <w:sz w:val="22"/>
          <w:szCs w:val="22"/>
        </w:rPr>
      </w:pPr>
      <w:r w:rsidRPr="00577C9B">
        <w:rPr>
          <w:i/>
          <w:sz w:val="22"/>
          <w:szCs w:val="22"/>
        </w:rPr>
        <w:t>Nova Scotia (Workers’ Compensation Board) v. Martin</w:t>
      </w:r>
      <w:r w:rsidRPr="00577C9B">
        <w:rPr>
          <w:sz w:val="22"/>
          <w:szCs w:val="22"/>
        </w:rPr>
        <w:t xml:space="preserve"> (SCC, 2003):</w:t>
      </w:r>
    </w:p>
    <w:p w14:paraId="5E288D25" w14:textId="17C0A76B" w:rsidR="00AC7EBC" w:rsidRPr="00577C9B" w:rsidRDefault="00D67D85" w:rsidP="00577C9B">
      <w:pPr>
        <w:rPr>
          <w:sz w:val="22"/>
          <w:szCs w:val="22"/>
        </w:rPr>
      </w:pPr>
      <w:r w:rsidRPr="00577C9B">
        <w:rPr>
          <w:sz w:val="22"/>
          <w:szCs w:val="22"/>
        </w:rPr>
        <w:t>-Test for determining whether tribunal has jurisdiction to decide constitutional questions:</w:t>
      </w:r>
    </w:p>
    <w:p w14:paraId="1FE663E3" w14:textId="6B37226B" w:rsidR="00D67D85" w:rsidRPr="00577C9B" w:rsidRDefault="00D67D85" w:rsidP="00577C9B">
      <w:pPr>
        <w:ind w:left="720"/>
        <w:rPr>
          <w:sz w:val="22"/>
          <w:szCs w:val="22"/>
        </w:rPr>
      </w:pPr>
      <w:r w:rsidRPr="00577C9B">
        <w:rPr>
          <w:sz w:val="22"/>
          <w:szCs w:val="22"/>
        </w:rPr>
        <w:t>-Does the home statute authorize the tribunal to decide questions of law?  If so, then the tribunal may presumptively decide constitutional questions.</w:t>
      </w:r>
    </w:p>
    <w:p w14:paraId="080BE7F0" w14:textId="4BCD9A88" w:rsidR="00D67D85" w:rsidRPr="00577C9B" w:rsidRDefault="00D67D85" w:rsidP="00577C9B">
      <w:pPr>
        <w:ind w:left="720"/>
        <w:rPr>
          <w:sz w:val="22"/>
          <w:szCs w:val="22"/>
        </w:rPr>
      </w:pPr>
      <w:r w:rsidRPr="00577C9B">
        <w:rPr>
          <w:sz w:val="22"/>
          <w:szCs w:val="22"/>
        </w:rPr>
        <w:t>-This presumption may be rebutted where there is clear statutory indication that the legislature did not intend to give the tribunal authority to decide constitutional questions.</w:t>
      </w:r>
    </w:p>
    <w:p w14:paraId="29AE4406" w14:textId="77777777" w:rsidR="00D67D85" w:rsidRPr="00577C9B" w:rsidRDefault="00D67D85" w:rsidP="00D67D85">
      <w:pPr>
        <w:rPr>
          <w:sz w:val="22"/>
          <w:szCs w:val="22"/>
        </w:rPr>
      </w:pPr>
    </w:p>
    <w:p w14:paraId="1D74743F" w14:textId="1D558E75" w:rsidR="00D67D85" w:rsidRPr="00577C9B" w:rsidRDefault="00D67D85" w:rsidP="00D67D85">
      <w:pPr>
        <w:rPr>
          <w:sz w:val="22"/>
          <w:szCs w:val="22"/>
        </w:rPr>
      </w:pPr>
      <w:r w:rsidRPr="00577C9B">
        <w:rPr>
          <w:i/>
          <w:sz w:val="22"/>
          <w:szCs w:val="22"/>
        </w:rPr>
        <w:t>ATA</w:t>
      </w:r>
      <w:r w:rsidRPr="00577C9B">
        <w:rPr>
          <w:sz w:val="22"/>
          <w:szCs w:val="22"/>
        </w:rPr>
        <w:t xml:space="preserve"> ss. 44, 45, and 46</w:t>
      </w:r>
      <w:r w:rsidR="00CA05DD" w:rsidRPr="00577C9B">
        <w:rPr>
          <w:sz w:val="22"/>
          <w:szCs w:val="22"/>
        </w:rPr>
        <w:t>:</w:t>
      </w:r>
    </w:p>
    <w:p w14:paraId="179C551A" w14:textId="5E4DAD32" w:rsidR="00D67D85" w:rsidRPr="00577C9B" w:rsidRDefault="00D67D85" w:rsidP="00577C9B">
      <w:pPr>
        <w:rPr>
          <w:sz w:val="22"/>
          <w:szCs w:val="22"/>
        </w:rPr>
      </w:pPr>
      <w:r w:rsidRPr="00577C9B">
        <w:rPr>
          <w:sz w:val="22"/>
          <w:szCs w:val="22"/>
        </w:rPr>
        <w:t>-</w:t>
      </w:r>
      <w:r w:rsidRPr="00577C9B">
        <w:rPr>
          <w:i/>
          <w:sz w:val="22"/>
          <w:szCs w:val="22"/>
        </w:rPr>
        <w:t xml:space="preserve">ATA </w:t>
      </w:r>
      <w:r w:rsidRPr="00577C9B">
        <w:rPr>
          <w:sz w:val="22"/>
          <w:szCs w:val="22"/>
        </w:rPr>
        <w:t>sets out clear contrary intention that most tribunals cannot decide constitutional questions.</w:t>
      </w:r>
    </w:p>
    <w:p w14:paraId="20F7D25B" w14:textId="6FFFA4F6" w:rsidR="00D67D85" w:rsidRPr="00577C9B" w:rsidRDefault="00D67D85" w:rsidP="00577C9B">
      <w:pPr>
        <w:rPr>
          <w:sz w:val="22"/>
          <w:szCs w:val="22"/>
        </w:rPr>
      </w:pPr>
      <w:r w:rsidRPr="00577C9B">
        <w:rPr>
          <w:sz w:val="22"/>
          <w:szCs w:val="22"/>
        </w:rPr>
        <w:t>-S. 44: tribunals that have no jurisdiction over constitutional questions.</w:t>
      </w:r>
    </w:p>
    <w:p w14:paraId="3D68588B" w14:textId="50FE17DA" w:rsidR="00D67D85" w:rsidRPr="00577C9B" w:rsidRDefault="00D67D85" w:rsidP="00577C9B">
      <w:pPr>
        <w:rPr>
          <w:sz w:val="22"/>
          <w:szCs w:val="22"/>
        </w:rPr>
      </w:pPr>
      <w:r w:rsidRPr="00577C9B">
        <w:rPr>
          <w:sz w:val="22"/>
          <w:szCs w:val="22"/>
        </w:rPr>
        <w:t xml:space="preserve">-S. 45: tribunals that cannot hear </w:t>
      </w:r>
      <w:r w:rsidRPr="00577C9B">
        <w:rPr>
          <w:i/>
          <w:sz w:val="22"/>
          <w:szCs w:val="22"/>
        </w:rPr>
        <w:t>Charter</w:t>
      </w:r>
      <w:r w:rsidRPr="00577C9B">
        <w:rPr>
          <w:sz w:val="22"/>
          <w:szCs w:val="22"/>
        </w:rPr>
        <w:t xml:space="preserve"> questions.  S. 45(2) allows these tribunals to refer non-</w:t>
      </w:r>
      <w:r w:rsidRPr="00577C9B">
        <w:rPr>
          <w:i/>
          <w:sz w:val="22"/>
          <w:szCs w:val="22"/>
        </w:rPr>
        <w:t xml:space="preserve">Charter </w:t>
      </w:r>
      <w:r w:rsidRPr="00577C9B">
        <w:rPr>
          <w:sz w:val="22"/>
          <w:szCs w:val="22"/>
        </w:rPr>
        <w:t>constitutional questions to a court in the form of a stated case on the request of a party, its own initiative, or at the request of the Attorney General.</w:t>
      </w:r>
    </w:p>
    <w:p w14:paraId="35FD499F" w14:textId="62B54B85" w:rsidR="00D67D85" w:rsidRPr="00577C9B" w:rsidRDefault="00D67D85" w:rsidP="00577C9B">
      <w:pPr>
        <w:rPr>
          <w:sz w:val="22"/>
          <w:szCs w:val="22"/>
        </w:rPr>
      </w:pPr>
      <w:r w:rsidRPr="00577C9B">
        <w:rPr>
          <w:sz w:val="22"/>
          <w:szCs w:val="22"/>
        </w:rPr>
        <w:t>-S. 46</w:t>
      </w:r>
      <w:r w:rsidR="007A562E" w:rsidRPr="00577C9B">
        <w:rPr>
          <w:sz w:val="22"/>
          <w:szCs w:val="22"/>
        </w:rPr>
        <w:t xml:space="preserve">: if the tribunal has jurisdiction over a constitutional question, and a constitutional is raised, then the Attorney General must be notified pursuant to s. 8 of the </w:t>
      </w:r>
      <w:r w:rsidR="007A562E" w:rsidRPr="00577C9B">
        <w:rPr>
          <w:i/>
          <w:sz w:val="22"/>
          <w:szCs w:val="22"/>
        </w:rPr>
        <w:t>Constitutional Question Act</w:t>
      </w:r>
      <w:r w:rsidR="007A562E" w:rsidRPr="00577C9B">
        <w:rPr>
          <w:sz w:val="22"/>
          <w:szCs w:val="22"/>
        </w:rPr>
        <w:t xml:space="preserve">. </w:t>
      </w:r>
    </w:p>
    <w:p w14:paraId="601F27D3" w14:textId="253E0B9C" w:rsidR="007A562E" w:rsidRPr="00577C9B" w:rsidRDefault="007A562E" w:rsidP="00577C9B">
      <w:pPr>
        <w:rPr>
          <w:sz w:val="22"/>
          <w:szCs w:val="22"/>
        </w:rPr>
      </w:pPr>
      <w:r w:rsidRPr="00577C9B">
        <w:rPr>
          <w:sz w:val="22"/>
          <w:szCs w:val="22"/>
        </w:rPr>
        <w:t xml:space="preserve">-S. 1 defines constitutional questions as matters in respect of which notice must be filed pursuant to the </w:t>
      </w:r>
      <w:r w:rsidRPr="00577C9B">
        <w:rPr>
          <w:i/>
          <w:sz w:val="22"/>
          <w:szCs w:val="22"/>
        </w:rPr>
        <w:t>Constitutional Question Act</w:t>
      </w:r>
      <w:r w:rsidRPr="00577C9B">
        <w:rPr>
          <w:sz w:val="22"/>
          <w:szCs w:val="22"/>
        </w:rPr>
        <w:t>, which only applies the to validity or applicability of remedies or enactments.  This does not apply to guidelines or policies.</w:t>
      </w:r>
    </w:p>
    <w:p w14:paraId="585037C9" w14:textId="77777777" w:rsidR="007A562E" w:rsidRPr="00577C9B" w:rsidRDefault="007A562E" w:rsidP="007A562E">
      <w:pPr>
        <w:rPr>
          <w:sz w:val="22"/>
          <w:szCs w:val="22"/>
        </w:rPr>
      </w:pPr>
    </w:p>
    <w:p w14:paraId="18790B3D" w14:textId="1EDE1C40" w:rsidR="007A562E" w:rsidRPr="00577C9B" w:rsidRDefault="007A562E" w:rsidP="007A562E">
      <w:pPr>
        <w:rPr>
          <w:sz w:val="22"/>
          <w:szCs w:val="22"/>
        </w:rPr>
      </w:pPr>
      <w:r w:rsidRPr="00577C9B">
        <w:rPr>
          <w:i/>
          <w:sz w:val="22"/>
          <w:szCs w:val="22"/>
        </w:rPr>
        <w:t>Irwin Toy Ltd. v. Quebec (Attorney General)</w:t>
      </w:r>
      <w:r w:rsidRPr="00577C9B">
        <w:rPr>
          <w:sz w:val="22"/>
          <w:szCs w:val="22"/>
        </w:rPr>
        <w:t xml:space="preserve"> (SCC, 1989):</w:t>
      </w:r>
    </w:p>
    <w:p w14:paraId="51120B10" w14:textId="1766929B" w:rsidR="009844C7" w:rsidRPr="00577C9B" w:rsidRDefault="007A562E" w:rsidP="007A562E">
      <w:pPr>
        <w:rPr>
          <w:sz w:val="22"/>
          <w:szCs w:val="22"/>
        </w:rPr>
      </w:pPr>
      <w:r w:rsidRPr="00577C9B">
        <w:rPr>
          <w:sz w:val="22"/>
          <w:szCs w:val="22"/>
        </w:rPr>
        <w:t>-S. 7 does not protect economic rights.</w:t>
      </w:r>
      <w:r w:rsidR="009844C7" w:rsidRPr="00577C9B">
        <w:rPr>
          <w:sz w:val="22"/>
          <w:szCs w:val="22"/>
        </w:rPr>
        <w:t xml:space="preserve">   </w:t>
      </w:r>
    </w:p>
    <w:p w14:paraId="3E2E180E" w14:textId="77777777" w:rsidR="009844C7" w:rsidRPr="00577C9B" w:rsidRDefault="009844C7" w:rsidP="007A562E">
      <w:pPr>
        <w:rPr>
          <w:sz w:val="22"/>
          <w:szCs w:val="22"/>
        </w:rPr>
      </w:pPr>
    </w:p>
    <w:p w14:paraId="095D9640" w14:textId="219B4245" w:rsidR="009844C7" w:rsidRPr="00577C9B" w:rsidRDefault="009844C7" w:rsidP="007A562E">
      <w:pPr>
        <w:rPr>
          <w:sz w:val="22"/>
          <w:szCs w:val="22"/>
        </w:rPr>
      </w:pPr>
      <w:r w:rsidRPr="00577C9B">
        <w:rPr>
          <w:i/>
          <w:sz w:val="22"/>
          <w:szCs w:val="22"/>
        </w:rPr>
        <w:t>Blencoe</w:t>
      </w:r>
      <w:r w:rsidRPr="00577C9B">
        <w:rPr>
          <w:sz w:val="22"/>
          <w:szCs w:val="22"/>
        </w:rPr>
        <w:t>:</w:t>
      </w:r>
    </w:p>
    <w:p w14:paraId="1B799023" w14:textId="3E1AFD02" w:rsidR="009844C7" w:rsidRPr="00577C9B" w:rsidRDefault="009844C7" w:rsidP="00577C9B">
      <w:pPr>
        <w:rPr>
          <w:sz w:val="22"/>
          <w:szCs w:val="22"/>
        </w:rPr>
      </w:pPr>
      <w:r w:rsidRPr="00577C9B">
        <w:rPr>
          <w:sz w:val="22"/>
          <w:szCs w:val="22"/>
        </w:rPr>
        <w:t>-</w:t>
      </w:r>
      <w:r w:rsidR="00CA05DD" w:rsidRPr="00577C9B">
        <w:rPr>
          <w:sz w:val="22"/>
          <w:szCs w:val="22"/>
        </w:rPr>
        <w:t>Three scenarios in which delay</w:t>
      </w:r>
      <w:r w:rsidRPr="00577C9B">
        <w:rPr>
          <w:sz w:val="22"/>
          <w:szCs w:val="22"/>
        </w:rPr>
        <w:t xml:space="preserve"> can engage s. 7 of the </w:t>
      </w:r>
      <w:r w:rsidRPr="00577C9B">
        <w:rPr>
          <w:i/>
          <w:sz w:val="22"/>
          <w:szCs w:val="22"/>
        </w:rPr>
        <w:t>Charter</w:t>
      </w:r>
      <w:r w:rsidR="00E02B5A" w:rsidRPr="00577C9B">
        <w:rPr>
          <w:sz w:val="22"/>
          <w:szCs w:val="22"/>
        </w:rPr>
        <w:t xml:space="preserve">, </w:t>
      </w:r>
      <w:r w:rsidR="00A32C6D" w:rsidRPr="00577C9B">
        <w:rPr>
          <w:sz w:val="22"/>
          <w:szCs w:val="22"/>
        </w:rPr>
        <w:t>procedural fairness</w:t>
      </w:r>
      <w:r w:rsidR="00E02B5A" w:rsidRPr="00577C9B">
        <w:rPr>
          <w:sz w:val="22"/>
          <w:szCs w:val="22"/>
        </w:rPr>
        <w:t>, or abuse of process</w:t>
      </w:r>
      <w:r w:rsidRPr="00577C9B">
        <w:rPr>
          <w:sz w:val="22"/>
          <w:szCs w:val="22"/>
        </w:rPr>
        <w:t>:</w:t>
      </w:r>
    </w:p>
    <w:p w14:paraId="1E6F1C3D" w14:textId="5512FB61" w:rsidR="009844C7" w:rsidRPr="00577C9B" w:rsidRDefault="009844C7" w:rsidP="00577C9B">
      <w:pPr>
        <w:ind w:left="720"/>
        <w:rPr>
          <w:sz w:val="22"/>
          <w:szCs w:val="22"/>
        </w:rPr>
      </w:pPr>
      <w:r w:rsidRPr="00577C9B">
        <w:rPr>
          <w:sz w:val="22"/>
          <w:szCs w:val="22"/>
        </w:rPr>
        <w:t>1.) If there is significant psychological harm caused by state imposed delay, the decision can be quashed or stayed</w:t>
      </w:r>
      <w:r w:rsidR="00E02B5A" w:rsidRPr="00577C9B">
        <w:rPr>
          <w:sz w:val="22"/>
          <w:szCs w:val="22"/>
        </w:rPr>
        <w:t xml:space="preserve"> for breach of s. 7</w:t>
      </w:r>
      <w:r w:rsidRPr="00577C9B">
        <w:rPr>
          <w:sz w:val="22"/>
          <w:szCs w:val="22"/>
        </w:rPr>
        <w:t>;</w:t>
      </w:r>
    </w:p>
    <w:p w14:paraId="41A96759" w14:textId="5442A57C" w:rsidR="009844C7" w:rsidRPr="00577C9B" w:rsidRDefault="009844C7" w:rsidP="00577C9B">
      <w:pPr>
        <w:ind w:left="720"/>
        <w:rPr>
          <w:sz w:val="22"/>
          <w:szCs w:val="22"/>
        </w:rPr>
      </w:pPr>
      <w:r w:rsidRPr="00577C9B">
        <w:rPr>
          <w:sz w:val="22"/>
          <w:szCs w:val="22"/>
        </w:rPr>
        <w:t xml:space="preserve">2.) If there is no significant psychological harm, but the party’s ability to </w:t>
      </w:r>
      <w:r w:rsidR="00A32C6D" w:rsidRPr="00577C9B">
        <w:rPr>
          <w:sz w:val="22"/>
          <w:szCs w:val="22"/>
        </w:rPr>
        <w:t xml:space="preserve">make their case is impaired, then procedural fairness is impacted by the delay and the decision may be quashed or stayed.  </w:t>
      </w:r>
    </w:p>
    <w:p w14:paraId="21A11FA3" w14:textId="1BD35972" w:rsidR="00A32C6D" w:rsidRPr="00577C9B" w:rsidRDefault="00A32C6D" w:rsidP="00577C9B">
      <w:pPr>
        <w:ind w:left="720"/>
        <w:rPr>
          <w:sz w:val="22"/>
          <w:szCs w:val="22"/>
        </w:rPr>
      </w:pPr>
      <w:r w:rsidRPr="00577C9B">
        <w:rPr>
          <w:sz w:val="22"/>
          <w:szCs w:val="22"/>
        </w:rPr>
        <w:t>3.) Abuse of process: if the delay is so serious that people would find it objectionable or the administration of justice falls into disrepute, then that will lead to an abuse of process.  Rule of thumb is 30 months.</w:t>
      </w:r>
    </w:p>
    <w:p w14:paraId="2FF8C187" w14:textId="2FA3F504" w:rsidR="00A32C6D" w:rsidRPr="00577C9B" w:rsidRDefault="00A32C6D" w:rsidP="00577C9B">
      <w:pPr>
        <w:rPr>
          <w:sz w:val="22"/>
          <w:szCs w:val="22"/>
        </w:rPr>
      </w:pPr>
      <w:r w:rsidRPr="00577C9B">
        <w:rPr>
          <w:sz w:val="22"/>
          <w:szCs w:val="22"/>
        </w:rPr>
        <w:t>-If delay is insufficient to lead to above remedies, court may order costs on judicial review (including ordering tribunal to pay costs).</w:t>
      </w:r>
    </w:p>
    <w:p w14:paraId="3FFB62E9" w14:textId="77777777" w:rsidR="00A32C6D" w:rsidRPr="00577C9B" w:rsidRDefault="00A32C6D" w:rsidP="00A32C6D">
      <w:pPr>
        <w:rPr>
          <w:sz w:val="22"/>
          <w:szCs w:val="22"/>
        </w:rPr>
      </w:pPr>
    </w:p>
    <w:p w14:paraId="2A0E50EC" w14:textId="69996A05" w:rsidR="00A32C6D" w:rsidRPr="00577C9B" w:rsidRDefault="00A32C6D" w:rsidP="00A32C6D">
      <w:pPr>
        <w:rPr>
          <w:sz w:val="22"/>
          <w:szCs w:val="22"/>
        </w:rPr>
      </w:pPr>
      <w:r w:rsidRPr="00577C9B">
        <w:rPr>
          <w:i/>
          <w:sz w:val="22"/>
          <w:szCs w:val="22"/>
        </w:rPr>
        <w:t>R. v. Wigglesworth</w:t>
      </w:r>
      <w:r w:rsidRPr="00577C9B">
        <w:rPr>
          <w:sz w:val="22"/>
          <w:szCs w:val="22"/>
        </w:rPr>
        <w:t>:</w:t>
      </w:r>
    </w:p>
    <w:p w14:paraId="02434421" w14:textId="55FFB9EA" w:rsidR="00A32C6D" w:rsidRPr="00577C9B" w:rsidRDefault="00A32C6D" w:rsidP="00577C9B">
      <w:pPr>
        <w:rPr>
          <w:sz w:val="22"/>
          <w:szCs w:val="22"/>
        </w:rPr>
      </w:pPr>
      <w:r w:rsidRPr="00577C9B">
        <w:rPr>
          <w:sz w:val="22"/>
          <w:szCs w:val="22"/>
        </w:rPr>
        <w:t>-</w:t>
      </w:r>
      <w:r w:rsidR="00B4171C" w:rsidRPr="00577C9B">
        <w:rPr>
          <w:sz w:val="22"/>
          <w:szCs w:val="22"/>
        </w:rPr>
        <w:t xml:space="preserve">S. 11 </w:t>
      </w:r>
      <w:r w:rsidR="00C8032A" w:rsidRPr="00577C9B">
        <w:rPr>
          <w:sz w:val="22"/>
          <w:szCs w:val="22"/>
        </w:rPr>
        <w:t xml:space="preserve">protection against double </w:t>
      </w:r>
      <w:r w:rsidR="00E02B5A" w:rsidRPr="00577C9B">
        <w:rPr>
          <w:sz w:val="22"/>
          <w:szCs w:val="22"/>
        </w:rPr>
        <w:t>jeopardy</w:t>
      </w:r>
      <w:r w:rsidR="00C8032A" w:rsidRPr="00577C9B">
        <w:rPr>
          <w:sz w:val="22"/>
          <w:szCs w:val="22"/>
        </w:rPr>
        <w:t xml:space="preserve"> as applied to tribunals</w:t>
      </w:r>
      <w:r w:rsidR="00B4171C" w:rsidRPr="00577C9B">
        <w:rPr>
          <w:sz w:val="22"/>
          <w:szCs w:val="22"/>
        </w:rPr>
        <w:t xml:space="preserve">.  </w:t>
      </w:r>
      <w:r w:rsidR="00C8032A" w:rsidRPr="00577C9B">
        <w:rPr>
          <w:sz w:val="22"/>
          <w:szCs w:val="22"/>
        </w:rPr>
        <w:t xml:space="preserve"> </w:t>
      </w:r>
    </w:p>
    <w:p w14:paraId="37244E1B" w14:textId="14A1E089" w:rsidR="00C8032A" w:rsidRPr="00577C9B" w:rsidRDefault="00C8032A" w:rsidP="00577C9B">
      <w:pPr>
        <w:rPr>
          <w:sz w:val="22"/>
          <w:szCs w:val="22"/>
        </w:rPr>
      </w:pPr>
      <w:r w:rsidRPr="00577C9B">
        <w:rPr>
          <w:sz w:val="22"/>
          <w:szCs w:val="22"/>
        </w:rPr>
        <w:t xml:space="preserve">-Test: is the matter dealt </w:t>
      </w:r>
      <w:r w:rsidR="00061E8E" w:rsidRPr="00577C9B">
        <w:rPr>
          <w:sz w:val="22"/>
          <w:szCs w:val="22"/>
        </w:rPr>
        <w:t xml:space="preserve">with by the tribunal an offence?  Standard for offence is “true penal consequence”.  </w:t>
      </w:r>
    </w:p>
    <w:p w14:paraId="7C4C428C" w14:textId="1150CFD3" w:rsidR="00061E8E" w:rsidRPr="00577C9B" w:rsidRDefault="00061E8E" w:rsidP="00577C9B">
      <w:pPr>
        <w:rPr>
          <w:sz w:val="22"/>
          <w:szCs w:val="22"/>
        </w:rPr>
      </w:pPr>
      <w:r w:rsidRPr="00577C9B">
        <w:rPr>
          <w:sz w:val="22"/>
          <w:szCs w:val="22"/>
        </w:rPr>
        <w:t>-If there is a punishment meant to rectify a wrong in society in general, then that punishment is a true penal consequence and you are dealing with an offence.</w:t>
      </w:r>
    </w:p>
    <w:p w14:paraId="374C9DDC" w14:textId="2B073896" w:rsidR="00061E8E" w:rsidRPr="00577C9B" w:rsidRDefault="00061E8E" w:rsidP="00577C9B">
      <w:pPr>
        <w:rPr>
          <w:sz w:val="22"/>
          <w:szCs w:val="22"/>
        </w:rPr>
      </w:pPr>
      <w:r w:rsidRPr="00577C9B">
        <w:rPr>
          <w:sz w:val="22"/>
          <w:szCs w:val="22"/>
        </w:rPr>
        <w:t>-If is just an effort to regulate within a sphere of activity, then it there is no true penal consequence, it is not an offence, and s. 11 is not engaged.</w:t>
      </w:r>
    </w:p>
    <w:p w14:paraId="49F3DA36" w14:textId="77777777" w:rsidR="00061E8E" w:rsidRPr="00577C9B" w:rsidRDefault="00061E8E" w:rsidP="00061E8E">
      <w:pPr>
        <w:rPr>
          <w:sz w:val="22"/>
          <w:szCs w:val="22"/>
        </w:rPr>
      </w:pPr>
    </w:p>
    <w:p w14:paraId="1883AE11" w14:textId="3C3BAD52" w:rsidR="00061E8E" w:rsidRPr="00E02B5A" w:rsidRDefault="00061E8E" w:rsidP="007A6175">
      <w:pPr>
        <w:pStyle w:val="Heading2"/>
      </w:pPr>
      <w:bookmarkStart w:id="20" w:name="_Toc259106274"/>
      <w:r w:rsidRPr="00E02B5A">
        <w:t>Charter Values</w:t>
      </w:r>
      <w:bookmarkEnd w:id="20"/>
    </w:p>
    <w:p w14:paraId="0EB99247" w14:textId="77777777" w:rsidR="00061E8E" w:rsidRPr="00E02B5A" w:rsidRDefault="00061E8E" w:rsidP="00061E8E"/>
    <w:p w14:paraId="4F12ACB5" w14:textId="1AB6420B" w:rsidR="00061E8E" w:rsidRPr="005E46C9" w:rsidRDefault="00061E8E" w:rsidP="00061E8E">
      <w:pPr>
        <w:rPr>
          <w:sz w:val="22"/>
          <w:szCs w:val="22"/>
        </w:rPr>
      </w:pPr>
      <w:r w:rsidRPr="005E46C9">
        <w:rPr>
          <w:i/>
          <w:sz w:val="22"/>
          <w:szCs w:val="22"/>
        </w:rPr>
        <w:t>Bell ExpressVu Limited Partnership v. Rex</w:t>
      </w:r>
      <w:r w:rsidRPr="005E46C9">
        <w:rPr>
          <w:sz w:val="22"/>
          <w:szCs w:val="22"/>
        </w:rPr>
        <w:t xml:space="preserve"> (SCC, 2002):</w:t>
      </w:r>
    </w:p>
    <w:p w14:paraId="5874FA61" w14:textId="426B6FA4" w:rsidR="00061E8E" w:rsidRPr="005E46C9" w:rsidRDefault="00061E8E" w:rsidP="00577C9B">
      <w:pPr>
        <w:rPr>
          <w:sz w:val="22"/>
          <w:szCs w:val="22"/>
        </w:rPr>
      </w:pPr>
      <w:r w:rsidRPr="005E46C9">
        <w:rPr>
          <w:sz w:val="22"/>
          <w:szCs w:val="22"/>
        </w:rPr>
        <w:t xml:space="preserve">-If a provision in a statute is ambiguous, then you first use normal tools of statutory interpretation.  If it is still ambiguous, then you can resort to using </w:t>
      </w:r>
      <w:r w:rsidRPr="005E46C9">
        <w:rPr>
          <w:i/>
          <w:sz w:val="22"/>
          <w:szCs w:val="22"/>
        </w:rPr>
        <w:t xml:space="preserve">Charter </w:t>
      </w:r>
      <w:r w:rsidRPr="005E46C9">
        <w:rPr>
          <w:sz w:val="22"/>
          <w:szCs w:val="22"/>
        </w:rPr>
        <w:t>values to interpret the provision.</w:t>
      </w:r>
    </w:p>
    <w:p w14:paraId="5D105B90" w14:textId="31AC2B3F" w:rsidR="00061E8E" w:rsidRPr="005E46C9" w:rsidRDefault="00061E8E" w:rsidP="00577C9B">
      <w:pPr>
        <w:rPr>
          <w:sz w:val="22"/>
          <w:szCs w:val="22"/>
        </w:rPr>
      </w:pPr>
      <w:r w:rsidRPr="005E46C9">
        <w:rPr>
          <w:sz w:val="22"/>
          <w:szCs w:val="22"/>
        </w:rPr>
        <w:t>-Ambiguity occurs where the words of the provisions are “reasonably capable of more than one meaning.”</w:t>
      </w:r>
    </w:p>
    <w:p w14:paraId="2EA6B601" w14:textId="77777777" w:rsidR="00061E8E" w:rsidRPr="005E46C9" w:rsidRDefault="00061E8E" w:rsidP="00061E8E">
      <w:pPr>
        <w:rPr>
          <w:sz w:val="22"/>
          <w:szCs w:val="22"/>
        </w:rPr>
      </w:pPr>
    </w:p>
    <w:p w14:paraId="4CA10C85" w14:textId="75454C80" w:rsidR="00061E8E" w:rsidRPr="005E46C9" w:rsidRDefault="006C273E" w:rsidP="00061E8E">
      <w:pPr>
        <w:rPr>
          <w:rFonts w:ascii="Cambria" w:hAnsi="Cambria"/>
          <w:sz w:val="22"/>
          <w:szCs w:val="22"/>
        </w:rPr>
      </w:pPr>
      <w:r w:rsidRPr="005E46C9">
        <w:rPr>
          <w:i/>
          <w:sz w:val="22"/>
          <w:szCs w:val="22"/>
        </w:rPr>
        <w:t>Dor</w:t>
      </w:r>
      <w:r w:rsidRPr="005E46C9">
        <w:rPr>
          <w:rFonts w:ascii="Cambria" w:hAnsi="Cambria"/>
          <w:i/>
          <w:sz w:val="22"/>
          <w:szCs w:val="22"/>
        </w:rPr>
        <w:t>é v. Barreau du Québe</w:t>
      </w:r>
      <w:r w:rsidR="00E8596B" w:rsidRPr="005E46C9">
        <w:rPr>
          <w:rFonts w:ascii="Cambria" w:hAnsi="Cambria"/>
          <w:i/>
          <w:sz w:val="22"/>
          <w:szCs w:val="22"/>
        </w:rPr>
        <w:t xml:space="preserve">c </w:t>
      </w:r>
      <w:r w:rsidR="00E8596B" w:rsidRPr="005E46C9">
        <w:rPr>
          <w:rFonts w:ascii="Cambria" w:hAnsi="Cambria"/>
          <w:sz w:val="22"/>
          <w:szCs w:val="22"/>
        </w:rPr>
        <w:t>(SCC, 2012):</w:t>
      </w:r>
    </w:p>
    <w:p w14:paraId="6D37159E" w14:textId="58CE98C4" w:rsidR="00E8596B" w:rsidRPr="005E46C9" w:rsidRDefault="00E8596B" w:rsidP="00577C9B">
      <w:pPr>
        <w:rPr>
          <w:rFonts w:ascii="Cambria" w:hAnsi="Cambria"/>
          <w:sz w:val="22"/>
          <w:szCs w:val="22"/>
        </w:rPr>
      </w:pPr>
      <w:r w:rsidRPr="005E46C9">
        <w:rPr>
          <w:rFonts w:ascii="Cambria" w:hAnsi="Cambria"/>
          <w:sz w:val="22"/>
          <w:szCs w:val="22"/>
        </w:rPr>
        <w:t>-</w:t>
      </w:r>
      <w:r w:rsidRPr="005E46C9">
        <w:rPr>
          <w:rFonts w:ascii="Cambria" w:hAnsi="Cambria"/>
          <w:i/>
          <w:sz w:val="22"/>
          <w:szCs w:val="22"/>
        </w:rPr>
        <w:t>Charter</w:t>
      </w:r>
      <w:r w:rsidRPr="005E46C9">
        <w:rPr>
          <w:rFonts w:ascii="Cambria" w:hAnsi="Cambria"/>
          <w:sz w:val="22"/>
          <w:szCs w:val="22"/>
        </w:rPr>
        <w:t xml:space="preserve"> values apply to exercises of statutory discretion, but not to grants of statutory discretion.</w:t>
      </w:r>
    </w:p>
    <w:p w14:paraId="08C77C0F" w14:textId="6746169F" w:rsidR="00E8596B" w:rsidRPr="005E46C9" w:rsidRDefault="00E8596B" w:rsidP="00577C9B">
      <w:pPr>
        <w:rPr>
          <w:rFonts w:ascii="Cambria" w:hAnsi="Cambria"/>
          <w:sz w:val="22"/>
          <w:szCs w:val="22"/>
        </w:rPr>
      </w:pPr>
      <w:r w:rsidRPr="005E46C9">
        <w:rPr>
          <w:rFonts w:ascii="Cambria" w:hAnsi="Cambria"/>
          <w:sz w:val="22"/>
          <w:szCs w:val="22"/>
        </w:rPr>
        <w:t xml:space="preserve">-When applying </w:t>
      </w:r>
      <w:r w:rsidRPr="005E46C9">
        <w:rPr>
          <w:rFonts w:ascii="Cambria" w:hAnsi="Cambria"/>
          <w:i/>
          <w:sz w:val="22"/>
          <w:szCs w:val="22"/>
        </w:rPr>
        <w:t>Charter</w:t>
      </w:r>
      <w:r w:rsidRPr="005E46C9">
        <w:rPr>
          <w:rFonts w:ascii="Cambria" w:hAnsi="Cambria"/>
          <w:sz w:val="22"/>
          <w:szCs w:val="22"/>
        </w:rPr>
        <w:t xml:space="preserve"> values to exercises of statutory discretion, you must balance the </w:t>
      </w:r>
      <w:r w:rsidRPr="005E46C9">
        <w:rPr>
          <w:rFonts w:ascii="Cambria" w:hAnsi="Cambria"/>
          <w:i/>
          <w:sz w:val="22"/>
          <w:szCs w:val="22"/>
        </w:rPr>
        <w:t>Charter</w:t>
      </w:r>
      <w:r w:rsidRPr="005E46C9">
        <w:rPr>
          <w:rFonts w:ascii="Cambria" w:hAnsi="Cambria"/>
          <w:sz w:val="22"/>
          <w:szCs w:val="22"/>
        </w:rPr>
        <w:t xml:space="preserve"> value in question against the objective of the statute.  The tribunal must ask how the </w:t>
      </w:r>
      <w:r w:rsidRPr="005E46C9">
        <w:rPr>
          <w:rFonts w:ascii="Cambria" w:hAnsi="Cambria"/>
          <w:i/>
          <w:sz w:val="22"/>
          <w:szCs w:val="22"/>
        </w:rPr>
        <w:t>Charter</w:t>
      </w:r>
      <w:r w:rsidRPr="005E46C9">
        <w:rPr>
          <w:rFonts w:ascii="Cambria" w:hAnsi="Cambria"/>
          <w:sz w:val="22"/>
          <w:szCs w:val="22"/>
        </w:rPr>
        <w:t xml:space="preserve"> value will be best protected in view of the statutory objective in question.</w:t>
      </w:r>
    </w:p>
    <w:p w14:paraId="06DEB0ED" w14:textId="77777777" w:rsidR="00E8596B" w:rsidRPr="00E02B5A" w:rsidRDefault="00E8596B" w:rsidP="00E8596B">
      <w:pPr>
        <w:rPr>
          <w:rFonts w:ascii="Cambria" w:hAnsi="Cambria"/>
        </w:rPr>
      </w:pPr>
    </w:p>
    <w:p w14:paraId="108E78F0" w14:textId="6B3988CA" w:rsidR="00E8596B" w:rsidRPr="00E02B5A" w:rsidRDefault="00E8596B" w:rsidP="007A6175">
      <w:pPr>
        <w:pStyle w:val="Heading2"/>
      </w:pPr>
      <w:bookmarkStart w:id="21" w:name="_Toc259106275"/>
      <w:r w:rsidRPr="00E02B5A">
        <w:t>Human Rights Jurisdiction of the Tribunal</w:t>
      </w:r>
      <w:bookmarkEnd w:id="21"/>
    </w:p>
    <w:p w14:paraId="44C240B7" w14:textId="77777777" w:rsidR="00E8596B" w:rsidRPr="00E02B5A" w:rsidRDefault="00E8596B" w:rsidP="00E8596B">
      <w:pPr>
        <w:rPr>
          <w:rFonts w:ascii="Cambria" w:hAnsi="Cambria"/>
        </w:rPr>
      </w:pPr>
    </w:p>
    <w:p w14:paraId="28361B70" w14:textId="00AF2402" w:rsidR="00E8596B" w:rsidRPr="005E46C9" w:rsidRDefault="00E8596B" w:rsidP="00E8596B">
      <w:pPr>
        <w:rPr>
          <w:rFonts w:ascii="Cambria" w:hAnsi="Cambria"/>
          <w:sz w:val="22"/>
          <w:szCs w:val="22"/>
        </w:rPr>
      </w:pPr>
      <w:r w:rsidRPr="005E46C9">
        <w:rPr>
          <w:rFonts w:ascii="Cambria" w:hAnsi="Cambria"/>
          <w:i/>
          <w:sz w:val="22"/>
          <w:szCs w:val="22"/>
        </w:rPr>
        <w:t>Tranchemontagne v. Ontario (Director, Disability Support Program)</w:t>
      </w:r>
      <w:r w:rsidRPr="005E46C9">
        <w:rPr>
          <w:rFonts w:ascii="Cambria" w:hAnsi="Cambria"/>
          <w:sz w:val="22"/>
          <w:szCs w:val="22"/>
        </w:rPr>
        <w:t xml:space="preserve"> (SCC, 2006):</w:t>
      </w:r>
    </w:p>
    <w:p w14:paraId="3EC75906" w14:textId="59AC21C3" w:rsidR="00E8596B" w:rsidRPr="005E46C9" w:rsidRDefault="00E8596B" w:rsidP="00577C9B">
      <w:pPr>
        <w:rPr>
          <w:rFonts w:ascii="Cambria" w:hAnsi="Cambria"/>
          <w:sz w:val="22"/>
          <w:szCs w:val="22"/>
        </w:rPr>
      </w:pPr>
      <w:r w:rsidRPr="005E46C9">
        <w:rPr>
          <w:rFonts w:ascii="Cambria" w:hAnsi="Cambria"/>
          <w:sz w:val="22"/>
          <w:szCs w:val="22"/>
        </w:rPr>
        <w:t>-Outside of BC, tribunals that have jurisdiction to decide questions of law may hear human rights arguments.</w:t>
      </w:r>
    </w:p>
    <w:p w14:paraId="1941A532" w14:textId="77777777" w:rsidR="00E8596B" w:rsidRPr="005E46C9" w:rsidRDefault="00E8596B" w:rsidP="00E8596B">
      <w:pPr>
        <w:rPr>
          <w:sz w:val="22"/>
          <w:szCs w:val="22"/>
        </w:rPr>
      </w:pPr>
    </w:p>
    <w:p w14:paraId="3B9822B6" w14:textId="261DCD7B" w:rsidR="00E8596B" w:rsidRPr="005E46C9" w:rsidRDefault="0077667A" w:rsidP="00E8596B">
      <w:pPr>
        <w:rPr>
          <w:sz w:val="22"/>
          <w:szCs w:val="22"/>
        </w:rPr>
      </w:pPr>
      <w:r w:rsidRPr="005E46C9">
        <w:rPr>
          <w:i/>
          <w:sz w:val="22"/>
          <w:szCs w:val="22"/>
        </w:rPr>
        <w:t>ATA</w:t>
      </w:r>
      <w:r w:rsidRPr="005E46C9">
        <w:rPr>
          <w:sz w:val="22"/>
          <w:szCs w:val="22"/>
        </w:rPr>
        <w:t xml:space="preserve"> ss. 46.1, 46.2, and 46.3:</w:t>
      </w:r>
    </w:p>
    <w:p w14:paraId="26870D81" w14:textId="51C1ED22" w:rsidR="0077667A" w:rsidRPr="005E46C9" w:rsidRDefault="0077667A" w:rsidP="00577C9B">
      <w:pPr>
        <w:rPr>
          <w:sz w:val="22"/>
          <w:szCs w:val="22"/>
        </w:rPr>
      </w:pPr>
      <w:r w:rsidRPr="005E46C9">
        <w:rPr>
          <w:sz w:val="22"/>
          <w:szCs w:val="22"/>
        </w:rPr>
        <w:t>-s. 46.1: tribunals that have discretion to decline jurisdiction to apply Human Rights Code.</w:t>
      </w:r>
    </w:p>
    <w:p w14:paraId="17B3068C" w14:textId="161B2443" w:rsidR="0077667A" w:rsidRPr="005E46C9" w:rsidRDefault="00577C9B" w:rsidP="00577C9B">
      <w:pPr>
        <w:rPr>
          <w:sz w:val="22"/>
          <w:szCs w:val="22"/>
        </w:rPr>
      </w:pPr>
      <w:r w:rsidRPr="005E46C9">
        <w:rPr>
          <w:sz w:val="22"/>
          <w:szCs w:val="22"/>
        </w:rPr>
        <w:t>-</w:t>
      </w:r>
      <w:r w:rsidR="0077667A" w:rsidRPr="005E46C9">
        <w:rPr>
          <w:sz w:val="22"/>
          <w:szCs w:val="22"/>
        </w:rPr>
        <w:t>s. 46.2: tribunals with limited jurisdiction and discretion to decline to apply Human Rights Code.</w:t>
      </w:r>
    </w:p>
    <w:p w14:paraId="3A2CDE20" w14:textId="2A4ADA82" w:rsidR="0077667A" w:rsidRPr="005E46C9" w:rsidRDefault="00577C9B" w:rsidP="00577C9B">
      <w:pPr>
        <w:rPr>
          <w:sz w:val="22"/>
          <w:szCs w:val="22"/>
        </w:rPr>
      </w:pPr>
      <w:r w:rsidRPr="005E46C9">
        <w:rPr>
          <w:sz w:val="22"/>
          <w:szCs w:val="22"/>
        </w:rPr>
        <w:t>-</w:t>
      </w:r>
      <w:r w:rsidR="0077667A" w:rsidRPr="005E46C9">
        <w:rPr>
          <w:sz w:val="22"/>
          <w:szCs w:val="22"/>
        </w:rPr>
        <w:t>s. 46.3: tribunals without jurisdiction to apply Human Rights Code.</w:t>
      </w:r>
    </w:p>
    <w:p w14:paraId="02D56675" w14:textId="77777777" w:rsidR="0077667A" w:rsidRPr="005E46C9" w:rsidRDefault="0077667A" w:rsidP="0077667A">
      <w:pPr>
        <w:rPr>
          <w:sz w:val="22"/>
          <w:szCs w:val="22"/>
        </w:rPr>
      </w:pPr>
    </w:p>
    <w:p w14:paraId="4FC85631" w14:textId="74A5CCDC" w:rsidR="0077667A" w:rsidRPr="005E46C9" w:rsidRDefault="0077667A" w:rsidP="0077667A">
      <w:pPr>
        <w:rPr>
          <w:sz w:val="22"/>
          <w:szCs w:val="22"/>
        </w:rPr>
      </w:pPr>
      <w:r w:rsidRPr="005E46C9">
        <w:rPr>
          <w:i/>
          <w:sz w:val="22"/>
          <w:szCs w:val="22"/>
        </w:rPr>
        <w:t>BC (Workers’ Compensation Board) v. Figliola</w:t>
      </w:r>
      <w:r w:rsidRPr="005E46C9">
        <w:rPr>
          <w:sz w:val="22"/>
          <w:szCs w:val="22"/>
        </w:rPr>
        <w:t>:</w:t>
      </w:r>
    </w:p>
    <w:p w14:paraId="53B8D3E5" w14:textId="4360212B" w:rsidR="0077667A" w:rsidRPr="005E46C9" w:rsidRDefault="0077667A" w:rsidP="00577C9B">
      <w:pPr>
        <w:rPr>
          <w:sz w:val="22"/>
          <w:szCs w:val="22"/>
        </w:rPr>
      </w:pPr>
      <w:r w:rsidRPr="005E46C9">
        <w:rPr>
          <w:sz w:val="22"/>
          <w:szCs w:val="22"/>
        </w:rPr>
        <w:t>-Case limits forum shopping for tribunals with overlapping jurisdiction over human rights matters.</w:t>
      </w:r>
    </w:p>
    <w:p w14:paraId="17B10E82" w14:textId="7D564820" w:rsidR="0077667A" w:rsidRPr="005E46C9" w:rsidRDefault="0077667A" w:rsidP="0077667A">
      <w:pPr>
        <w:rPr>
          <w:sz w:val="22"/>
          <w:szCs w:val="22"/>
        </w:rPr>
      </w:pPr>
      <w:r w:rsidRPr="005E46C9">
        <w:rPr>
          <w:sz w:val="22"/>
          <w:szCs w:val="22"/>
        </w:rPr>
        <w:t>-Tools to prevent jumping from one silo to another include</w:t>
      </w:r>
    </w:p>
    <w:p w14:paraId="59E543E4" w14:textId="47A1BFC6" w:rsidR="0077667A" w:rsidRPr="005E46C9" w:rsidRDefault="0077667A" w:rsidP="00577C9B">
      <w:pPr>
        <w:ind w:left="720"/>
        <w:rPr>
          <w:sz w:val="22"/>
          <w:szCs w:val="22"/>
        </w:rPr>
      </w:pPr>
      <w:r w:rsidRPr="005E46C9">
        <w:rPr>
          <w:sz w:val="22"/>
          <w:szCs w:val="22"/>
        </w:rPr>
        <w:t>-Issue estoppel: three preconditions: was the same issue already decided?  Was the previous decision final? Were the parties and their privies the same?</w:t>
      </w:r>
    </w:p>
    <w:p w14:paraId="4A542068" w14:textId="761C3DA8" w:rsidR="0077667A" w:rsidRPr="005E46C9" w:rsidRDefault="0077667A" w:rsidP="00577C9B">
      <w:pPr>
        <w:ind w:left="720"/>
        <w:rPr>
          <w:sz w:val="22"/>
          <w:szCs w:val="22"/>
        </w:rPr>
      </w:pPr>
      <w:r w:rsidRPr="005E46C9">
        <w:rPr>
          <w:sz w:val="22"/>
          <w:szCs w:val="22"/>
        </w:rPr>
        <w:t xml:space="preserve">-Collateral attack: </w:t>
      </w:r>
      <w:r w:rsidR="00B47C31" w:rsidRPr="005E46C9">
        <w:rPr>
          <w:sz w:val="22"/>
          <w:szCs w:val="22"/>
        </w:rPr>
        <w:t>you cannot concurrently use multiple forums to seek different results.</w:t>
      </w:r>
    </w:p>
    <w:p w14:paraId="2346EB8B" w14:textId="1A084876" w:rsidR="0077667A" w:rsidRPr="005E46C9" w:rsidRDefault="0077667A" w:rsidP="005E46C9">
      <w:pPr>
        <w:ind w:left="720"/>
        <w:rPr>
          <w:sz w:val="22"/>
          <w:szCs w:val="22"/>
        </w:rPr>
      </w:pPr>
      <w:r w:rsidRPr="005E46C9">
        <w:rPr>
          <w:sz w:val="22"/>
          <w:szCs w:val="22"/>
        </w:rPr>
        <w:t>-Abuse of process: once an issue had been decided, it is an abuse of process to re</w:t>
      </w:r>
      <w:r w:rsidR="00E02B5A" w:rsidRPr="005E46C9">
        <w:rPr>
          <w:sz w:val="22"/>
          <w:szCs w:val="22"/>
        </w:rPr>
        <w:t>-</w:t>
      </w:r>
      <w:r w:rsidRPr="005E46C9">
        <w:rPr>
          <w:sz w:val="22"/>
          <w:szCs w:val="22"/>
        </w:rPr>
        <w:t>litigate it.</w:t>
      </w:r>
      <w:r w:rsidR="009A6B90" w:rsidRPr="005E46C9">
        <w:rPr>
          <w:sz w:val="22"/>
          <w:szCs w:val="22"/>
        </w:rPr>
        <w:t xml:space="preserve">  Triggered where allowing litigation to proceed would violate principles such as judicial economy, consistency, finality, and the integrity of the administration of justice.</w:t>
      </w:r>
    </w:p>
    <w:p w14:paraId="72C6FA73" w14:textId="7CD04719" w:rsidR="0077667A" w:rsidRPr="00E02B5A" w:rsidRDefault="0077667A" w:rsidP="007A6175">
      <w:pPr>
        <w:pStyle w:val="Heading1"/>
      </w:pPr>
      <w:bookmarkStart w:id="22" w:name="_Toc259106276"/>
      <w:r w:rsidRPr="00E02B5A">
        <w:t>Power to Reconsider</w:t>
      </w:r>
      <w:bookmarkEnd w:id="22"/>
    </w:p>
    <w:p w14:paraId="5D447AEC" w14:textId="5328913D" w:rsidR="0077667A" w:rsidRPr="00E02B5A" w:rsidRDefault="0077667A" w:rsidP="0077667A"/>
    <w:p w14:paraId="5658BD21" w14:textId="6B41E969" w:rsidR="0077667A" w:rsidRPr="00577C9B" w:rsidRDefault="0077667A" w:rsidP="0077667A">
      <w:pPr>
        <w:rPr>
          <w:sz w:val="22"/>
          <w:szCs w:val="22"/>
        </w:rPr>
      </w:pPr>
      <w:r w:rsidRPr="00577C9B">
        <w:rPr>
          <w:i/>
          <w:sz w:val="22"/>
          <w:szCs w:val="22"/>
        </w:rPr>
        <w:t>Chandler v. Alberta Assn. of Architects</w:t>
      </w:r>
      <w:r w:rsidRPr="00577C9B">
        <w:rPr>
          <w:sz w:val="22"/>
          <w:szCs w:val="22"/>
        </w:rPr>
        <w:t>:</w:t>
      </w:r>
    </w:p>
    <w:p w14:paraId="255C9160" w14:textId="0B42C3C7" w:rsidR="0077667A" w:rsidRPr="00577C9B" w:rsidRDefault="0077667A" w:rsidP="00577C9B">
      <w:pPr>
        <w:rPr>
          <w:sz w:val="22"/>
          <w:szCs w:val="22"/>
        </w:rPr>
      </w:pPr>
      <w:r w:rsidRPr="00577C9B">
        <w:rPr>
          <w:sz w:val="22"/>
          <w:szCs w:val="22"/>
        </w:rPr>
        <w:t>-</w:t>
      </w:r>
      <w:r w:rsidRPr="00577C9B">
        <w:rPr>
          <w:i/>
          <w:sz w:val="22"/>
          <w:szCs w:val="22"/>
        </w:rPr>
        <w:t>Functus officio</w:t>
      </w:r>
      <w:r w:rsidRPr="00577C9B">
        <w:rPr>
          <w:sz w:val="22"/>
          <w:szCs w:val="22"/>
        </w:rPr>
        <w:t xml:space="preserve"> does not apply where the initial proceeding is void where there was no jurisdiction in the first place or where findings of fact or law or discretion offended the applicable standard of review.  As a result, the tribunal may reconsider its original decision.</w:t>
      </w:r>
    </w:p>
    <w:p w14:paraId="131E44F2" w14:textId="1B5D6D55" w:rsidR="0077667A" w:rsidRPr="00577C9B" w:rsidRDefault="0077667A" w:rsidP="0077667A">
      <w:pPr>
        <w:rPr>
          <w:sz w:val="22"/>
          <w:szCs w:val="22"/>
        </w:rPr>
      </w:pPr>
    </w:p>
    <w:p w14:paraId="6A3806A8" w14:textId="02643E64" w:rsidR="0077667A" w:rsidRPr="00577C9B" w:rsidRDefault="0077667A" w:rsidP="0077667A">
      <w:pPr>
        <w:rPr>
          <w:sz w:val="22"/>
          <w:szCs w:val="22"/>
        </w:rPr>
      </w:pPr>
      <w:r w:rsidRPr="00577C9B">
        <w:rPr>
          <w:i/>
          <w:sz w:val="22"/>
          <w:szCs w:val="22"/>
        </w:rPr>
        <w:t>ATA</w:t>
      </w:r>
      <w:r w:rsidRPr="00577C9B">
        <w:rPr>
          <w:sz w:val="22"/>
          <w:szCs w:val="22"/>
        </w:rPr>
        <w:t xml:space="preserve"> s. 53: </w:t>
      </w:r>
      <w:r w:rsidRPr="00577C9B">
        <w:rPr>
          <w:i/>
          <w:sz w:val="22"/>
          <w:szCs w:val="22"/>
        </w:rPr>
        <w:t xml:space="preserve">Chandler </w:t>
      </w:r>
      <w:r w:rsidRPr="00577C9B">
        <w:rPr>
          <w:sz w:val="22"/>
          <w:szCs w:val="22"/>
        </w:rPr>
        <w:t xml:space="preserve">applies in BC.  </w:t>
      </w:r>
      <w:r w:rsidRPr="00577C9B">
        <w:rPr>
          <w:i/>
          <w:sz w:val="22"/>
          <w:szCs w:val="22"/>
        </w:rPr>
        <w:t>ATA</w:t>
      </w:r>
      <w:r w:rsidRPr="00577C9B">
        <w:rPr>
          <w:sz w:val="22"/>
          <w:szCs w:val="22"/>
        </w:rPr>
        <w:t xml:space="preserve"> tribunals may reconsider decisions.</w:t>
      </w:r>
    </w:p>
    <w:p w14:paraId="5ABA3042" w14:textId="77777777" w:rsidR="0077667A" w:rsidRPr="00577C9B" w:rsidRDefault="0077667A" w:rsidP="0077667A">
      <w:pPr>
        <w:rPr>
          <w:sz w:val="22"/>
          <w:szCs w:val="22"/>
        </w:rPr>
      </w:pPr>
    </w:p>
    <w:p w14:paraId="33DA3B15" w14:textId="75789327" w:rsidR="00B47C31" w:rsidRPr="00577C9B" w:rsidRDefault="0077667A" w:rsidP="00B47C31">
      <w:pPr>
        <w:rPr>
          <w:sz w:val="22"/>
          <w:szCs w:val="22"/>
        </w:rPr>
      </w:pPr>
      <w:r w:rsidRPr="00577C9B">
        <w:rPr>
          <w:sz w:val="22"/>
          <w:szCs w:val="22"/>
        </w:rPr>
        <w:t>Note: failure to request reconsideration does not qualify as failure to exhaust internal remedies unless specifically stated in enabling statute.</w:t>
      </w:r>
    </w:p>
    <w:p w14:paraId="4C4ED3D8" w14:textId="34764227" w:rsidR="007A6175" w:rsidRPr="00577C9B" w:rsidRDefault="007A6175" w:rsidP="0077667A">
      <w:pPr>
        <w:rPr>
          <w:sz w:val="22"/>
          <w:szCs w:val="22"/>
        </w:rPr>
      </w:pPr>
    </w:p>
    <w:sectPr w:rsidR="007A6175" w:rsidRPr="00577C9B" w:rsidSect="00307AFD">
      <w:footerReference w:type="even" r:id="rId9"/>
      <w:footerReference w:type="default" r:id="rId10"/>
      <w:pgSz w:w="9980" w:h="1418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89751" w14:textId="77777777" w:rsidR="001B5DF0" w:rsidRDefault="001B5DF0" w:rsidP="005A0B3E">
      <w:r>
        <w:separator/>
      </w:r>
    </w:p>
  </w:endnote>
  <w:endnote w:type="continuationSeparator" w:id="0">
    <w:p w14:paraId="44B25143" w14:textId="77777777" w:rsidR="001B5DF0" w:rsidRDefault="001B5DF0" w:rsidP="005A0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C3D64" w14:textId="77777777" w:rsidR="001B5DF0" w:rsidRDefault="001B5DF0" w:rsidP="005A0B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8F217" w14:textId="77777777" w:rsidR="001B5DF0" w:rsidRDefault="001B5DF0" w:rsidP="005A0B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56E0B" w14:textId="77777777" w:rsidR="001B5DF0" w:rsidRDefault="001B5DF0" w:rsidP="005A0B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9B0">
      <w:rPr>
        <w:rStyle w:val="PageNumber"/>
        <w:noProof/>
      </w:rPr>
      <w:t>1</w:t>
    </w:r>
    <w:r>
      <w:rPr>
        <w:rStyle w:val="PageNumber"/>
      </w:rPr>
      <w:fldChar w:fldCharType="end"/>
    </w:r>
  </w:p>
  <w:p w14:paraId="03F3B9A4" w14:textId="77777777" w:rsidR="001B5DF0" w:rsidRDefault="001B5DF0" w:rsidP="005A0B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A73DB" w14:textId="77777777" w:rsidR="001B5DF0" w:rsidRDefault="001B5DF0" w:rsidP="005A0B3E">
      <w:r>
        <w:separator/>
      </w:r>
    </w:p>
  </w:footnote>
  <w:footnote w:type="continuationSeparator" w:id="0">
    <w:p w14:paraId="64A332FC" w14:textId="77777777" w:rsidR="001B5DF0" w:rsidRDefault="001B5DF0" w:rsidP="005A0B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5EA84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613B5478"/>
    <w:multiLevelType w:val="hybridMultilevel"/>
    <w:tmpl w:val="A3428BC6"/>
    <w:lvl w:ilvl="0" w:tplc="ED4C0588">
      <w:numFmt w:val="bullet"/>
      <w:lvlText w:val="-"/>
      <w:lvlJc w:val="left"/>
      <w:pPr>
        <w:ind w:left="1080" w:hanging="360"/>
      </w:pPr>
      <w:rPr>
        <w:rFonts w:ascii="Cambria" w:eastAsiaTheme="minorEastAsia" w:hAnsi="Cambria"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B1"/>
    <w:rsid w:val="0001426E"/>
    <w:rsid w:val="000308E7"/>
    <w:rsid w:val="000469B0"/>
    <w:rsid w:val="0005476A"/>
    <w:rsid w:val="00061E8E"/>
    <w:rsid w:val="00062BE5"/>
    <w:rsid w:val="0006789C"/>
    <w:rsid w:val="0007287B"/>
    <w:rsid w:val="00096F7C"/>
    <w:rsid w:val="000D3025"/>
    <w:rsid w:val="0012075B"/>
    <w:rsid w:val="0012470E"/>
    <w:rsid w:val="001B15ED"/>
    <w:rsid w:val="001B32B1"/>
    <w:rsid w:val="001B5DF0"/>
    <w:rsid w:val="001D34C5"/>
    <w:rsid w:val="001F74C8"/>
    <w:rsid w:val="00212FBC"/>
    <w:rsid w:val="00213A3D"/>
    <w:rsid w:val="00254784"/>
    <w:rsid w:val="0025531E"/>
    <w:rsid w:val="00260204"/>
    <w:rsid w:val="00262D78"/>
    <w:rsid w:val="00283FAE"/>
    <w:rsid w:val="002A542B"/>
    <w:rsid w:val="002D352E"/>
    <w:rsid w:val="002F0B97"/>
    <w:rsid w:val="00307AFD"/>
    <w:rsid w:val="003114BE"/>
    <w:rsid w:val="003462E1"/>
    <w:rsid w:val="00351CA1"/>
    <w:rsid w:val="003778B4"/>
    <w:rsid w:val="003B62E3"/>
    <w:rsid w:val="00402230"/>
    <w:rsid w:val="00466DE5"/>
    <w:rsid w:val="00470F98"/>
    <w:rsid w:val="0049144D"/>
    <w:rsid w:val="004D35CA"/>
    <w:rsid w:val="00507F99"/>
    <w:rsid w:val="00547D19"/>
    <w:rsid w:val="00577C9B"/>
    <w:rsid w:val="00577E6F"/>
    <w:rsid w:val="005A0B3E"/>
    <w:rsid w:val="005A3400"/>
    <w:rsid w:val="005E46C9"/>
    <w:rsid w:val="005E4A8D"/>
    <w:rsid w:val="00611135"/>
    <w:rsid w:val="006131E5"/>
    <w:rsid w:val="00644B6F"/>
    <w:rsid w:val="006668DA"/>
    <w:rsid w:val="006750FF"/>
    <w:rsid w:val="006A78E8"/>
    <w:rsid w:val="006B6B39"/>
    <w:rsid w:val="006B791E"/>
    <w:rsid w:val="006C273E"/>
    <w:rsid w:val="006C3432"/>
    <w:rsid w:val="006F43D4"/>
    <w:rsid w:val="006F651D"/>
    <w:rsid w:val="00714EC1"/>
    <w:rsid w:val="007251E8"/>
    <w:rsid w:val="00725E30"/>
    <w:rsid w:val="0073024E"/>
    <w:rsid w:val="00737378"/>
    <w:rsid w:val="00765CBD"/>
    <w:rsid w:val="007751A3"/>
    <w:rsid w:val="0077667A"/>
    <w:rsid w:val="0079665C"/>
    <w:rsid w:val="007A562E"/>
    <w:rsid w:val="007A6175"/>
    <w:rsid w:val="007B218E"/>
    <w:rsid w:val="007E552B"/>
    <w:rsid w:val="007F7008"/>
    <w:rsid w:val="00801E0F"/>
    <w:rsid w:val="00823A6A"/>
    <w:rsid w:val="00852D16"/>
    <w:rsid w:val="008A6739"/>
    <w:rsid w:val="0090464C"/>
    <w:rsid w:val="009162E8"/>
    <w:rsid w:val="009844C7"/>
    <w:rsid w:val="009853DB"/>
    <w:rsid w:val="009A6B90"/>
    <w:rsid w:val="009C0572"/>
    <w:rsid w:val="009C7A24"/>
    <w:rsid w:val="009E2752"/>
    <w:rsid w:val="00A139D1"/>
    <w:rsid w:val="00A32C6D"/>
    <w:rsid w:val="00A34B93"/>
    <w:rsid w:val="00A35ABB"/>
    <w:rsid w:val="00A419A8"/>
    <w:rsid w:val="00A51308"/>
    <w:rsid w:val="00A75C87"/>
    <w:rsid w:val="00AA598F"/>
    <w:rsid w:val="00AC7EBC"/>
    <w:rsid w:val="00AC7F8A"/>
    <w:rsid w:val="00B363CC"/>
    <w:rsid w:val="00B4171C"/>
    <w:rsid w:val="00B41E15"/>
    <w:rsid w:val="00B47C31"/>
    <w:rsid w:val="00B95FDA"/>
    <w:rsid w:val="00BD016A"/>
    <w:rsid w:val="00C129CC"/>
    <w:rsid w:val="00C22504"/>
    <w:rsid w:val="00C364D9"/>
    <w:rsid w:val="00C64015"/>
    <w:rsid w:val="00C8032A"/>
    <w:rsid w:val="00CA05DD"/>
    <w:rsid w:val="00CB1932"/>
    <w:rsid w:val="00D105FA"/>
    <w:rsid w:val="00D14831"/>
    <w:rsid w:val="00D170FA"/>
    <w:rsid w:val="00D228EB"/>
    <w:rsid w:val="00D23FCF"/>
    <w:rsid w:val="00D25DBD"/>
    <w:rsid w:val="00D41B8D"/>
    <w:rsid w:val="00D55250"/>
    <w:rsid w:val="00D67D85"/>
    <w:rsid w:val="00D762EA"/>
    <w:rsid w:val="00D83178"/>
    <w:rsid w:val="00D85E64"/>
    <w:rsid w:val="00D97A02"/>
    <w:rsid w:val="00DA06C4"/>
    <w:rsid w:val="00DB5F22"/>
    <w:rsid w:val="00DD4139"/>
    <w:rsid w:val="00DF4028"/>
    <w:rsid w:val="00E02B5A"/>
    <w:rsid w:val="00E21495"/>
    <w:rsid w:val="00E33BF4"/>
    <w:rsid w:val="00E42198"/>
    <w:rsid w:val="00E63276"/>
    <w:rsid w:val="00E8596B"/>
    <w:rsid w:val="00EC2F78"/>
    <w:rsid w:val="00EE5294"/>
    <w:rsid w:val="00F00AB1"/>
    <w:rsid w:val="00F01CCA"/>
    <w:rsid w:val="00F6527F"/>
    <w:rsid w:val="00F80555"/>
    <w:rsid w:val="00FB5EDB"/>
    <w:rsid w:val="00FC26AE"/>
    <w:rsid w:val="00FD0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ACA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AFD"/>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307AFD"/>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F40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8E7"/>
    <w:pPr>
      <w:ind w:left="720"/>
      <w:contextualSpacing/>
    </w:pPr>
  </w:style>
  <w:style w:type="paragraph" w:styleId="NoteLevel1">
    <w:name w:val="Note Level 1"/>
    <w:basedOn w:val="Normal"/>
    <w:uiPriority w:val="99"/>
    <w:unhideWhenUsed/>
    <w:rsid w:val="00725E30"/>
    <w:pPr>
      <w:keepNext/>
      <w:numPr>
        <w:numId w:val="1"/>
      </w:numPr>
      <w:contextualSpacing/>
      <w:outlineLvl w:val="0"/>
    </w:pPr>
    <w:rPr>
      <w:rFonts w:ascii="Verdana" w:hAnsi="Verdana"/>
      <w:lang w:val="en-CA" w:eastAsia="en-US"/>
    </w:rPr>
  </w:style>
  <w:style w:type="paragraph" w:styleId="NoteLevel2">
    <w:name w:val="Note Level 2"/>
    <w:basedOn w:val="Normal"/>
    <w:uiPriority w:val="99"/>
    <w:unhideWhenUsed/>
    <w:rsid w:val="00725E30"/>
    <w:pPr>
      <w:keepNext/>
      <w:numPr>
        <w:ilvl w:val="1"/>
        <w:numId w:val="1"/>
      </w:numPr>
      <w:contextualSpacing/>
      <w:outlineLvl w:val="1"/>
    </w:pPr>
    <w:rPr>
      <w:rFonts w:ascii="Verdana" w:hAnsi="Verdana"/>
      <w:lang w:val="en-CA" w:eastAsia="en-US"/>
    </w:rPr>
  </w:style>
  <w:style w:type="paragraph" w:styleId="NoteLevel3">
    <w:name w:val="Note Level 3"/>
    <w:basedOn w:val="Normal"/>
    <w:uiPriority w:val="99"/>
    <w:unhideWhenUsed/>
    <w:rsid w:val="00725E30"/>
    <w:pPr>
      <w:keepNext/>
      <w:numPr>
        <w:ilvl w:val="2"/>
        <w:numId w:val="1"/>
      </w:numPr>
      <w:contextualSpacing/>
      <w:outlineLvl w:val="2"/>
    </w:pPr>
    <w:rPr>
      <w:rFonts w:ascii="Verdana" w:hAnsi="Verdana"/>
      <w:lang w:val="en-CA" w:eastAsia="en-US"/>
    </w:rPr>
  </w:style>
  <w:style w:type="paragraph" w:styleId="NoteLevel4">
    <w:name w:val="Note Level 4"/>
    <w:basedOn w:val="Normal"/>
    <w:uiPriority w:val="99"/>
    <w:unhideWhenUsed/>
    <w:rsid w:val="00725E30"/>
    <w:pPr>
      <w:keepNext/>
      <w:numPr>
        <w:ilvl w:val="3"/>
        <w:numId w:val="1"/>
      </w:numPr>
      <w:contextualSpacing/>
      <w:outlineLvl w:val="3"/>
    </w:pPr>
    <w:rPr>
      <w:rFonts w:ascii="Verdana" w:hAnsi="Verdana"/>
      <w:lang w:val="en-CA" w:eastAsia="en-US"/>
    </w:rPr>
  </w:style>
  <w:style w:type="paragraph" w:styleId="NoteLevel5">
    <w:name w:val="Note Level 5"/>
    <w:basedOn w:val="Normal"/>
    <w:uiPriority w:val="99"/>
    <w:unhideWhenUsed/>
    <w:rsid w:val="00725E30"/>
    <w:pPr>
      <w:keepNext/>
      <w:numPr>
        <w:ilvl w:val="4"/>
        <w:numId w:val="1"/>
      </w:numPr>
      <w:contextualSpacing/>
      <w:outlineLvl w:val="4"/>
    </w:pPr>
    <w:rPr>
      <w:rFonts w:ascii="Verdana" w:hAnsi="Verdana"/>
      <w:lang w:val="en-CA" w:eastAsia="en-US"/>
    </w:rPr>
  </w:style>
  <w:style w:type="paragraph" w:styleId="NoteLevel6">
    <w:name w:val="Note Level 6"/>
    <w:basedOn w:val="Normal"/>
    <w:uiPriority w:val="99"/>
    <w:unhideWhenUsed/>
    <w:rsid w:val="00725E30"/>
    <w:pPr>
      <w:keepNext/>
      <w:numPr>
        <w:ilvl w:val="5"/>
        <w:numId w:val="1"/>
      </w:numPr>
      <w:contextualSpacing/>
      <w:outlineLvl w:val="5"/>
    </w:pPr>
    <w:rPr>
      <w:rFonts w:ascii="Verdana" w:hAnsi="Verdana"/>
      <w:lang w:val="en-CA" w:eastAsia="en-US"/>
    </w:rPr>
  </w:style>
  <w:style w:type="paragraph" w:styleId="NoteLevel7">
    <w:name w:val="Note Level 7"/>
    <w:basedOn w:val="Normal"/>
    <w:uiPriority w:val="99"/>
    <w:semiHidden/>
    <w:unhideWhenUsed/>
    <w:rsid w:val="00725E30"/>
    <w:pPr>
      <w:keepNext/>
      <w:numPr>
        <w:ilvl w:val="6"/>
        <w:numId w:val="1"/>
      </w:numPr>
      <w:contextualSpacing/>
      <w:outlineLvl w:val="6"/>
    </w:pPr>
    <w:rPr>
      <w:rFonts w:ascii="Verdana" w:hAnsi="Verdana"/>
      <w:lang w:val="en-CA" w:eastAsia="en-US"/>
    </w:rPr>
  </w:style>
  <w:style w:type="paragraph" w:styleId="NoteLevel8">
    <w:name w:val="Note Level 8"/>
    <w:basedOn w:val="Normal"/>
    <w:uiPriority w:val="99"/>
    <w:unhideWhenUsed/>
    <w:rsid w:val="00725E30"/>
    <w:pPr>
      <w:keepNext/>
      <w:numPr>
        <w:ilvl w:val="7"/>
        <w:numId w:val="1"/>
      </w:numPr>
      <w:contextualSpacing/>
      <w:outlineLvl w:val="7"/>
    </w:pPr>
    <w:rPr>
      <w:rFonts w:ascii="Verdana" w:hAnsi="Verdana"/>
      <w:lang w:val="en-CA" w:eastAsia="en-US"/>
    </w:rPr>
  </w:style>
  <w:style w:type="paragraph" w:styleId="NoteLevel9">
    <w:name w:val="Note Level 9"/>
    <w:basedOn w:val="Normal"/>
    <w:uiPriority w:val="99"/>
    <w:semiHidden/>
    <w:unhideWhenUsed/>
    <w:rsid w:val="00725E30"/>
    <w:pPr>
      <w:keepNext/>
      <w:numPr>
        <w:ilvl w:val="8"/>
        <w:numId w:val="1"/>
      </w:numPr>
      <w:contextualSpacing/>
      <w:outlineLvl w:val="8"/>
    </w:pPr>
    <w:rPr>
      <w:rFonts w:ascii="Verdana" w:hAnsi="Verdana"/>
      <w:lang w:val="en-CA" w:eastAsia="en-US"/>
    </w:rPr>
  </w:style>
  <w:style w:type="paragraph" w:customStyle="1" w:styleId="sec2">
    <w:name w:val="sec2"/>
    <w:basedOn w:val="Normal"/>
    <w:rsid w:val="00D228EB"/>
    <w:pPr>
      <w:spacing w:before="100" w:beforeAutospacing="1" w:after="100" w:afterAutospacing="1"/>
    </w:pPr>
    <w:rPr>
      <w:rFonts w:ascii="Times" w:hAnsi="Times"/>
      <w:sz w:val="20"/>
      <w:szCs w:val="20"/>
      <w:lang w:val="en-GB" w:eastAsia="en-US"/>
    </w:rPr>
  </w:style>
  <w:style w:type="character" w:styleId="Strong">
    <w:name w:val="Strong"/>
    <w:basedOn w:val="DefaultParagraphFont"/>
    <w:uiPriority w:val="22"/>
    <w:qFormat/>
    <w:rsid w:val="00D228EB"/>
    <w:rPr>
      <w:b/>
      <w:bCs/>
    </w:rPr>
  </w:style>
  <w:style w:type="character" w:customStyle="1" w:styleId="canliisectionwithsubsection">
    <w:name w:val="canlii_section_with_subsection"/>
    <w:basedOn w:val="DefaultParagraphFont"/>
    <w:rsid w:val="00D228EB"/>
  </w:style>
  <w:style w:type="paragraph" w:customStyle="1" w:styleId="sub">
    <w:name w:val="sub"/>
    <w:basedOn w:val="Normal"/>
    <w:rsid w:val="00D228EB"/>
    <w:pPr>
      <w:spacing w:before="100" w:beforeAutospacing="1" w:after="100" w:afterAutospacing="1"/>
    </w:pPr>
    <w:rPr>
      <w:rFonts w:ascii="Times" w:hAnsi="Times"/>
      <w:sz w:val="20"/>
      <w:szCs w:val="20"/>
      <w:lang w:val="en-GB" w:eastAsia="en-US"/>
    </w:rPr>
  </w:style>
  <w:style w:type="character" w:customStyle="1" w:styleId="canliisubsection">
    <w:name w:val="canlii_subsection"/>
    <w:basedOn w:val="DefaultParagraphFont"/>
    <w:rsid w:val="00D228EB"/>
  </w:style>
  <w:style w:type="paragraph" w:customStyle="1" w:styleId="para">
    <w:name w:val="para"/>
    <w:basedOn w:val="Normal"/>
    <w:rsid w:val="00D228EB"/>
    <w:pPr>
      <w:spacing w:before="100" w:beforeAutospacing="1" w:after="100" w:afterAutospacing="1"/>
    </w:pPr>
    <w:rPr>
      <w:rFonts w:ascii="Times" w:hAnsi="Times"/>
      <w:sz w:val="20"/>
      <w:szCs w:val="20"/>
      <w:lang w:val="en-GB" w:eastAsia="en-US"/>
    </w:rPr>
  </w:style>
  <w:style w:type="character" w:customStyle="1" w:styleId="Heading1Char">
    <w:name w:val="Heading 1 Char"/>
    <w:basedOn w:val="DefaultParagraphFont"/>
    <w:link w:val="Heading1"/>
    <w:uiPriority w:val="9"/>
    <w:rsid w:val="00307AF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07AF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F4028"/>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5A0B3E"/>
    <w:pPr>
      <w:tabs>
        <w:tab w:val="center" w:pos="4320"/>
        <w:tab w:val="right" w:pos="8640"/>
      </w:tabs>
    </w:pPr>
  </w:style>
  <w:style w:type="character" w:customStyle="1" w:styleId="FooterChar">
    <w:name w:val="Footer Char"/>
    <w:basedOn w:val="DefaultParagraphFont"/>
    <w:link w:val="Footer"/>
    <w:uiPriority w:val="99"/>
    <w:rsid w:val="005A0B3E"/>
  </w:style>
  <w:style w:type="character" w:styleId="PageNumber">
    <w:name w:val="page number"/>
    <w:basedOn w:val="DefaultParagraphFont"/>
    <w:uiPriority w:val="99"/>
    <w:semiHidden/>
    <w:unhideWhenUsed/>
    <w:rsid w:val="005A0B3E"/>
  </w:style>
  <w:style w:type="paragraph" w:customStyle="1" w:styleId="scjquote1">
    <w:name w:val="scjquote1"/>
    <w:basedOn w:val="Normal"/>
    <w:rsid w:val="006A78E8"/>
    <w:pPr>
      <w:spacing w:after="120"/>
      <w:ind w:left="720" w:right="720"/>
    </w:pPr>
    <w:rPr>
      <w:rFonts w:ascii="Arial" w:eastAsia="Times New Roman" w:hAnsi="Arial" w:cs="Arial"/>
      <w:sz w:val="22"/>
      <w:szCs w:val="22"/>
      <w:lang w:val="en-CA" w:eastAsia="en-CA"/>
    </w:rPr>
  </w:style>
  <w:style w:type="paragraph" w:customStyle="1" w:styleId="SCJNumber">
    <w:name w:val="SCJ Number"/>
    <w:basedOn w:val="Normal"/>
    <w:rsid w:val="00765CBD"/>
    <w:pPr>
      <w:spacing w:after="240" w:line="360" w:lineRule="auto"/>
    </w:pPr>
    <w:rPr>
      <w:rFonts w:ascii="Arial" w:eastAsia="Times New Roman" w:hAnsi="Arial" w:cs="Arial"/>
      <w:lang w:eastAsia="en-US"/>
    </w:rPr>
  </w:style>
  <w:style w:type="paragraph" w:styleId="TOCHeading">
    <w:name w:val="TOC Heading"/>
    <w:basedOn w:val="Heading1"/>
    <w:next w:val="Normal"/>
    <w:uiPriority w:val="39"/>
    <w:unhideWhenUsed/>
    <w:qFormat/>
    <w:rsid w:val="00307AFD"/>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07AFD"/>
    <w:pPr>
      <w:spacing w:before="120"/>
    </w:pPr>
    <w:rPr>
      <w:b/>
      <w:caps/>
      <w:sz w:val="22"/>
      <w:szCs w:val="22"/>
    </w:rPr>
  </w:style>
  <w:style w:type="paragraph" w:styleId="TOC2">
    <w:name w:val="toc 2"/>
    <w:basedOn w:val="Normal"/>
    <w:next w:val="Normal"/>
    <w:autoRedefine/>
    <w:uiPriority w:val="39"/>
    <w:unhideWhenUsed/>
    <w:rsid w:val="00307AFD"/>
    <w:pPr>
      <w:ind w:left="240"/>
    </w:pPr>
    <w:rPr>
      <w:smallCaps/>
      <w:sz w:val="22"/>
      <w:szCs w:val="22"/>
    </w:rPr>
  </w:style>
  <w:style w:type="paragraph" w:styleId="TOC3">
    <w:name w:val="toc 3"/>
    <w:basedOn w:val="Normal"/>
    <w:next w:val="Normal"/>
    <w:autoRedefine/>
    <w:uiPriority w:val="39"/>
    <w:unhideWhenUsed/>
    <w:rsid w:val="00307AFD"/>
    <w:pPr>
      <w:ind w:left="480"/>
    </w:pPr>
    <w:rPr>
      <w:i/>
      <w:sz w:val="22"/>
      <w:szCs w:val="22"/>
    </w:rPr>
  </w:style>
  <w:style w:type="paragraph" w:styleId="BalloonText">
    <w:name w:val="Balloon Text"/>
    <w:basedOn w:val="Normal"/>
    <w:link w:val="BalloonTextChar"/>
    <w:uiPriority w:val="99"/>
    <w:semiHidden/>
    <w:unhideWhenUsed/>
    <w:rsid w:val="00307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AFD"/>
    <w:rPr>
      <w:rFonts w:ascii="Lucida Grande" w:hAnsi="Lucida Grande" w:cs="Lucida Grande"/>
      <w:sz w:val="18"/>
      <w:szCs w:val="18"/>
    </w:rPr>
  </w:style>
  <w:style w:type="paragraph" w:styleId="TOC4">
    <w:name w:val="toc 4"/>
    <w:basedOn w:val="Normal"/>
    <w:next w:val="Normal"/>
    <w:autoRedefine/>
    <w:uiPriority w:val="39"/>
    <w:semiHidden/>
    <w:unhideWhenUsed/>
    <w:rsid w:val="00307AFD"/>
    <w:pPr>
      <w:ind w:left="720"/>
    </w:pPr>
    <w:rPr>
      <w:sz w:val="18"/>
      <w:szCs w:val="18"/>
    </w:rPr>
  </w:style>
  <w:style w:type="paragraph" w:styleId="TOC5">
    <w:name w:val="toc 5"/>
    <w:basedOn w:val="Normal"/>
    <w:next w:val="Normal"/>
    <w:autoRedefine/>
    <w:uiPriority w:val="39"/>
    <w:semiHidden/>
    <w:unhideWhenUsed/>
    <w:rsid w:val="00307AFD"/>
    <w:pPr>
      <w:ind w:left="960"/>
    </w:pPr>
    <w:rPr>
      <w:sz w:val="18"/>
      <w:szCs w:val="18"/>
    </w:rPr>
  </w:style>
  <w:style w:type="paragraph" w:styleId="TOC6">
    <w:name w:val="toc 6"/>
    <w:basedOn w:val="Normal"/>
    <w:next w:val="Normal"/>
    <w:autoRedefine/>
    <w:uiPriority w:val="39"/>
    <w:semiHidden/>
    <w:unhideWhenUsed/>
    <w:rsid w:val="00307AFD"/>
    <w:pPr>
      <w:ind w:left="1200"/>
    </w:pPr>
    <w:rPr>
      <w:sz w:val="18"/>
      <w:szCs w:val="18"/>
    </w:rPr>
  </w:style>
  <w:style w:type="paragraph" w:styleId="TOC7">
    <w:name w:val="toc 7"/>
    <w:basedOn w:val="Normal"/>
    <w:next w:val="Normal"/>
    <w:autoRedefine/>
    <w:uiPriority w:val="39"/>
    <w:semiHidden/>
    <w:unhideWhenUsed/>
    <w:rsid w:val="00307AFD"/>
    <w:pPr>
      <w:ind w:left="1440"/>
    </w:pPr>
    <w:rPr>
      <w:sz w:val="18"/>
      <w:szCs w:val="18"/>
    </w:rPr>
  </w:style>
  <w:style w:type="paragraph" w:styleId="TOC8">
    <w:name w:val="toc 8"/>
    <w:basedOn w:val="Normal"/>
    <w:next w:val="Normal"/>
    <w:autoRedefine/>
    <w:uiPriority w:val="39"/>
    <w:semiHidden/>
    <w:unhideWhenUsed/>
    <w:rsid w:val="00307AFD"/>
    <w:pPr>
      <w:ind w:left="1680"/>
    </w:pPr>
    <w:rPr>
      <w:sz w:val="18"/>
      <w:szCs w:val="18"/>
    </w:rPr>
  </w:style>
  <w:style w:type="paragraph" w:styleId="TOC9">
    <w:name w:val="toc 9"/>
    <w:basedOn w:val="Normal"/>
    <w:next w:val="Normal"/>
    <w:autoRedefine/>
    <w:uiPriority w:val="39"/>
    <w:semiHidden/>
    <w:unhideWhenUsed/>
    <w:rsid w:val="00307AFD"/>
    <w:pPr>
      <w:ind w:left="1920"/>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7AFD"/>
    <w:pPr>
      <w:keepNext/>
      <w:keepLines/>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307AFD"/>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F40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8E7"/>
    <w:pPr>
      <w:ind w:left="720"/>
      <w:contextualSpacing/>
    </w:pPr>
  </w:style>
  <w:style w:type="paragraph" w:styleId="NoteLevel1">
    <w:name w:val="Note Level 1"/>
    <w:basedOn w:val="Normal"/>
    <w:uiPriority w:val="99"/>
    <w:unhideWhenUsed/>
    <w:rsid w:val="00725E30"/>
    <w:pPr>
      <w:keepNext/>
      <w:numPr>
        <w:numId w:val="1"/>
      </w:numPr>
      <w:contextualSpacing/>
      <w:outlineLvl w:val="0"/>
    </w:pPr>
    <w:rPr>
      <w:rFonts w:ascii="Verdana" w:hAnsi="Verdana"/>
      <w:lang w:val="en-CA" w:eastAsia="en-US"/>
    </w:rPr>
  </w:style>
  <w:style w:type="paragraph" w:styleId="NoteLevel2">
    <w:name w:val="Note Level 2"/>
    <w:basedOn w:val="Normal"/>
    <w:uiPriority w:val="99"/>
    <w:unhideWhenUsed/>
    <w:rsid w:val="00725E30"/>
    <w:pPr>
      <w:keepNext/>
      <w:numPr>
        <w:ilvl w:val="1"/>
        <w:numId w:val="1"/>
      </w:numPr>
      <w:contextualSpacing/>
      <w:outlineLvl w:val="1"/>
    </w:pPr>
    <w:rPr>
      <w:rFonts w:ascii="Verdana" w:hAnsi="Verdana"/>
      <w:lang w:val="en-CA" w:eastAsia="en-US"/>
    </w:rPr>
  </w:style>
  <w:style w:type="paragraph" w:styleId="NoteLevel3">
    <w:name w:val="Note Level 3"/>
    <w:basedOn w:val="Normal"/>
    <w:uiPriority w:val="99"/>
    <w:unhideWhenUsed/>
    <w:rsid w:val="00725E30"/>
    <w:pPr>
      <w:keepNext/>
      <w:numPr>
        <w:ilvl w:val="2"/>
        <w:numId w:val="1"/>
      </w:numPr>
      <w:contextualSpacing/>
      <w:outlineLvl w:val="2"/>
    </w:pPr>
    <w:rPr>
      <w:rFonts w:ascii="Verdana" w:hAnsi="Verdana"/>
      <w:lang w:val="en-CA" w:eastAsia="en-US"/>
    </w:rPr>
  </w:style>
  <w:style w:type="paragraph" w:styleId="NoteLevel4">
    <w:name w:val="Note Level 4"/>
    <w:basedOn w:val="Normal"/>
    <w:uiPriority w:val="99"/>
    <w:unhideWhenUsed/>
    <w:rsid w:val="00725E30"/>
    <w:pPr>
      <w:keepNext/>
      <w:numPr>
        <w:ilvl w:val="3"/>
        <w:numId w:val="1"/>
      </w:numPr>
      <w:contextualSpacing/>
      <w:outlineLvl w:val="3"/>
    </w:pPr>
    <w:rPr>
      <w:rFonts w:ascii="Verdana" w:hAnsi="Verdana"/>
      <w:lang w:val="en-CA" w:eastAsia="en-US"/>
    </w:rPr>
  </w:style>
  <w:style w:type="paragraph" w:styleId="NoteLevel5">
    <w:name w:val="Note Level 5"/>
    <w:basedOn w:val="Normal"/>
    <w:uiPriority w:val="99"/>
    <w:unhideWhenUsed/>
    <w:rsid w:val="00725E30"/>
    <w:pPr>
      <w:keepNext/>
      <w:numPr>
        <w:ilvl w:val="4"/>
        <w:numId w:val="1"/>
      </w:numPr>
      <w:contextualSpacing/>
      <w:outlineLvl w:val="4"/>
    </w:pPr>
    <w:rPr>
      <w:rFonts w:ascii="Verdana" w:hAnsi="Verdana"/>
      <w:lang w:val="en-CA" w:eastAsia="en-US"/>
    </w:rPr>
  </w:style>
  <w:style w:type="paragraph" w:styleId="NoteLevel6">
    <w:name w:val="Note Level 6"/>
    <w:basedOn w:val="Normal"/>
    <w:uiPriority w:val="99"/>
    <w:unhideWhenUsed/>
    <w:rsid w:val="00725E30"/>
    <w:pPr>
      <w:keepNext/>
      <w:numPr>
        <w:ilvl w:val="5"/>
        <w:numId w:val="1"/>
      </w:numPr>
      <w:contextualSpacing/>
      <w:outlineLvl w:val="5"/>
    </w:pPr>
    <w:rPr>
      <w:rFonts w:ascii="Verdana" w:hAnsi="Verdana"/>
      <w:lang w:val="en-CA" w:eastAsia="en-US"/>
    </w:rPr>
  </w:style>
  <w:style w:type="paragraph" w:styleId="NoteLevel7">
    <w:name w:val="Note Level 7"/>
    <w:basedOn w:val="Normal"/>
    <w:uiPriority w:val="99"/>
    <w:semiHidden/>
    <w:unhideWhenUsed/>
    <w:rsid w:val="00725E30"/>
    <w:pPr>
      <w:keepNext/>
      <w:numPr>
        <w:ilvl w:val="6"/>
        <w:numId w:val="1"/>
      </w:numPr>
      <w:contextualSpacing/>
      <w:outlineLvl w:val="6"/>
    </w:pPr>
    <w:rPr>
      <w:rFonts w:ascii="Verdana" w:hAnsi="Verdana"/>
      <w:lang w:val="en-CA" w:eastAsia="en-US"/>
    </w:rPr>
  </w:style>
  <w:style w:type="paragraph" w:styleId="NoteLevel8">
    <w:name w:val="Note Level 8"/>
    <w:basedOn w:val="Normal"/>
    <w:uiPriority w:val="99"/>
    <w:unhideWhenUsed/>
    <w:rsid w:val="00725E30"/>
    <w:pPr>
      <w:keepNext/>
      <w:numPr>
        <w:ilvl w:val="7"/>
        <w:numId w:val="1"/>
      </w:numPr>
      <w:contextualSpacing/>
      <w:outlineLvl w:val="7"/>
    </w:pPr>
    <w:rPr>
      <w:rFonts w:ascii="Verdana" w:hAnsi="Verdana"/>
      <w:lang w:val="en-CA" w:eastAsia="en-US"/>
    </w:rPr>
  </w:style>
  <w:style w:type="paragraph" w:styleId="NoteLevel9">
    <w:name w:val="Note Level 9"/>
    <w:basedOn w:val="Normal"/>
    <w:uiPriority w:val="99"/>
    <w:semiHidden/>
    <w:unhideWhenUsed/>
    <w:rsid w:val="00725E30"/>
    <w:pPr>
      <w:keepNext/>
      <w:numPr>
        <w:ilvl w:val="8"/>
        <w:numId w:val="1"/>
      </w:numPr>
      <w:contextualSpacing/>
      <w:outlineLvl w:val="8"/>
    </w:pPr>
    <w:rPr>
      <w:rFonts w:ascii="Verdana" w:hAnsi="Verdana"/>
      <w:lang w:val="en-CA" w:eastAsia="en-US"/>
    </w:rPr>
  </w:style>
  <w:style w:type="paragraph" w:customStyle="1" w:styleId="sec2">
    <w:name w:val="sec2"/>
    <w:basedOn w:val="Normal"/>
    <w:rsid w:val="00D228EB"/>
    <w:pPr>
      <w:spacing w:before="100" w:beforeAutospacing="1" w:after="100" w:afterAutospacing="1"/>
    </w:pPr>
    <w:rPr>
      <w:rFonts w:ascii="Times" w:hAnsi="Times"/>
      <w:sz w:val="20"/>
      <w:szCs w:val="20"/>
      <w:lang w:val="en-GB" w:eastAsia="en-US"/>
    </w:rPr>
  </w:style>
  <w:style w:type="character" w:styleId="Strong">
    <w:name w:val="Strong"/>
    <w:basedOn w:val="DefaultParagraphFont"/>
    <w:uiPriority w:val="22"/>
    <w:qFormat/>
    <w:rsid w:val="00D228EB"/>
    <w:rPr>
      <w:b/>
      <w:bCs/>
    </w:rPr>
  </w:style>
  <w:style w:type="character" w:customStyle="1" w:styleId="canliisectionwithsubsection">
    <w:name w:val="canlii_section_with_subsection"/>
    <w:basedOn w:val="DefaultParagraphFont"/>
    <w:rsid w:val="00D228EB"/>
  </w:style>
  <w:style w:type="paragraph" w:customStyle="1" w:styleId="sub">
    <w:name w:val="sub"/>
    <w:basedOn w:val="Normal"/>
    <w:rsid w:val="00D228EB"/>
    <w:pPr>
      <w:spacing w:before="100" w:beforeAutospacing="1" w:after="100" w:afterAutospacing="1"/>
    </w:pPr>
    <w:rPr>
      <w:rFonts w:ascii="Times" w:hAnsi="Times"/>
      <w:sz w:val="20"/>
      <w:szCs w:val="20"/>
      <w:lang w:val="en-GB" w:eastAsia="en-US"/>
    </w:rPr>
  </w:style>
  <w:style w:type="character" w:customStyle="1" w:styleId="canliisubsection">
    <w:name w:val="canlii_subsection"/>
    <w:basedOn w:val="DefaultParagraphFont"/>
    <w:rsid w:val="00D228EB"/>
  </w:style>
  <w:style w:type="paragraph" w:customStyle="1" w:styleId="para">
    <w:name w:val="para"/>
    <w:basedOn w:val="Normal"/>
    <w:rsid w:val="00D228EB"/>
    <w:pPr>
      <w:spacing w:before="100" w:beforeAutospacing="1" w:after="100" w:afterAutospacing="1"/>
    </w:pPr>
    <w:rPr>
      <w:rFonts w:ascii="Times" w:hAnsi="Times"/>
      <w:sz w:val="20"/>
      <w:szCs w:val="20"/>
      <w:lang w:val="en-GB" w:eastAsia="en-US"/>
    </w:rPr>
  </w:style>
  <w:style w:type="character" w:customStyle="1" w:styleId="Heading1Char">
    <w:name w:val="Heading 1 Char"/>
    <w:basedOn w:val="DefaultParagraphFont"/>
    <w:link w:val="Heading1"/>
    <w:uiPriority w:val="9"/>
    <w:rsid w:val="00307AFD"/>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07AF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F4028"/>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5A0B3E"/>
    <w:pPr>
      <w:tabs>
        <w:tab w:val="center" w:pos="4320"/>
        <w:tab w:val="right" w:pos="8640"/>
      </w:tabs>
    </w:pPr>
  </w:style>
  <w:style w:type="character" w:customStyle="1" w:styleId="FooterChar">
    <w:name w:val="Footer Char"/>
    <w:basedOn w:val="DefaultParagraphFont"/>
    <w:link w:val="Footer"/>
    <w:uiPriority w:val="99"/>
    <w:rsid w:val="005A0B3E"/>
  </w:style>
  <w:style w:type="character" w:styleId="PageNumber">
    <w:name w:val="page number"/>
    <w:basedOn w:val="DefaultParagraphFont"/>
    <w:uiPriority w:val="99"/>
    <w:semiHidden/>
    <w:unhideWhenUsed/>
    <w:rsid w:val="005A0B3E"/>
  </w:style>
  <w:style w:type="paragraph" w:customStyle="1" w:styleId="scjquote1">
    <w:name w:val="scjquote1"/>
    <w:basedOn w:val="Normal"/>
    <w:rsid w:val="006A78E8"/>
    <w:pPr>
      <w:spacing w:after="120"/>
      <w:ind w:left="720" w:right="720"/>
    </w:pPr>
    <w:rPr>
      <w:rFonts w:ascii="Arial" w:eastAsia="Times New Roman" w:hAnsi="Arial" w:cs="Arial"/>
      <w:sz w:val="22"/>
      <w:szCs w:val="22"/>
      <w:lang w:val="en-CA" w:eastAsia="en-CA"/>
    </w:rPr>
  </w:style>
  <w:style w:type="paragraph" w:customStyle="1" w:styleId="SCJNumber">
    <w:name w:val="SCJ Number"/>
    <w:basedOn w:val="Normal"/>
    <w:rsid w:val="00765CBD"/>
    <w:pPr>
      <w:spacing w:after="240" w:line="360" w:lineRule="auto"/>
    </w:pPr>
    <w:rPr>
      <w:rFonts w:ascii="Arial" w:eastAsia="Times New Roman" w:hAnsi="Arial" w:cs="Arial"/>
      <w:lang w:eastAsia="en-US"/>
    </w:rPr>
  </w:style>
  <w:style w:type="paragraph" w:styleId="TOCHeading">
    <w:name w:val="TOC Heading"/>
    <w:basedOn w:val="Heading1"/>
    <w:next w:val="Normal"/>
    <w:uiPriority w:val="39"/>
    <w:unhideWhenUsed/>
    <w:qFormat/>
    <w:rsid w:val="00307AFD"/>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07AFD"/>
    <w:pPr>
      <w:spacing w:before="120"/>
    </w:pPr>
    <w:rPr>
      <w:b/>
      <w:caps/>
      <w:sz w:val="22"/>
      <w:szCs w:val="22"/>
    </w:rPr>
  </w:style>
  <w:style w:type="paragraph" w:styleId="TOC2">
    <w:name w:val="toc 2"/>
    <w:basedOn w:val="Normal"/>
    <w:next w:val="Normal"/>
    <w:autoRedefine/>
    <w:uiPriority w:val="39"/>
    <w:unhideWhenUsed/>
    <w:rsid w:val="00307AFD"/>
    <w:pPr>
      <w:ind w:left="240"/>
    </w:pPr>
    <w:rPr>
      <w:smallCaps/>
      <w:sz w:val="22"/>
      <w:szCs w:val="22"/>
    </w:rPr>
  </w:style>
  <w:style w:type="paragraph" w:styleId="TOC3">
    <w:name w:val="toc 3"/>
    <w:basedOn w:val="Normal"/>
    <w:next w:val="Normal"/>
    <w:autoRedefine/>
    <w:uiPriority w:val="39"/>
    <w:unhideWhenUsed/>
    <w:rsid w:val="00307AFD"/>
    <w:pPr>
      <w:ind w:left="480"/>
    </w:pPr>
    <w:rPr>
      <w:i/>
      <w:sz w:val="22"/>
      <w:szCs w:val="22"/>
    </w:rPr>
  </w:style>
  <w:style w:type="paragraph" w:styleId="BalloonText">
    <w:name w:val="Balloon Text"/>
    <w:basedOn w:val="Normal"/>
    <w:link w:val="BalloonTextChar"/>
    <w:uiPriority w:val="99"/>
    <w:semiHidden/>
    <w:unhideWhenUsed/>
    <w:rsid w:val="00307A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AFD"/>
    <w:rPr>
      <w:rFonts w:ascii="Lucida Grande" w:hAnsi="Lucida Grande" w:cs="Lucida Grande"/>
      <w:sz w:val="18"/>
      <w:szCs w:val="18"/>
    </w:rPr>
  </w:style>
  <w:style w:type="paragraph" w:styleId="TOC4">
    <w:name w:val="toc 4"/>
    <w:basedOn w:val="Normal"/>
    <w:next w:val="Normal"/>
    <w:autoRedefine/>
    <w:uiPriority w:val="39"/>
    <w:semiHidden/>
    <w:unhideWhenUsed/>
    <w:rsid w:val="00307AFD"/>
    <w:pPr>
      <w:ind w:left="720"/>
    </w:pPr>
    <w:rPr>
      <w:sz w:val="18"/>
      <w:szCs w:val="18"/>
    </w:rPr>
  </w:style>
  <w:style w:type="paragraph" w:styleId="TOC5">
    <w:name w:val="toc 5"/>
    <w:basedOn w:val="Normal"/>
    <w:next w:val="Normal"/>
    <w:autoRedefine/>
    <w:uiPriority w:val="39"/>
    <w:semiHidden/>
    <w:unhideWhenUsed/>
    <w:rsid w:val="00307AFD"/>
    <w:pPr>
      <w:ind w:left="960"/>
    </w:pPr>
    <w:rPr>
      <w:sz w:val="18"/>
      <w:szCs w:val="18"/>
    </w:rPr>
  </w:style>
  <w:style w:type="paragraph" w:styleId="TOC6">
    <w:name w:val="toc 6"/>
    <w:basedOn w:val="Normal"/>
    <w:next w:val="Normal"/>
    <w:autoRedefine/>
    <w:uiPriority w:val="39"/>
    <w:semiHidden/>
    <w:unhideWhenUsed/>
    <w:rsid w:val="00307AFD"/>
    <w:pPr>
      <w:ind w:left="1200"/>
    </w:pPr>
    <w:rPr>
      <w:sz w:val="18"/>
      <w:szCs w:val="18"/>
    </w:rPr>
  </w:style>
  <w:style w:type="paragraph" w:styleId="TOC7">
    <w:name w:val="toc 7"/>
    <w:basedOn w:val="Normal"/>
    <w:next w:val="Normal"/>
    <w:autoRedefine/>
    <w:uiPriority w:val="39"/>
    <w:semiHidden/>
    <w:unhideWhenUsed/>
    <w:rsid w:val="00307AFD"/>
    <w:pPr>
      <w:ind w:left="1440"/>
    </w:pPr>
    <w:rPr>
      <w:sz w:val="18"/>
      <w:szCs w:val="18"/>
    </w:rPr>
  </w:style>
  <w:style w:type="paragraph" w:styleId="TOC8">
    <w:name w:val="toc 8"/>
    <w:basedOn w:val="Normal"/>
    <w:next w:val="Normal"/>
    <w:autoRedefine/>
    <w:uiPriority w:val="39"/>
    <w:semiHidden/>
    <w:unhideWhenUsed/>
    <w:rsid w:val="00307AFD"/>
    <w:pPr>
      <w:ind w:left="1680"/>
    </w:pPr>
    <w:rPr>
      <w:sz w:val="18"/>
      <w:szCs w:val="18"/>
    </w:rPr>
  </w:style>
  <w:style w:type="paragraph" w:styleId="TOC9">
    <w:name w:val="toc 9"/>
    <w:basedOn w:val="Normal"/>
    <w:next w:val="Normal"/>
    <w:autoRedefine/>
    <w:uiPriority w:val="39"/>
    <w:semiHidden/>
    <w:unhideWhenUsed/>
    <w:rsid w:val="00307AFD"/>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870">
      <w:bodyDiv w:val="1"/>
      <w:marLeft w:val="0"/>
      <w:marRight w:val="0"/>
      <w:marTop w:val="0"/>
      <w:marBottom w:val="0"/>
      <w:divBdr>
        <w:top w:val="none" w:sz="0" w:space="0" w:color="auto"/>
        <w:left w:val="none" w:sz="0" w:space="0" w:color="auto"/>
        <w:bottom w:val="none" w:sz="0" w:space="0" w:color="auto"/>
        <w:right w:val="none" w:sz="0" w:space="0" w:color="auto"/>
      </w:divBdr>
    </w:div>
    <w:div w:id="791825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0813-92B2-E74F-96C1-4AD9870B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17</Pages>
  <Words>5921</Words>
  <Characters>33756</Characters>
  <Application>Microsoft Macintosh Word</Application>
  <DocSecurity>0</DocSecurity>
  <Lines>281</Lines>
  <Paragraphs>79</Paragraphs>
  <ScaleCrop>false</ScaleCrop>
  <Company/>
  <LinksUpToDate>false</LinksUpToDate>
  <CharactersWithSpaces>39598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Wang</dc:creator>
  <cp:keywords/>
  <dc:description/>
  <cp:lastModifiedBy>Ms Wang</cp:lastModifiedBy>
  <cp:revision>42</cp:revision>
  <cp:lastPrinted>2014-04-14T21:34:00Z</cp:lastPrinted>
  <dcterms:created xsi:type="dcterms:W3CDTF">2014-03-08T23:10:00Z</dcterms:created>
  <dcterms:modified xsi:type="dcterms:W3CDTF">2014-04-14T21:50:00Z</dcterms:modified>
</cp:coreProperties>
</file>